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85" w:rsidRPr="00B81785" w:rsidRDefault="00FF31EF" w:rsidP="00B81785">
      <w:pPr>
        <w:autoSpaceDE w:val="0"/>
        <w:autoSpaceDN w:val="0"/>
        <w:rPr>
          <w:rFonts w:ascii="ＭＳ ゴシック" w:eastAsia="ＭＳ ゴシック" w:hAnsi="ＭＳ ゴシック" w:cs="Arial"/>
          <w:b/>
          <w:sz w:val="24"/>
        </w:rPr>
      </w:pPr>
      <w:r w:rsidRPr="00F67141">
        <w:rPr>
          <w:rFonts w:ascii="ＭＳ ゴシック" w:eastAsia="ＭＳ ゴシック" w:hAnsi="ＭＳ ゴシック" w:cs="Arial" w:hint="eastAsia"/>
          <w:sz w:val="24"/>
        </w:rPr>
        <w:t>管外旅費の支給事務の不備</w:t>
      </w:r>
    </w:p>
    <w:tbl>
      <w:tblPr>
        <w:tblpPr w:leftFromText="142" w:rightFromText="142" w:vertAnchor="text" w:horzAnchor="margin" w:tblpX="108"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789"/>
        <w:gridCol w:w="5528"/>
        <w:gridCol w:w="4961"/>
      </w:tblGrid>
      <w:tr w:rsidR="00B81785" w:rsidRPr="00B81785" w:rsidTr="009F41E5">
        <w:trPr>
          <w:trHeight w:val="413"/>
        </w:trPr>
        <w:tc>
          <w:tcPr>
            <w:tcW w:w="1242" w:type="dxa"/>
            <w:shd w:val="clear" w:color="auto" w:fill="auto"/>
            <w:vAlign w:val="center"/>
          </w:tcPr>
          <w:p w:rsidR="00B81785" w:rsidRPr="00B81785" w:rsidRDefault="00B81785" w:rsidP="00B81785">
            <w:pPr>
              <w:widowControl/>
              <w:autoSpaceDE w:val="0"/>
              <w:autoSpaceDN w:val="0"/>
              <w:jc w:val="center"/>
              <w:rPr>
                <w:rFonts w:ascii="ＭＳ Ｐゴシック" w:eastAsia="ＭＳ Ｐゴシック" w:hAnsi="ＭＳ Ｐゴシック" w:cs="Arial"/>
                <w:color w:val="000000"/>
                <w:kern w:val="0"/>
                <w:sz w:val="24"/>
              </w:rPr>
            </w:pPr>
            <w:r w:rsidRPr="00B81785">
              <w:rPr>
                <w:rFonts w:ascii="ＭＳ Ｐゴシック" w:eastAsia="ＭＳ Ｐゴシック" w:hAnsi="ＭＳ Ｐゴシック" w:cs="Arial" w:hint="eastAsia"/>
                <w:color w:val="000000"/>
                <w:kern w:val="0"/>
                <w:sz w:val="24"/>
              </w:rPr>
              <w:t>対象受検機関</w:t>
            </w:r>
          </w:p>
        </w:tc>
        <w:tc>
          <w:tcPr>
            <w:tcW w:w="8789" w:type="dxa"/>
            <w:shd w:val="clear" w:color="auto" w:fill="auto"/>
            <w:vAlign w:val="center"/>
          </w:tcPr>
          <w:p w:rsidR="00B81785" w:rsidRPr="00B81785" w:rsidRDefault="00B81785" w:rsidP="00B81785">
            <w:pPr>
              <w:widowControl/>
              <w:autoSpaceDE w:val="0"/>
              <w:autoSpaceDN w:val="0"/>
              <w:jc w:val="center"/>
              <w:rPr>
                <w:rFonts w:ascii="ＭＳ Ｐゴシック" w:eastAsia="ＭＳ Ｐゴシック" w:hAnsi="ＭＳ Ｐゴシック" w:cs="Arial"/>
                <w:kern w:val="0"/>
                <w:sz w:val="24"/>
              </w:rPr>
            </w:pPr>
            <w:r w:rsidRPr="00B81785">
              <w:rPr>
                <w:rFonts w:ascii="ＭＳ Ｐゴシック" w:eastAsia="ＭＳ Ｐゴシック" w:hAnsi="ＭＳ Ｐゴシック" w:cs="Arial" w:hint="eastAsia"/>
                <w:color w:val="000000"/>
                <w:kern w:val="0"/>
                <w:sz w:val="24"/>
              </w:rPr>
              <w:t>検出事項</w:t>
            </w:r>
          </w:p>
        </w:tc>
        <w:tc>
          <w:tcPr>
            <w:tcW w:w="5528" w:type="dxa"/>
            <w:shd w:val="clear" w:color="auto" w:fill="auto"/>
            <w:vAlign w:val="center"/>
          </w:tcPr>
          <w:p w:rsidR="00B81785" w:rsidRPr="00B81785" w:rsidRDefault="00B81785" w:rsidP="00B81785">
            <w:pPr>
              <w:widowControl/>
              <w:autoSpaceDE w:val="0"/>
              <w:autoSpaceDN w:val="0"/>
              <w:jc w:val="center"/>
              <w:rPr>
                <w:rFonts w:ascii="ＭＳ Ｐゴシック" w:eastAsia="ＭＳ Ｐゴシック" w:hAnsi="ＭＳ Ｐゴシック" w:cs="Arial"/>
                <w:kern w:val="0"/>
                <w:sz w:val="24"/>
              </w:rPr>
            </w:pPr>
            <w:r w:rsidRPr="00B81785">
              <w:rPr>
                <w:rFonts w:ascii="ＭＳ Ｐゴシック" w:eastAsia="ＭＳ Ｐゴシック" w:hAnsi="ＭＳ Ｐゴシック" w:hint="eastAsia"/>
                <w:sz w:val="24"/>
              </w:rPr>
              <w:t>是正を求める事項</w:t>
            </w:r>
          </w:p>
        </w:tc>
        <w:tc>
          <w:tcPr>
            <w:tcW w:w="4961" w:type="dxa"/>
            <w:vAlign w:val="center"/>
          </w:tcPr>
          <w:p w:rsidR="00B81785" w:rsidRPr="00B81785" w:rsidRDefault="00B81785" w:rsidP="00B81785">
            <w:pPr>
              <w:widowControl/>
              <w:autoSpaceDE w:val="0"/>
              <w:autoSpaceDN w:val="0"/>
              <w:jc w:val="center"/>
              <w:rPr>
                <w:rFonts w:ascii="ＭＳ Ｐゴシック" w:eastAsia="ＭＳ Ｐゴシック" w:hAnsi="ＭＳ Ｐゴシック" w:hint="eastAsia"/>
                <w:sz w:val="24"/>
              </w:rPr>
            </w:pPr>
            <w:r w:rsidRPr="00B81785">
              <w:rPr>
                <w:rFonts w:ascii="ＭＳ Ｐゴシック" w:eastAsia="ＭＳ Ｐゴシック" w:hAnsi="ＭＳ Ｐゴシック" w:hint="eastAsia"/>
                <w:sz w:val="24"/>
              </w:rPr>
              <w:t>措置の内容</w:t>
            </w:r>
          </w:p>
        </w:tc>
      </w:tr>
      <w:tr w:rsidR="00B81785" w:rsidRPr="00B81785" w:rsidTr="009F41E5">
        <w:trPr>
          <w:trHeight w:val="11237"/>
        </w:trPr>
        <w:tc>
          <w:tcPr>
            <w:tcW w:w="1242" w:type="dxa"/>
            <w:shd w:val="clear" w:color="auto" w:fill="auto"/>
          </w:tcPr>
          <w:p w:rsidR="00B81785" w:rsidRPr="00B81785" w:rsidRDefault="00B81785" w:rsidP="00B81785">
            <w:pPr>
              <w:autoSpaceDE w:val="0"/>
              <w:autoSpaceDN w:val="0"/>
              <w:rPr>
                <w:rFonts w:ascii="ＭＳ 明朝" w:hAnsi="ＭＳ 明朝"/>
                <w:sz w:val="24"/>
              </w:rPr>
            </w:pPr>
          </w:p>
          <w:p w:rsidR="00B81785" w:rsidRPr="00B81785" w:rsidRDefault="00B81785" w:rsidP="00B81785">
            <w:pPr>
              <w:autoSpaceDE w:val="0"/>
              <w:autoSpaceDN w:val="0"/>
              <w:rPr>
                <w:rFonts w:ascii="ＭＳ 明朝" w:hAnsi="ＭＳ 明朝"/>
                <w:sz w:val="24"/>
              </w:rPr>
            </w:pPr>
            <w:r w:rsidRPr="00B81785">
              <w:rPr>
                <w:rFonts w:ascii="ＭＳ 明朝" w:hAnsi="ＭＳ 明朝" w:hint="eastAsia"/>
                <w:sz w:val="24"/>
              </w:rPr>
              <w:t>公衆衛生研究所</w:t>
            </w:r>
          </w:p>
        </w:tc>
        <w:tc>
          <w:tcPr>
            <w:tcW w:w="8789" w:type="dxa"/>
            <w:shd w:val="clear" w:color="auto" w:fill="auto"/>
          </w:tcPr>
          <w:p w:rsidR="00B81785" w:rsidRPr="00B81785" w:rsidRDefault="00B81785" w:rsidP="00B81785">
            <w:pPr>
              <w:autoSpaceDE w:val="0"/>
              <w:autoSpaceDN w:val="0"/>
              <w:snapToGrid w:val="0"/>
              <w:ind w:left="240" w:hangingChars="100" w:hanging="240"/>
              <w:rPr>
                <w:rFonts w:ascii="ＭＳ 明朝" w:hAnsi="ＭＳ 明朝" w:cs="Arial"/>
                <w:sz w:val="24"/>
              </w:rPr>
            </w:pPr>
          </w:p>
          <w:p w:rsidR="00B81785" w:rsidRPr="00B81785" w:rsidRDefault="00B81785" w:rsidP="00B81785">
            <w:pPr>
              <w:autoSpaceDE w:val="0"/>
              <w:autoSpaceDN w:val="0"/>
              <w:ind w:firstLineChars="100" w:firstLine="240"/>
              <w:rPr>
                <w:rFonts w:ascii="ＭＳ 明朝" w:hAnsi="ＭＳ 明朝" w:cs="Arial" w:hint="eastAsia"/>
                <w:sz w:val="24"/>
              </w:rPr>
            </w:pPr>
            <w:r w:rsidRPr="00B81785">
              <w:rPr>
                <w:rFonts w:ascii="ＭＳ 明朝" w:hAnsi="ＭＳ 明朝" w:cs="Arial" w:hint="eastAsia"/>
                <w:sz w:val="24"/>
              </w:rPr>
              <w:t>管外旅費における精算事務において、旅費の確定後、30日以内に精算が行われていないものがあった。</w:t>
            </w:r>
          </w:p>
          <w:p w:rsidR="00B81785" w:rsidRPr="00B81785" w:rsidRDefault="00B81785" w:rsidP="00B81785">
            <w:pPr>
              <w:autoSpaceDE w:val="0"/>
              <w:autoSpaceDN w:val="0"/>
              <w:ind w:firstLineChars="100" w:firstLine="240"/>
              <w:rPr>
                <w:rFonts w:ascii="ＭＳ 明朝" w:hAnsi="ＭＳ 明朝" w:cs="Arial" w:hint="eastAsia"/>
                <w:sz w:val="24"/>
              </w:rPr>
            </w:pPr>
          </w:p>
          <w:p w:rsidR="00B81785" w:rsidRPr="00B81785" w:rsidRDefault="00B81785" w:rsidP="00B81785">
            <w:pPr>
              <w:autoSpaceDE w:val="0"/>
              <w:autoSpaceDN w:val="0"/>
              <w:ind w:left="240" w:hangingChars="100" w:hanging="240"/>
              <w:rPr>
                <w:rFonts w:ascii="ＭＳ 明朝" w:hAnsi="ＭＳ 明朝" w:cs="Arial" w:hint="eastAsia"/>
                <w:sz w:val="24"/>
              </w:rPr>
            </w:pPr>
            <w:r w:rsidRPr="00B81785">
              <w:rPr>
                <w:rFonts w:ascii="ＭＳ 明朝" w:hAnsi="ＭＳ 明朝" w:cs="Arial" w:hint="eastAsia"/>
                <w:sz w:val="24"/>
              </w:rPr>
              <w:t>１　旅行取り止めにより戻入額が発生したもの</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287"/>
              <w:gridCol w:w="1462"/>
              <w:gridCol w:w="2205"/>
            </w:tblGrid>
            <w:tr w:rsidR="00B81785" w:rsidRPr="00B81785" w:rsidTr="009F41E5">
              <w:trPr>
                <w:trHeight w:val="261"/>
              </w:trPr>
              <w:tc>
                <w:tcPr>
                  <w:tcW w:w="1498"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出張内容</w:t>
                  </w:r>
                </w:p>
              </w:tc>
              <w:tc>
                <w:tcPr>
                  <w:tcW w:w="1345"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旅行日</w:t>
                  </w:r>
                </w:p>
              </w:tc>
              <w:tc>
                <w:tcPr>
                  <w:tcW w:w="860"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戻入額</w:t>
                  </w:r>
                </w:p>
              </w:tc>
              <w:tc>
                <w:tcPr>
                  <w:tcW w:w="1297"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精算書の起票日</w:t>
                  </w:r>
                </w:p>
              </w:tc>
            </w:tr>
            <w:tr w:rsidR="00B81785" w:rsidRPr="00B81785" w:rsidTr="009F41E5">
              <w:trPr>
                <w:trHeight w:val="96"/>
              </w:trPr>
              <w:tc>
                <w:tcPr>
                  <w:tcW w:w="1498"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滋賀県庁</w:t>
                  </w:r>
                </w:p>
              </w:tc>
              <w:tc>
                <w:tcPr>
                  <w:tcW w:w="1345"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平成26年10月24日</w:t>
                  </w:r>
                </w:p>
              </w:tc>
              <w:tc>
                <w:tcPr>
                  <w:tcW w:w="860"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1,940円</w:t>
                  </w:r>
                </w:p>
              </w:tc>
              <w:tc>
                <w:tcPr>
                  <w:tcW w:w="1297"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平成26年12月５日</w:t>
                  </w:r>
                </w:p>
              </w:tc>
            </w:tr>
          </w:tbl>
          <w:p w:rsidR="00B81785" w:rsidRPr="00B81785" w:rsidRDefault="00B81785" w:rsidP="00B81785">
            <w:pPr>
              <w:autoSpaceDE w:val="0"/>
              <w:autoSpaceDN w:val="0"/>
              <w:rPr>
                <w:rFonts w:ascii="ＭＳ 明朝" w:hAnsi="ＭＳ 明朝" w:cs="Arial" w:hint="eastAsia"/>
                <w:sz w:val="24"/>
              </w:rPr>
            </w:pPr>
          </w:p>
          <w:p w:rsidR="00B81785" w:rsidRPr="00B81785" w:rsidRDefault="00B81785" w:rsidP="00B81785">
            <w:pPr>
              <w:autoSpaceDE w:val="0"/>
              <w:autoSpaceDN w:val="0"/>
              <w:ind w:left="240" w:hangingChars="100" w:hanging="240"/>
              <w:rPr>
                <w:rFonts w:ascii="ＭＳ 明朝" w:hAnsi="ＭＳ 明朝" w:cs="Arial"/>
                <w:sz w:val="24"/>
              </w:rPr>
            </w:pPr>
            <w:r w:rsidRPr="00B81785">
              <w:rPr>
                <w:rFonts w:ascii="ＭＳ 明朝" w:hAnsi="ＭＳ 明朝" w:cs="Arial" w:hint="eastAsia"/>
                <w:sz w:val="24"/>
              </w:rPr>
              <w:t>２　概算払い額と精算額が一致し、過払いや支給不足が発生しなかったもの</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1450"/>
              <w:gridCol w:w="2266"/>
            </w:tblGrid>
            <w:tr w:rsidR="00B81785" w:rsidRPr="00B81785" w:rsidTr="009F41E5">
              <w:trPr>
                <w:trHeight w:val="96"/>
              </w:trPr>
              <w:tc>
                <w:tcPr>
                  <w:tcW w:w="1493"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出張内容</w:t>
                  </w:r>
                </w:p>
              </w:tc>
              <w:tc>
                <w:tcPr>
                  <w:tcW w:w="1329"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旅行日</w:t>
                  </w:r>
                </w:p>
              </w:tc>
              <w:tc>
                <w:tcPr>
                  <w:tcW w:w="850"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旅費支給額</w:t>
                  </w:r>
                </w:p>
              </w:tc>
              <w:tc>
                <w:tcPr>
                  <w:tcW w:w="1329"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精算書の起票日</w:t>
                  </w:r>
                </w:p>
              </w:tc>
            </w:tr>
            <w:tr w:rsidR="00B81785" w:rsidRPr="00B81785" w:rsidTr="009F41E5">
              <w:trPr>
                <w:trHeight w:val="526"/>
              </w:trPr>
              <w:tc>
                <w:tcPr>
                  <w:tcW w:w="1493"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東京国際フォーラム</w:t>
                  </w:r>
                </w:p>
              </w:tc>
              <w:tc>
                <w:tcPr>
                  <w:tcW w:w="1329"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left"/>
                    <w:rPr>
                      <w:rFonts w:ascii="ＭＳ 明朝" w:hAnsi="ＭＳ 明朝" w:hint="eastAsia"/>
                      <w:sz w:val="24"/>
                    </w:rPr>
                  </w:pPr>
                  <w:r w:rsidRPr="00B81785">
                    <w:rPr>
                      <w:rFonts w:ascii="ＭＳ 明朝" w:hAnsi="ＭＳ 明朝" w:hint="eastAsia"/>
                      <w:sz w:val="24"/>
                    </w:rPr>
                    <w:t>平成26年４月11日</w:t>
                  </w:r>
                </w:p>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から同月12日</w:t>
                  </w:r>
                </w:p>
              </w:tc>
              <w:tc>
                <w:tcPr>
                  <w:tcW w:w="850"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37,600円</w:t>
                  </w:r>
                </w:p>
              </w:tc>
              <w:tc>
                <w:tcPr>
                  <w:tcW w:w="1329"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平成26年６月10日</w:t>
                  </w:r>
                </w:p>
              </w:tc>
            </w:tr>
            <w:tr w:rsidR="00B81785" w:rsidRPr="00B81785" w:rsidTr="009F41E5">
              <w:trPr>
                <w:trHeight w:val="449"/>
              </w:trPr>
              <w:tc>
                <w:tcPr>
                  <w:tcW w:w="1493"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東京都健康安全研究センター</w:t>
                  </w:r>
                </w:p>
              </w:tc>
              <w:tc>
                <w:tcPr>
                  <w:tcW w:w="1329"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平成26年５月７日から同月８日</w:t>
                  </w:r>
                </w:p>
              </w:tc>
              <w:tc>
                <w:tcPr>
                  <w:tcW w:w="850"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15,040円</w:t>
                  </w:r>
                </w:p>
              </w:tc>
              <w:tc>
                <w:tcPr>
                  <w:tcW w:w="1329" w:type="pct"/>
                  <w:tcBorders>
                    <w:top w:val="single" w:sz="4" w:space="0" w:color="auto"/>
                    <w:left w:val="single" w:sz="4" w:space="0" w:color="auto"/>
                    <w:bottom w:val="single" w:sz="4" w:space="0" w:color="auto"/>
                    <w:right w:val="single" w:sz="4" w:space="0" w:color="auto"/>
                  </w:tcBorders>
                  <w:vAlign w:val="center"/>
                  <w:hideMark/>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平成26年６月13日</w:t>
                  </w:r>
                </w:p>
              </w:tc>
            </w:tr>
            <w:tr w:rsidR="00B81785" w:rsidRPr="00B81785" w:rsidTr="009F41E5">
              <w:trPr>
                <w:trHeight w:val="260"/>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hint="eastAsia"/>
                      <w:sz w:val="24"/>
                    </w:rPr>
                  </w:pPr>
                  <w:r w:rsidRPr="00B81785">
                    <w:rPr>
                      <w:rFonts w:ascii="ＭＳ 明朝" w:hAnsi="ＭＳ 明朝" w:hint="eastAsia"/>
                      <w:sz w:val="24"/>
                    </w:rPr>
                    <w:t>ヒルトン福岡</w:t>
                  </w:r>
                </w:p>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シーホーク</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平成26年６月18日から同月20日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48,150円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平成26年８月12日</w:t>
                  </w:r>
                </w:p>
              </w:tc>
            </w:tr>
            <w:tr w:rsidR="00B81785" w:rsidRPr="00B81785" w:rsidTr="009F41E5">
              <w:trPr>
                <w:trHeight w:val="198"/>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hint="eastAsia"/>
                      <w:sz w:val="24"/>
                    </w:rPr>
                  </w:pPr>
                  <w:r w:rsidRPr="00B81785">
                    <w:rPr>
                      <w:rFonts w:ascii="ＭＳ 明朝" w:hAnsi="ＭＳ 明朝" w:hint="eastAsia"/>
                      <w:sz w:val="24"/>
                    </w:rPr>
                    <w:t>タワーホール船堀</w:t>
                  </w:r>
                </w:p>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（２件）</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平成26年６月25日から同月27日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46,540円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平成26年８月12日</w:t>
                  </w:r>
                </w:p>
              </w:tc>
            </w:tr>
            <w:tr w:rsidR="00B81785" w:rsidRPr="00B81785" w:rsidTr="009F41E5">
              <w:trPr>
                <w:trHeight w:val="122"/>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タワーホール船堀</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平成26年６月25日から同月27日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rPr>
                  </w:pPr>
                  <w:r w:rsidRPr="00B81785">
                    <w:rPr>
                      <w:rFonts w:ascii="ＭＳ 明朝" w:hAnsi="ＭＳ 明朝" w:hint="eastAsia"/>
                      <w:sz w:val="24"/>
                    </w:rPr>
                    <w:t>46,910円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平成26年12月２日</w:t>
                  </w:r>
                </w:p>
              </w:tc>
            </w:tr>
            <w:tr w:rsidR="00B81785" w:rsidRPr="00B81785" w:rsidTr="009F41E5">
              <w:trPr>
                <w:trHeight w:val="343"/>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color w:val="FF0000"/>
                      <w:sz w:val="24"/>
                    </w:rPr>
                  </w:pPr>
                  <w:r w:rsidRPr="00B81785">
                    <w:rPr>
                      <w:rFonts w:ascii="ＭＳ 明朝" w:hAnsi="ＭＳ 明朝" w:hint="eastAsia"/>
                      <w:sz w:val="24"/>
                    </w:rPr>
                    <w:t>タワーホール船堀</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color w:val="FF0000"/>
                      <w:sz w:val="24"/>
                    </w:rPr>
                  </w:pPr>
                  <w:r w:rsidRPr="00B81785">
                    <w:rPr>
                      <w:rFonts w:ascii="ＭＳ 明朝" w:hAnsi="ＭＳ 明朝" w:hint="eastAsia"/>
                      <w:sz w:val="24"/>
                    </w:rPr>
                    <w:t>平成26年６月26日から同月27日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38,400円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平成26年８月12日</w:t>
                  </w:r>
                </w:p>
              </w:tc>
            </w:tr>
            <w:tr w:rsidR="00B81785" w:rsidRPr="00B81785" w:rsidTr="009F41E5">
              <w:trPr>
                <w:trHeight w:val="96"/>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東京都健康安全研究センター</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平成26年８月29日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29,860円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平成26年10月22日</w:t>
                  </w:r>
                </w:p>
              </w:tc>
            </w:tr>
            <w:tr w:rsidR="00B81785" w:rsidRPr="00B81785" w:rsidTr="009F41E5">
              <w:trPr>
                <w:trHeight w:val="490"/>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hint="eastAsia"/>
                      <w:sz w:val="24"/>
                    </w:rPr>
                  </w:pPr>
                  <w:r w:rsidRPr="00B81785">
                    <w:rPr>
                      <w:rFonts w:ascii="ＭＳ 明朝" w:hAnsi="ＭＳ 明朝" w:hint="eastAsia"/>
                      <w:sz w:val="24"/>
                    </w:rPr>
                    <w:t>国立感染症研究所</w:t>
                  </w:r>
                </w:p>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村山庁舎</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平成26年10月６日から同月24日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174,820円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平成26年12月５日</w:t>
                  </w:r>
                </w:p>
              </w:tc>
            </w:tr>
            <w:tr w:rsidR="00B81785" w:rsidRPr="00B81785" w:rsidTr="009F41E5">
              <w:trPr>
                <w:trHeight w:val="130"/>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京王プラザホテル</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平成26年10月18日から同月19日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2,600円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平成26年12月５日</w:t>
                  </w:r>
                </w:p>
              </w:tc>
            </w:tr>
            <w:tr w:rsidR="00B81785" w:rsidRPr="00B81785" w:rsidTr="009F41E5">
              <w:trPr>
                <w:trHeight w:val="96"/>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ウインク愛知(２件)</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平成26年10月24日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13,120円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平成26年12月５日</w:t>
                  </w:r>
                </w:p>
              </w:tc>
            </w:tr>
            <w:tr w:rsidR="00B81785" w:rsidRPr="00B81785" w:rsidTr="009F41E5">
              <w:trPr>
                <w:trHeight w:val="425"/>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滋賀県庁（４件）</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平成26年10月24日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1,680円～2,500円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平成26年12月５日</w:t>
                  </w:r>
                </w:p>
              </w:tc>
            </w:tr>
            <w:tr w:rsidR="00B81785" w:rsidRPr="00B81785" w:rsidTr="009F41E5">
              <w:trPr>
                <w:trHeight w:val="550"/>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東京都庁（２件）</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平成26年10月27日から同年10月28日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37,600円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平成26年12月２日</w:t>
                  </w:r>
                </w:p>
              </w:tc>
            </w:tr>
            <w:tr w:rsidR="00B81785" w:rsidRPr="00B81785" w:rsidTr="009F41E5">
              <w:trPr>
                <w:trHeight w:val="332"/>
              </w:trPr>
              <w:tc>
                <w:tcPr>
                  <w:tcW w:w="1493"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hint="eastAsia"/>
                      <w:sz w:val="24"/>
                    </w:rPr>
                  </w:pPr>
                  <w:r w:rsidRPr="00B81785">
                    <w:rPr>
                      <w:rFonts w:ascii="ＭＳ 明朝" w:hAnsi="ＭＳ 明朝" w:hint="eastAsia"/>
                      <w:sz w:val="24"/>
                    </w:rPr>
                    <w:t>公益財団法人</w:t>
                  </w:r>
                </w:p>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日本分析センター</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left"/>
                    <w:rPr>
                      <w:rFonts w:ascii="ＭＳ 明朝" w:hAnsi="ＭＳ 明朝"/>
                      <w:sz w:val="24"/>
                    </w:rPr>
                  </w:pPr>
                  <w:r w:rsidRPr="00B81785">
                    <w:rPr>
                      <w:rFonts w:ascii="ＭＳ 明朝" w:hAnsi="ＭＳ 明朝" w:hint="eastAsia"/>
                      <w:sz w:val="24"/>
                    </w:rPr>
                    <w:t>平成26年12月16日から同月19日</w:t>
                  </w:r>
                </w:p>
              </w:tc>
              <w:tc>
                <w:tcPr>
                  <w:tcW w:w="850"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jc w:val="center"/>
                    <w:rPr>
                      <w:rFonts w:ascii="ＭＳ 明朝" w:hAnsi="ＭＳ 明朝"/>
                      <w:sz w:val="24"/>
                      <w:highlight w:val="yellow"/>
                    </w:rPr>
                  </w:pPr>
                  <w:r w:rsidRPr="00B81785">
                    <w:rPr>
                      <w:rFonts w:ascii="ＭＳ 明朝" w:hAnsi="ＭＳ 明朝" w:hint="eastAsia"/>
                      <w:sz w:val="24"/>
                    </w:rPr>
                    <w:t>58,040円</w:t>
                  </w:r>
                </w:p>
              </w:tc>
              <w:tc>
                <w:tcPr>
                  <w:tcW w:w="1329" w:type="pct"/>
                  <w:tcBorders>
                    <w:top w:val="single" w:sz="4" w:space="0" w:color="auto"/>
                    <w:left w:val="single" w:sz="4" w:space="0" w:color="auto"/>
                    <w:bottom w:val="single" w:sz="4" w:space="0" w:color="auto"/>
                    <w:right w:val="single" w:sz="4" w:space="0" w:color="auto"/>
                  </w:tcBorders>
                  <w:vAlign w:val="center"/>
                </w:tcPr>
                <w:p w:rsidR="00B81785" w:rsidRPr="00B81785" w:rsidRDefault="00B81785" w:rsidP="00B81785">
                  <w:pPr>
                    <w:framePr w:hSpace="142" w:wrap="around" w:vAnchor="text" w:hAnchor="margin" w:x="108" w:y="80"/>
                    <w:autoSpaceDE w:val="0"/>
                    <w:autoSpaceDN w:val="0"/>
                    <w:snapToGrid w:val="0"/>
                    <w:rPr>
                      <w:rFonts w:ascii="ＭＳ 明朝" w:hAnsi="ＭＳ 明朝"/>
                      <w:sz w:val="24"/>
                    </w:rPr>
                  </w:pPr>
                  <w:r w:rsidRPr="00B81785">
                    <w:rPr>
                      <w:rFonts w:ascii="ＭＳ 明朝" w:hAnsi="ＭＳ 明朝" w:hint="eastAsia"/>
                      <w:sz w:val="24"/>
                    </w:rPr>
                    <w:t>平成27年３月18日</w:t>
                  </w:r>
                </w:p>
              </w:tc>
            </w:tr>
          </w:tbl>
          <w:p w:rsidR="00B81785" w:rsidRPr="00B81785" w:rsidRDefault="00B81785" w:rsidP="00B81785">
            <w:pPr>
              <w:autoSpaceDE w:val="0"/>
              <w:autoSpaceDN w:val="0"/>
              <w:rPr>
                <w:rFonts w:ascii="ＭＳ 明朝" w:hAnsi="ＭＳ 明朝" w:cs="Arial"/>
                <w:sz w:val="24"/>
              </w:rPr>
            </w:pPr>
          </w:p>
        </w:tc>
        <w:tc>
          <w:tcPr>
            <w:tcW w:w="5528" w:type="dxa"/>
            <w:shd w:val="clear" w:color="auto" w:fill="auto"/>
          </w:tcPr>
          <w:p w:rsidR="00B81785" w:rsidRPr="00B81785" w:rsidRDefault="00B81785" w:rsidP="00B81785">
            <w:pPr>
              <w:autoSpaceDE w:val="0"/>
              <w:autoSpaceDN w:val="0"/>
              <w:snapToGrid w:val="0"/>
              <w:ind w:left="240" w:hangingChars="100" w:hanging="240"/>
              <w:rPr>
                <w:rFonts w:ascii="ＭＳ 明朝" w:hAnsi="ＭＳ 明朝" w:cs="Arial"/>
                <w:sz w:val="24"/>
              </w:rPr>
            </w:pPr>
          </w:p>
          <w:p w:rsidR="00B81785" w:rsidRPr="00B81785" w:rsidRDefault="00B81785" w:rsidP="00B81785">
            <w:pPr>
              <w:widowControl/>
              <w:autoSpaceDE w:val="0"/>
              <w:autoSpaceDN w:val="0"/>
              <w:ind w:firstLineChars="100" w:firstLine="240"/>
              <w:rPr>
                <w:rFonts w:ascii="ＭＳ 明朝" w:hAnsi="ＭＳ 明朝" w:cs="Arial"/>
                <w:sz w:val="24"/>
              </w:rPr>
            </w:pPr>
            <w:r w:rsidRPr="00B81785">
              <w:rPr>
                <w:rFonts w:ascii="ＭＳ 明朝" w:hAnsi="ＭＳ 明朝" w:cs="Arial" w:hint="eastAsia"/>
                <w:sz w:val="24"/>
              </w:rPr>
              <w:t>概算払を受けた旅費の精算手続について、大阪府財務規則の規定に基づき適正な処理を行うよう、全職員に徹底されたい。</w:t>
            </w:r>
          </w:p>
          <w:p w:rsidR="00B81785" w:rsidRPr="00B81785" w:rsidRDefault="00B81785" w:rsidP="00B81785">
            <w:pPr>
              <w:widowControl/>
              <w:autoSpaceDE w:val="0"/>
              <w:autoSpaceDN w:val="0"/>
              <w:rPr>
                <w:rFonts w:ascii="ＭＳ 明朝" w:hAnsi="ＭＳ 明朝"/>
                <w:sz w:val="24"/>
              </w:rPr>
            </w:pPr>
            <w:r>
              <w:rPr>
                <w:rFonts w:ascii="ＭＳ 明朝" w:hAnsi="ＭＳ 明朝"/>
                <w:noProof/>
              </w:rPr>
              <mc:AlternateContent>
                <mc:Choice Requires="wps">
                  <w:drawing>
                    <wp:anchor distT="45720" distB="45720" distL="114300" distR="114300" simplePos="0" relativeHeight="251705344" behindDoc="0" locked="0" layoutInCell="1" allowOverlap="1">
                      <wp:simplePos x="0" y="0"/>
                      <wp:positionH relativeFrom="column">
                        <wp:posOffset>-26035</wp:posOffset>
                      </wp:positionH>
                      <wp:positionV relativeFrom="paragraph">
                        <wp:posOffset>200660</wp:posOffset>
                      </wp:positionV>
                      <wp:extent cx="3367405" cy="2454910"/>
                      <wp:effectExtent l="12065" t="11430" r="11430" b="101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2454910"/>
                              </a:xfrm>
                              <a:prstGeom prst="rect">
                                <a:avLst/>
                              </a:prstGeom>
                              <a:solidFill>
                                <a:srgbClr val="FFFFFF"/>
                              </a:solidFill>
                              <a:ln w="6350">
                                <a:solidFill>
                                  <a:srgbClr val="000000"/>
                                </a:solidFill>
                                <a:prstDash val="dash"/>
                                <a:miter lim="800000"/>
                                <a:headEnd/>
                                <a:tailEnd/>
                              </a:ln>
                            </wps:spPr>
                            <wps:txbx>
                              <w:txbxContent>
                                <w:p w:rsidR="00B81785" w:rsidRDefault="00B81785" w:rsidP="00B81785">
                                  <w:pPr>
                                    <w:autoSpaceDE w:val="0"/>
                                    <w:autoSpaceDN w:val="0"/>
                                    <w:rPr>
                                      <w:rFonts w:ascii="ＭＳ 明朝" w:hAnsi="ＭＳ 明朝"/>
                                      <w:sz w:val="24"/>
                                    </w:rPr>
                                  </w:pPr>
                                  <w:r>
                                    <w:rPr>
                                      <w:rFonts w:ascii="ＭＳ 明朝" w:hAnsi="ＭＳ 明朝" w:hint="eastAsia"/>
                                      <w:sz w:val="24"/>
                                    </w:rPr>
                                    <w:t>【地方自治法施行令】</w:t>
                                  </w:r>
                                </w:p>
                                <w:p w:rsidR="00B81785" w:rsidRDefault="00B81785" w:rsidP="00B81785">
                                  <w:pPr>
                                    <w:autoSpaceDE w:val="0"/>
                                    <w:autoSpaceDN w:val="0"/>
                                    <w:rPr>
                                      <w:rFonts w:ascii="ＭＳ 明朝" w:hAnsi="ＭＳ 明朝"/>
                                      <w:sz w:val="24"/>
                                    </w:rPr>
                                  </w:pPr>
                                  <w:r>
                                    <w:rPr>
                                      <w:rFonts w:ascii="ＭＳ 明朝" w:hAnsi="ＭＳ 明朝" w:hint="eastAsia"/>
                                      <w:sz w:val="24"/>
                                    </w:rPr>
                                    <w:t xml:space="preserve">（概算払） </w:t>
                                  </w:r>
                                </w:p>
                                <w:p w:rsidR="00B81785" w:rsidRDefault="00B81785" w:rsidP="00B81785">
                                  <w:pPr>
                                    <w:autoSpaceDE w:val="0"/>
                                    <w:autoSpaceDN w:val="0"/>
                                    <w:ind w:left="240" w:hangingChars="100" w:hanging="240"/>
                                    <w:rPr>
                                      <w:rFonts w:ascii="ＭＳ 明朝" w:hAnsi="ＭＳ 明朝"/>
                                      <w:sz w:val="24"/>
                                      <w:szCs w:val="22"/>
                                    </w:rPr>
                                  </w:pPr>
                                  <w:r>
                                    <w:rPr>
                                      <w:rFonts w:ascii="ＭＳ 明朝" w:hAnsi="ＭＳ 明朝" w:hint="eastAsia"/>
                                      <w:sz w:val="24"/>
                                    </w:rPr>
                                    <w:t xml:space="preserve">第162条　次の各号に掲げる経費については、概算払をすることができる。 </w:t>
                                  </w:r>
                                </w:p>
                                <w:p w:rsidR="00B81785" w:rsidRDefault="00B81785" w:rsidP="00B81785">
                                  <w:pPr>
                                    <w:autoSpaceDE w:val="0"/>
                                    <w:autoSpaceDN w:val="0"/>
                                    <w:ind w:firstLineChars="100" w:firstLine="240"/>
                                    <w:rPr>
                                      <w:rFonts w:ascii="ＭＳ 明朝" w:hAnsi="ＭＳ 明朝"/>
                                      <w:sz w:val="24"/>
                                    </w:rPr>
                                  </w:pPr>
                                  <w:r>
                                    <w:rPr>
                                      <w:rFonts w:ascii="ＭＳ 明朝" w:hAnsi="ＭＳ 明朝" w:hint="eastAsia"/>
                                      <w:sz w:val="24"/>
                                    </w:rPr>
                                    <w:t>(1)  旅費</w:t>
                                  </w:r>
                                </w:p>
                                <w:p w:rsidR="00B81785" w:rsidRDefault="00B81785" w:rsidP="00B81785">
                                  <w:pPr>
                                    <w:autoSpaceDE w:val="0"/>
                                    <w:autoSpaceDN w:val="0"/>
                                    <w:rPr>
                                      <w:rFonts w:ascii="ＭＳ 明朝" w:hAnsi="ＭＳ 明朝"/>
                                      <w:sz w:val="24"/>
                                    </w:rPr>
                                  </w:pPr>
                                </w:p>
                                <w:p w:rsidR="00B81785" w:rsidRDefault="00B81785" w:rsidP="00B81785">
                                  <w:pPr>
                                    <w:autoSpaceDE w:val="0"/>
                                    <w:autoSpaceDN w:val="0"/>
                                    <w:rPr>
                                      <w:rFonts w:ascii="ＭＳ 明朝" w:hAnsi="ＭＳ 明朝"/>
                                      <w:sz w:val="24"/>
                                    </w:rPr>
                                  </w:pPr>
                                  <w:r>
                                    <w:rPr>
                                      <w:rFonts w:ascii="ＭＳ 明朝" w:hAnsi="ＭＳ 明朝" w:hint="eastAsia"/>
                                      <w:sz w:val="24"/>
                                    </w:rPr>
                                    <w:t>【大阪府財務規則】</w:t>
                                  </w:r>
                                </w:p>
                                <w:p w:rsidR="00B81785" w:rsidRDefault="00B81785" w:rsidP="00B81785">
                                  <w:pPr>
                                    <w:autoSpaceDE w:val="0"/>
                                    <w:autoSpaceDN w:val="0"/>
                                    <w:rPr>
                                      <w:rFonts w:ascii="ＭＳ 明朝" w:hAnsi="ＭＳ 明朝"/>
                                      <w:sz w:val="24"/>
                                    </w:rPr>
                                  </w:pPr>
                                  <w:r>
                                    <w:rPr>
                                      <w:rFonts w:ascii="ＭＳ 明朝" w:hAnsi="ＭＳ 明朝" w:hint="eastAsia"/>
                                      <w:sz w:val="24"/>
                                    </w:rPr>
                                    <w:t>（概算払の精算）</w:t>
                                  </w:r>
                                </w:p>
                                <w:p w:rsidR="00B81785" w:rsidRDefault="00B81785" w:rsidP="00B81785">
                                  <w:pPr>
                                    <w:autoSpaceDE w:val="0"/>
                                    <w:autoSpaceDN w:val="0"/>
                                    <w:ind w:left="240" w:hangingChars="100" w:hanging="240"/>
                                    <w:rPr>
                                      <w:szCs w:val="22"/>
                                    </w:rPr>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5pt;margin-top:15.8pt;width:265.15pt;height:193.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" strokeweight=".5pt">
                      <v:stroke dashstyle="dash"/>
                      <v:textbox>
                        <w:txbxContent>
                          <w:p w:rsidR="00B81785" w:rsidRDefault="00B81785" w:rsidP="00B81785">
                            <w:pPr>
                              <w:autoSpaceDE w:val="0"/>
                              <w:autoSpaceDN w:val="0"/>
                              <w:rPr>
                                <w:rFonts w:ascii="ＭＳ 明朝" w:hAnsi="ＭＳ 明朝"/>
                                <w:sz w:val="24"/>
                              </w:rPr>
                            </w:pPr>
                            <w:r>
                              <w:rPr>
                                <w:rFonts w:ascii="ＭＳ 明朝" w:hAnsi="ＭＳ 明朝" w:hint="eastAsia"/>
                                <w:sz w:val="24"/>
                              </w:rPr>
                              <w:t>【地方自治法施行令】</w:t>
                            </w:r>
                          </w:p>
                          <w:p w:rsidR="00B81785" w:rsidRDefault="00B81785" w:rsidP="00B81785">
                            <w:pPr>
                              <w:autoSpaceDE w:val="0"/>
                              <w:autoSpaceDN w:val="0"/>
                              <w:rPr>
                                <w:rFonts w:ascii="ＭＳ 明朝" w:hAnsi="ＭＳ 明朝"/>
                                <w:sz w:val="24"/>
                              </w:rPr>
                            </w:pPr>
                            <w:r>
                              <w:rPr>
                                <w:rFonts w:ascii="ＭＳ 明朝" w:hAnsi="ＭＳ 明朝" w:hint="eastAsia"/>
                                <w:sz w:val="24"/>
                              </w:rPr>
                              <w:t xml:space="preserve">（概算払） </w:t>
                            </w:r>
                          </w:p>
                          <w:p w:rsidR="00B81785" w:rsidRDefault="00B81785" w:rsidP="00B81785">
                            <w:pPr>
                              <w:autoSpaceDE w:val="0"/>
                              <w:autoSpaceDN w:val="0"/>
                              <w:ind w:left="240" w:hangingChars="100" w:hanging="240"/>
                              <w:rPr>
                                <w:rFonts w:ascii="ＭＳ 明朝" w:hAnsi="ＭＳ 明朝"/>
                                <w:sz w:val="24"/>
                                <w:szCs w:val="22"/>
                              </w:rPr>
                            </w:pPr>
                            <w:r>
                              <w:rPr>
                                <w:rFonts w:ascii="ＭＳ 明朝" w:hAnsi="ＭＳ 明朝" w:hint="eastAsia"/>
                                <w:sz w:val="24"/>
                              </w:rPr>
                              <w:t xml:space="preserve">第162条　次の各号に掲げる経費については、概算払をすることができる。 </w:t>
                            </w:r>
                          </w:p>
                          <w:p w:rsidR="00B81785" w:rsidRDefault="00B81785" w:rsidP="00B81785">
                            <w:pPr>
                              <w:autoSpaceDE w:val="0"/>
                              <w:autoSpaceDN w:val="0"/>
                              <w:ind w:firstLineChars="100" w:firstLine="240"/>
                              <w:rPr>
                                <w:rFonts w:ascii="ＭＳ 明朝" w:hAnsi="ＭＳ 明朝"/>
                                <w:sz w:val="24"/>
                              </w:rPr>
                            </w:pPr>
                            <w:r>
                              <w:rPr>
                                <w:rFonts w:ascii="ＭＳ 明朝" w:hAnsi="ＭＳ 明朝" w:hint="eastAsia"/>
                                <w:sz w:val="24"/>
                              </w:rPr>
                              <w:t>(1)  旅費</w:t>
                            </w:r>
                          </w:p>
                          <w:p w:rsidR="00B81785" w:rsidRDefault="00B81785" w:rsidP="00B81785">
                            <w:pPr>
                              <w:autoSpaceDE w:val="0"/>
                              <w:autoSpaceDN w:val="0"/>
                              <w:rPr>
                                <w:rFonts w:ascii="ＭＳ 明朝" w:hAnsi="ＭＳ 明朝"/>
                                <w:sz w:val="24"/>
                              </w:rPr>
                            </w:pPr>
                          </w:p>
                          <w:p w:rsidR="00B81785" w:rsidRDefault="00B81785" w:rsidP="00B81785">
                            <w:pPr>
                              <w:autoSpaceDE w:val="0"/>
                              <w:autoSpaceDN w:val="0"/>
                              <w:rPr>
                                <w:rFonts w:ascii="ＭＳ 明朝" w:hAnsi="ＭＳ 明朝"/>
                                <w:sz w:val="24"/>
                              </w:rPr>
                            </w:pPr>
                            <w:r>
                              <w:rPr>
                                <w:rFonts w:ascii="ＭＳ 明朝" w:hAnsi="ＭＳ 明朝" w:hint="eastAsia"/>
                                <w:sz w:val="24"/>
                              </w:rPr>
                              <w:t>【大阪府財務規則】</w:t>
                            </w:r>
                          </w:p>
                          <w:p w:rsidR="00B81785" w:rsidRDefault="00B81785" w:rsidP="00B81785">
                            <w:pPr>
                              <w:autoSpaceDE w:val="0"/>
                              <w:autoSpaceDN w:val="0"/>
                              <w:rPr>
                                <w:rFonts w:ascii="ＭＳ 明朝" w:hAnsi="ＭＳ 明朝"/>
                                <w:sz w:val="24"/>
                              </w:rPr>
                            </w:pPr>
                            <w:r>
                              <w:rPr>
                                <w:rFonts w:ascii="ＭＳ 明朝" w:hAnsi="ＭＳ 明朝" w:hint="eastAsia"/>
                                <w:sz w:val="24"/>
                              </w:rPr>
                              <w:t>（概算払の精算）</w:t>
                            </w:r>
                          </w:p>
                          <w:p w:rsidR="00B81785" w:rsidRDefault="00B81785" w:rsidP="00B81785">
                            <w:pPr>
                              <w:autoSpaceDE w:val="0"/>
                              <w:autoSpaceDN w:val="0"/>
                              <w:ind w:left="240" w:hangingChars="100" w:hanging="240"/>
                              <w:rPr>
                                <w:szCs w:val="22"/>
                              </w:rPr>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w10:wrap type="square"/>
                    </v:shape>
                  </w:pict>
                </mc:Fallback>
              </mc:AlternateContent>
            </w:r>
          </w:p>
        </w:tc>
        <w:tc>
          <w:tcPr>
            <w:tcW w:w="4961" w:type="dxa"/>
          </w:tcPr>
          <w:p w:rsidR="00B81785" w:rsidRPr="00B81785" w:rsidRDefault="00B81785" w:rsidP="00B81785">
            <w:pPr>
              <w:autoSpaceDE w:val="0"/>
              <w:autoSpaceDN w:val="0"/>
              <w:snapToGrid w:val="0"/>
              <w:ind w:firstLineChars="100" w:firstLine="240"/>
              <w:jc w:val="left"/>
              <w:rPr>
                <w:rFonts w:ascii="ＭＳ 明朝" w:hAnsi="ＭＳ 明朝" w:hint="eastAsia"/>
                <w:sz w:val="24"/>
              </w:rPr>
            </w:pPr>
          </w:p>
          <w:p w:rsidR="00B81785" w:rsidRPr="00B81785" w:rsidRDefault="00B81785" w:rsidP="00B81785">
            <w:pPr>
              <w:autoSpaceDE w:val="0"/>
              <w:autoSpaceDN w:val="0"/>
              <w:snapToGrid w:val="0"/>
              <w:ind w:firstLineChars="100" w:firstLine="240"/>
              <w:rPr>
                <w:rFonts w:ascii="ＭＳ 明朝" w:hAnsi="ＭＳ 明朝"/>
                <w:sz w:val="24"/>
              </w:rPr>
            </w:pPr>
            <w:r w:rsidRPr="00B81785">
              <w:rPr>
                <w:rFonts w:ascii="ＭＳ 明朝" w:hAnsi="ＭＳ 明朝" w:hint="eastAsia"/>
                <w:sz w:val="24"/>
              </w:rPr>
              <w:t>平成27年11月13日に全職員に対して監査結果の情報共有を行い、財務規則の規定の周知徹底を図った。併せて総務課担当者に事務を適正に行うよう指導し、今後は担当者と決裁権者によるダブルチェックを徹底することを確認した。</w:t>
            </w:r>
          </w:p>
          <w:p w:rsidR="00B81785" w:rsidRPr="00B81785" w:rsidRDefault="00B81785" w:rsidP="00B81785">
            <w:pPr>
              <w:autoSpaceDE w:val="0"/>
              <w:autoSpaceDN w:val="0"/>
              <w:snapToGrid w:val="0"/>
              <w:ind w:leftChars="100" w:left="210"/>
              <w:rPr>
                <w:rFonts w:ascii="ＭＳ 明朝" w:hAnsi="ＭＳ 明朝" w:hint="eastAsia"/>
                <w:sz w:val="24"/>
              </w:rPr>
            </w:pPr>
            <w:r w:rsidRPr="00B81785">
              <w:rPr>
                <w:rFonts w:ascii="ＭＳ 明朝" w:hAnsi="ＭＳ 明朝" w:hint="eastAsia"/>
                <w:sz w:val="24"/>
              </w:rPr>
              <w:t>今後は、会計事務の適正な事務執行に努め</w:t>
            </w:r>
          </w:p>
          <w:p w:rsidR="00B81785" w:rsidRPr="00B81785" w:rsidRDefault="00B81785" w:rsidP="00B81785">
            <w:pPr>
              <w:autoSpaceDE w:val="0"/>
              <w:autoSpaceDN w:val="0"/>
              <w:snapToGrid w:val="0"/>
              <w:rPr>
                <w:rFonts w:ascii="ＭＳ 明朝" w:hAnsi="ＭＳ 明朝" w:cs="Arial"/>
                <w:sz w:val="24"/>
              </w:rPr>
            </w:pPr>
            <w:r w:rsidRPr="00B81785">
              <w:rPr>
                <w:rFonts w:ascii="ＭＳ 明朝" w:hAnsi="ＭＳ 明朝" w:hint="eastAsia"/>
                <w:sz w:val="24"/>
              </w:rPr>
              <w:t>る。</w:t>
            </w:r>
          </w:p>
        </w:tc>
      </w:tr>
    </w:tbl>
    <w:p w:rsidR="00B81785" w:rsidRPr="00B81785" w:rsidRDefault="00B81785" w:rsidP="00B81785">
      <w:pPr>
        <w:autoSpaceDE w:val="0"/>
        <w:autoSpaceDN w:val="0"/>
        <w:ind w:right="-63" w:firstLineChars="4900" w:firstLine="11760"/>
        <w:rPr>
          <w:rFonts w:ascii="ＭＳ ゴシック" w:eastAsia="ＭＳ ゴシック" w:hAnsi="ＭＳ ゴシック" w:hint="eastAsia"/>
          <w:sz w:val="24"/>
        </w:rPr>
      </w:pPr>
      <w:r w:rsidRPr="00B81785">
        <w:rPr>
          <w:rFonts w:ascii="ＭＳ ゴシック" w:eastAsia="ＭＳ ゴシック" w:hAnsi="ＭＳ ゴシック" w:hint="eastAsia"/>
          <w:sz w:val="24"/>
        </w:rPr>
        <w:t>監査（検査）実施年月日（委員：平成28年１月13日、事務局：平成27年11月12日）</w:t>
      </w:r>
      <w:bookmarkStart w:id="0" w:name="_GoBack"/>
      <w:bookmarkEnd w:id="0"/>
    </w:p>
    <w:sectPr w:rsidR="00B81785" w:rsidRPr="00B81785"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41" w:rsidRDefault="00562041">
      <w:r>
        <w:separator/>
      </w:r>
    </w:p>
  </w:endnote>
  <w:endnote w:type="continuationSeparator" w:id="0">
    <w:p w:rsidR="00562041" w:rsidRDefault="0056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Default="003C53D2">
    <w:pPr>
      <w:pStyle w:val="a4"/>
      <w:jc w:val="center"/>
    </w:pPr>
  </w:p>
  <w:p w:rsidR="003C53D2" w:rsidRDefault="003C53D2">
    <w:pPr>
      <w:pStyle w:val="a4"/>
      <w:jc w:val="center"/>
    </w:pPr>
  </w:p>
  <w:p w:rsidR="003C53D2" w:rsidRDefault="003C5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41" w:rsidRDefault="00562041">
      <w:r>
        <w:separator/>
      </w:r>
    </w:p>
  </w:footnote>
  <w:footnote w:type="continuationSeparator" w:id="0">
    <w:p w:rsidR="00562041" w:rsidRDefault="0056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Pr="00EE21E4" w:rsidRDefault="003C53D2"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53D2"/>
    <w:rsid w:val="003C7320"/>
    <w:rsid w:val="003E4B45"/>
    <w:rsid w:val="003F1E65"/>
    <w:rsid w:val="00421F90"/>
    <w:rsid w:val="00424811"/>
    <w:rsid w:val="00425885"/>
    <w:rsid w:val="00465986"/>
    <w:rsid w:val="00490814"/>
    <w:rsid w:val="004963B6"/>
    <w:rsid w:val="0049671D"/>
    <w:rsid w:val="0049675E"/>
    <w:rsid w:val="00497692"/>
    <w:rsid w:val="004A0DB1"/>
    <w:rsid w:val="004B5AB7"/>
    <w:rsid w:val="004B65AA"/>
    <w:rsid w:val="004E6204"/>
    <w:rsid w:val="004F06C3"/>
    <w:rsid w:val="005203C3"/>
    <w:rsid w:val="005205C8"/>
    <w:rsid w:val="005249BB"/>
    <w:rsid w:val="0055438C"/>
    <w:rsid w:val="00562041"/>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D61BA"/>
    <w:rsid w:val="006E4247"/>
    <w:rsid w:val="006F64FE"/>
    <w:rsid w:val="006F69E3"/>
    <w:rsid w:val="007015A1"/>
    <w:rsid w:val="007042DA"/>
    <w:rsid w:val="007103C5"/>
    <w:rsid w:val="00710947"/>
    <w:rsid w:val="007157B2"/>
    <w:rsid w:val="0075333E"/>
    <w:rsid w:val="00762F11"/>
    <w:rsid w:val="007721BF"/>
    <w:rsid w:val="00786AC6"/>
    <w:rsid w:val="007A5F99"/>
    <w:rsid w:val="007B0C34"/>
    <w:rsid w:val="007B4C77"/>
    <w:rsid w:val="007F1F04"/>
    <w:rsid w:val="0081215E"/>
    <w:rsid w:val="008316F1"/>
    <w:rsid w:val="00851319"/>
    <w:rsid w:val="008633FD"/>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94381"/>
    <w:rsid w:val="00AA6A05"/>
    <w:rsid w:val="00AE3161"/>
    <w:rsid w:val="00AE41F0"/>
    <w:rsid w:val="00B33740"/>
    <w:rsid w:val="00B34563"/>
    <w:rsid w:val="00B43029"/>
    <w:rsid w:val="00B81785"/>
    <w:rsid w:val="00B8179D"/>
    <w:rsid w:val="00B8526F"/>
    <w:rsid w:val="00B97919"/>
    <w:rsid w:val="00BA23E7"/>
    <w:rsid w:val="00BA4AA9"/>
    <w:rsid w:val="00BB5568"/>
    <w:rsid w:val="00BB6193"/>
    <w:rsid w:val="00BC1692"/>
    <w:rsid w:val="00BE2957"/>
    <w:rsid w:val="00BE63EC"/>
    <w:rsid w:val="00C04B46"/>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573FBC-22FC-4D65-9988-5DC14A4E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2016-02-19T08:44:00Z</cp:lastPrinted>
  <dcterms:created xsi:type="dcterms:W3CDTF">2016-05-16T11:38:00Z</dcterms:created>
  <dcterms:modified xsi:type="dcterms:W3CDTF">2016-05-16T11:38:00Z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