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B1" w:rsidRPr="00D82F4E" w:rsidRDefault="006C20B1" w:rsidP="00614675">
      <w:pPr>
        <w:jc w:val="righ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</w:p>
    <w:tbl>
      <w:tblPr>
        <w:tblpPr w:leftFromText="142" w:rightFromText="142" w:vertAnchor="text" w:horzAnchor="margin" w:tblpX="108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78"/>
        <w:gridCol w:w="7064"/>
        <w:gridCol w:w="4110"/>
      </w:tblGrid>
      <w:tr w:rsidR="00225D0E" w:rsidRPr="00D82F4E" w:rsidTr="00C0111E">
        <w:trPr>
          <w:trHeight w:val="558"/>
        </w:trPr>
        <w:tc>
          <w:tcPr>
            <w:tcW w:w="1668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7678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7064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225D0E" w:rsidRPr="00AF7177" w:rsidTr="00172C0B">
        <w:trPr>
          <w:trHeight w:val="5239"/>
        </w:trPr>
        <w:tc>
          <w:tcPr>
            <w:tcW w:w="1668" w:type="dxa"/>
            <w:shd w:val="clear" w:color="auto" w:fill="auto"/>
          </w:tcPr>
          <w:p w:rsidR="00120FBC" w:rsidRDefault="00120FBC" w:rsidP="00120FB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A4B53" w:rsidRPr="00AF7177" w:rsidRDefault="006A4B53" w:rsidP="006A4B53">
            <w:pPr>
              <w:autoSpaceDE w:val="0"/>
              <w:autoSpaceDN w:val="0"/>
              <w:spacing w:line="300" w:lineRule="exact"/>
              <w:rPr>
                <w:rFonts w:hAnsi="ＭＳ 明朝" w:cs="Arial" w:hint="eastAsia"/>
              </w:rPr>
            </w:pPr>
            <w:r w:rsidRPr="00AF7177">
              <w:rPr>
                <w:rFonts w:hAnsi="ＭＳ 明朝" w:cs="Arial" w:hint="eastAsia"/>
              </w:rPr>
              <w:t>建築部</w:t>
            </w:r>
          </w:p>
          <w:p w:rsidR="00F13C23" w:rsidRPr="00AF7177" w:rsidRDefault="006A4B53" w:rsidP="004F4665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 w:rsidRPr="00AF7177">
              <w:rPr>
                <w:rFonts w:hAnsi="ＭＳ 明朝" w:cs="Arial" w:hint="eastAsia"/>
              </w:rPr>
              <w:t>居住企画課</w:t>
            </w:r>
          </w:p>
        </w:tc>
        <w:tc>
          <w:tcPr>
            <w:tcW w:w="7678" w:type="dxa"/>
            <w:shd w:val="clear" w:color="auto" w:fill="auto"/>
          </w:tcPr>
          <w:p w:rsidR="006A4B53" w:rsidRPr="00AF7177" w:rsidRDefault="006A4B53" w:rsidP="006A4B53">
            <w:pPr>
              <w:widowControl/>
              <w:autoSpaceDE w:val="0"/>
              <w:autoSpaceDN w:val="0"/>
              <w:rPr>
                <w:rFonts w:hAnsi="ＭＳ 明朝" w:hint="eastAsia"/>
              </w:rPr>
            </w:pPr>
          </w:p>
          <w:p w:rsidR="00EA0F32" w:rsidRPr="00AF7177" w:rsidRDefault="00EA0F32" w:rsidP="00EA0F32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 w:rsidRPr="00AF7177">
              <w:rPr>
                <w:rFonts w:hAnsi="ＭＳ 明朝" w:hint="eastAsia"/>
              </w:rPr>
              <w:t xml:space="preserve">　旅費の概算払をしたときは、概算払を受けた者は旅費の確定後30日以内に精算を行い、支出命令者は同期間内に精算させなければならないが、ともに当該行為を怠り、未精算のものが１件あった。</w:t>
            </w:r>
          </w:p>
          <w:p w:rsidR="00EA0F32" w:rsidRPr="00AF7177" w:rsidRDefault="00EA0F32" w:rsidP="00EA0F32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X="279" w:tblpY="45"/>
              <w:tblOverlap w:val="never"/>
              <w:tblW w:w="76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993"/>
              <w:gridCol w:w="2268"/>
              <w:gridCol w:w="1275"/>
              <w:gridCol w:w="2268"/>
            </w:tblGrid>
            <w:tr w:rsidR="00EA0F32" w:rsidRPr="00AF7177" w:rsidTr="009D3224">
              <w:trPr>
                <w:trHeight w:val="423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F32" w:rsidRPr="00AF7177" w:rsidRDefault="00EA0F32" w:rsidP="00EA0F3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職員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F32" w:rsidRPr="00AF7177" w:rsidRDefault="00EA0F32" w:rsidP="00EA0F3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出張先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F32" w:rsidRPr="00AF7177" w:rsidRDefault="00EA0F32" w:rsidP="00EA0F3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出張期間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F32" w:rsidRPr="00AF7177" w:rsidRDefault="00EA0F32" w:rsidP="00EA0F3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旅費</w:t>
                  </w:r>
                </w:p>
                <w:p w:rsidR="00EA0F32" w:rsidRPr="00AF7177" w:rsidRDefault="00EA0F32" w:rsidP="00EA0F3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支給額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F32" w:rsidRPr="00AF7177" w:rsidRDefault="00EA0F32" w:rsidP="00EA0F3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旅費支給日</w:t>
                  </w:r>
                </w:p>
              </w:tc>
            </w:tr>
            <w:tr w:rsidR="00EA0F32" w:rsidRPr="00AF7177" w:rsidTr="009D3224">
              <w:trPr>
                <w:trHeight w:val="401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F32" w:rsidRPr="00AF7177" w:rsidRDefault="00EA0F32" w:rsidP="00EA0F3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F32" w:rsidRPr="00AF7177" w:rsidRDefault="00EA0F32" w:rsidP="00EA0F3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東京都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F32" w:rsidRPr="00AF7177" w:rsidRDefault="00EA0F32" w:rsidP="00EA0F32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令和３年４月２日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F32" w:rsidRPr="00AF7177" w:rsidRDefault="00EA0F32" w:rsidP="00EA0F3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30,180円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F32" w:rsidRPr="00AF7177" w:rsidRDefault="00EA0F32" w:rsidP="00EA0F3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令和３年４月15日</w:t>
                  </w:r>
                </w:p>
              </w:tc>
            </w:tr>
          </w:tbl>
          <w:p w:rsidR="00120FBC" w:rsidRPr="00AF7177" w:rsidRDefault="00120FBC" w:rsidP="006A4B53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 w:hint="eastAsia"/>
              </w:rPr>
            </w:pPr>
          </w:p>
        </w:tc>
        <w:tc>
          <w:tcPr>
            <w:tcW w:w="7064" w:type="dxa"/>
            <w:shd w:val="clear" w:color="auto" w:fill="auto"/>
          </w:tcPr>
          <w:p w:rsidR="006A4B53" w:rsidRPr="00AF7177" w:rsidRDefault="006A4B53" w:rsidP="006A4B53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EA0F32" w:rsidRPr="00AF7177" w:rsidRDefault="00EA0F32" w:rsidP="00EA0F32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hAnsi="ＭＳ 明朝"/>
              </w:rPr>
            </w:pPr>
            <w:r w:rsidRPr="00AF7177">
              <w:rPr>
                <w:rFonts w:hAnsi="ＭＳ 明朝" w:hint="eastAsia"/>
              </w:rPr>
              <w:t>検出事項について、速やかに是正措置を講じるとともに、概算払を受けた者に対し、精算の必要性について周知徹底し、支出命令者による確認を徹底することなどを通じ、法令等に基づく適正な事務処理を行われたい。</w:t>
            </w:r>
          </w:p>
          <w:tbl>
            <w:tblPr>
              <w:tblpPr w:leftFromText="142" w:rightFromText="142" w:vertAnchor="text" w:horzAnchor="margin" w:tblpY="158"/>
              <w:tblOverlap w:val="never"/>
              <w:tblW w:w="679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9"/>
            </w:tblGrid>
            <w:tr w:rsidR="00EA0F32" w:rsidRPr="00AF7177" w:rsidTr="009D3224">
              <w:trPr>
                <w:trHeight w:val="2970"/>
              </w:trPr>
              <w:tc>
                <w:tcPr>
                  <w:tcW w:w="6799" w:type="dxa"/>
                  <w:shd w:val="clear" w:color="auto" w:fill="auto"/>
                </w:tcPr>
                <w:p w:rsidR="00EA0F32" w:rsidRPr="00AF7177" w:rsidRDefault="00EA0F32" w:rsidP="00EA0F32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【地方自治法施行令】</w:t>
                  </w:r>
                </w:p>
                <w:p w:rsidR="00EA0F32" w:rsidRPr="00AF7177" w:rsidRDefault="00EA0F32" w:rsidP="00EA0F32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 xml:space="preserve">（概算払） </w:t>
                  </w:r>
                </w:p>
                <w:p w:rsidR="00EA0F32" w:rsidRPr="00AF7177" w:rsidRDefault="00EA0F32" w:rsidP="00EA0F32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 xml:space="preserve">第162条　次の各号に掲げる経費については、概算払をすることができる。 </w:t>
                  </w:r>
                </w:p>
                <w:p w:rsidR="00EA0F32" w:rsidRPr="00AF7177" w:rsidRDefault="00EA0F32" w:rsidP="00EA0F32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一  旅費</w:t>
                  </w:r>
                </w:p>
                <w:p w:rsidR="00EA0F32" w:rsidRPr="00AF7177" w:rsidRDefault="00EA0F32" w:rsidP="00EA0F32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  <w:p w:rsidR="00EA0F32" w:rsidRPr="00AF7177" w:rsidRDefault="00EA0F32" w:rsidP="00EA0F32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【大阪府財務規則】</w:t>
                  </w:r>
                </w:p>
                <w:p w:rsidR="00EA0F32" w:rsidRPr="00AF7177" w:rsidRDefault="00EA0F32" w:rsidP="00EA0F32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（概算払の精算）</w:t>
                  </w:r>
                </w:p>
                <w:p w:rsidR="00EA0F32" w:rsidRPr="00AF7177" w:rsidRDefault="00EA0F32" w:rsidP="00EA0F32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hAnsi="ＭＳ 明朝"/>
                    </w:rPr>
                  </w:pPr>
                  <w:r w:rsidRPr="00AF7177">
                    <w:rPr>
                      <w:rFonts w:hAnsi="ＭＳ 明朝" w:hint="eastAsia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:rsidR="00225D0E" w:rsidRPr="00AF7177" w:rsidRDefault="00225D0E" w:rsidP="006A4B53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4110" w:type="dxa"/>
            <w:shd w:val="clear" w:color="auto" w:fill="auto"/>
          </w:tcPr>
          <w:p w:rsidR="00806344" w:rsidRPr="00AF7177" w:rsidRDefault="00806344" w:rsidP="00DF4C9B">
            <w:pPr>
              <w:ind w:firstLineChars="100" w:firstLine="240"/>
              <w:rPr>
                <w:rFonts w:hAnsi="ＭＳ 明朝" w:cs="ＭＳ 明朝"/>
              </w:rPr>
            </w:pPr>
          </w:p>
          <w:p w:rsidR="00120FBC" w:rsidRPr="00AF7177" w:rsidRDefault="005167EA" w:rsidP="00225D0E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AF7177">
              <w:rPr>
                <w:rFonts w:hAnsi="ＭＳ 明朝" w:hint="eastAsia"/>
              </w:rPr>
              <w:t>当該</w:t>
            </w:r>
            <w:r w:rsidR="00E9428F" w:rsidRPr="00AF7177">
              <w:rPr>
                <w:rFonts w:hAnsi="ＭＳ 明朝" w:hint="eastAsia"/>
              </w:rPr>
              <w:t>概算払に係る</w:t>
            </w:r>
            <w:r w:rsidR="00225D0E" w:rsidRPr="00AF7177">
              <w:rPr>
                <w:rFonts w:hAnsi="ＭＳ 明朝" w:hint="eastAsia"/>
              </w:rPr>
              <w:t>精算処理を</w:t>
            </w:r>
            <w:r w:rsidR="00E9428F" w:rsidRPr="00AF7177">
              <w:rPr>
                <w:rFonts w:hAnsi="ＭＳ 明朝" w:hint="eastAsia"/>
              </w:rPr>
              <w:t>行</w:t>
            </w:r>
            <w:r w:rsidR="002F053E" w:rsidRPr="00AF7177">
              <w:rPr>
                <w:rFonts w:hAnsi="ＭＳ 明朝" w:hint="eastAsia"/>
              </w:rPr>
              <w:t>った</w:t>
            </w:r>
            <w:r w:rsidR="00225D0E" w:rsidRPr="00AF7177">
              <w:rPr>
                <w:rFonts w:hAnsi="ＭＳ 明朝" w:hint="eastAsia"/>
              </w:rPr>
              <w:t>。</w:t>
            </w:r>
          </w:p>
          <w:p w:rsidR="00406FEA" w:rsidRPr="00AF7177" w:rsidRDefault="00225D0E" w:rsidP="00225D0E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F7177">
              <w:rPr>
                <w:rFonts w:hAnsi="ＭＳ 明朝" w:hint="eastAsia"/>
              </w:rPr>
              <w:t xml:space="preserve">　</w:t>
            </w:r>
            <w:r w:rsidR="002365C1" w:rsidRPr="00AF7177">
              <w:rPr>
                <w:rFonts w:hAnsi="ＭＳ 明朝" w:hint="eastAsia"/>
              </w:rPr>
              <w:t>再発防止に向けては</w:t>
            </w:r>
            <w:r w:rsidRPr="00AF7177">
              <w:rPr>
                <w:rFonts w:hAnsi="ＭＳ 明朝" w:hint="eastAsia"/>
              </w:rPr>
              <w:t>、</w:t>
            </w:r>
            <w:r w:rsidR="002F053E" w:rsidRPr="00AF7177">
              <w:rPr>
                <w:rFonts w:hAnsi="ＭＳ 明朝" w:hint="eastAsia"/>
              </w:rPr>
              <w:t>所属内の</w:t>
            </w:r>
            <w:r w:rsidRPr="00AF7177">
              <w:rPr>
                <w:rFonts w:hAnsi="ＭＳ 明朝" w:hint="eastAsia"/>
              </w:rPr>
              <w:t>全職員に</w:t>
            </w:r>
            <w:r w:rsidR="00E9428F" w:rsidRPr="00AF7177">
              <w:rPr>
                <w:rFonts w:hAnsi="ＭＳ 明朝" w:hint="eastAsia"/>
              </w:rPr>
              <w:t>対し、</w:t>
            </w:r>
            <w:r w:rsidRPr="00AF7177">
              <w:rPr>
                <w:rFonts w:hAnsi="ＭＳ 明朝" w:hint="eastAsia"/>
              </w:rPr>
              <w:t>精算の必要性について周知するとともに、</w:t>
            </w:r>
            <w:r w:rsidR="00533B37" w:rsidRPr="00AF7177">
              <w:rPr>
                <w:rFonts w:hAnsi="ＭＳ 明朝" w:hint="eastAsia"/>
              </w:rPr>
              <w:t>精算処理に遅れや漏れが発生しないよう</w:t>
            </w:r>
            <w:r w:rsidRPr="00AF7177">
              <w:rPr>
                <w:rFonts w:hAnsi="ＭＳ 明朝" w:hint="eastAsia"/>
              </w:rPr>
              <w:t>管外旅費の処理状況を管理する一覧表を作成する</w:t>
            </w:r>
            <w:r w:rsidR="002365C1" w:rsidRPr="00AF7177">
              <w:rPr>
                <w:rFonts w:hAnsi="ＭＳ 明朝" w:hint="eastAsia"/>
              </w:rPr>
              <w:t>措置を</w:t>
            </w:r>
            <w:r w:rsidRPr="00AF7177">
              <w:rPr>
                <w:rFonts w:hAnsi="ＭＳ 明朝" w:hint="eastAsia"/>
              </w:rPr>
              <w:t>講じ</w:t>
            </w:r>
            <w:r w:rsidR="00406FEA" w:rsidRPr="00AF7177">
              <w:rPr>
                <w:rFonts w:hAnsi="ＭＳ 明朝" w:hint="eastAsia"/>
              </w:rPr>
              <w:t>た。</w:t>
            </w:r>
          </w:p>
          <w:p w:rsidR="00C11EEA" w:rsidRPr="00AF7177" w:rsidRDefault="00225D0E" w:rsidP="00AF7177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 w:rsidRPr="00AF7177">
              <w:rPr>
                <w:rFonts w:hAnsi="ＭＳ 明朝" w:hint="eastAsia"/>
              </w:rPr>
              <w:t>今後は、法令等に基づいた適正な事務処理を行</w:t>
            </w:r>
            <w:r w:rsidR="002F053E" w:rsidRPr="00AF7177">
              <w:rPr>
                <w:rFonts w:hAnsi="ＭＳ 明朝" w:hint="eastAsia"/>
              </w:rPr>
              <w:t>うよう取り組む</w:t>
            </w:r>
            <w:r w:rsidRPr="00AF7177">
              <w:rPr>
                <w:rFonts w:hAnsi="ＭＳ 明朝" w:hint="eastAsia"/>
              </w:rPr>
              <w:t>。</w:t>
            </w:r>
          </w:p>
        </w:tc>
      </w:tr>
    </w:tbl>
    <w:p w:rsidR="00120FBC" w:rsidRPr="001304CE" w:rsidRDefault="004F4665" w:rsidP="00120FBC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AF7177">
        <w:rPr>
          <w:rFonts w:ascii="ＭＳ ゴシック" w:eastAsia="ＭＳ ゴシック" w:hAnsi="ＭＳ ゴシック" w:hint="eastAsia"/>
          <w:szCs w:val="22"/>
        </w:rPr>
        <w:t>旅費の精算事務</w:t>
      </w:r>
      <w:r w:rsidR="007E08EB">
        <w:rPr>
          <w:rFonts w:ascii="ＭＳ ゴシック" w:eastAsia="ＭＳ ゴシック" w:hAnsi="ＭＳ ゴシック" w:hint="eastAsia"/>
          <w:szCs w:val="22"/>
        </w:rPr>
        <w:t>の不備</w:t>
      </w:r>
    </w:p>
    <w:p w:rsidR="006C20B1" w:rsidRPr="007E08EB" w:rsidRDefault="007E08EB" w:rsidP="004D7741">
      <w:pPr>
        <w:spacing w:line="340" w:lineRule="exact"/>
        <w:jc w:val="right"/>
        <w:rPr>
          <w:rFonts w:hAnsi="ＭＳ 明朝" w:hint="eastAsia"/>
        </w:rPr>
      </w:pPr>
      <w:r w:rsidRPr="006172C4">
        <w:rPr>
          <w:rFonts w:ascii="ＭＳ ゴシック" w:eastAsia="ＭＳ ゴシック" w:hAnsi="ＭＳ ゴシック" w:hint="eastAsia"/>
        </w:rPr>
        <w:t>監査（検査）実施年月日（委員：令和－年－月－日、事務局：</w:t>
      </w:r>
      <w:r w:rsidRPr="006172C4">
        <w:rPr>
          <w:rFonts w:ascii="ＭＳ ゴシック" w:eastAsia="ＭＳ ゴシック" w:hAnsi="ＭＳ ゴシック" w:hint="eastAsia"/>
          <w:szCs w:val="22"/>
        </w:rPr>
        <w:t>令和４年６月３日から同月28日まで</w:t>
      </w:r>
      <w:r w:rsidRPr="00A62CEC">
        <w:rPr>
          <w:rFonts w:ascii="ＭＳ ゴシック" w:eastAsia="ＭＳ ゴシック" w:hAnsi="ＭＳ ゴシック" w:hint="eastAsia"/>
        </w:rPr>
        <w:t>）</w:t>
      </w:r>
    </w:p>
    <w:sectPr w:rsidR="006C20B1" w:rsidRPr="007E08EB" w:rsidSect="00614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C4" w:rsidRDefault="00FD0FC4">
      <w:r>
        <w:separator/>
      </w:r>
    </w:p>
  </w:endnote>
  <w:endnote w:type="continuationSeparator" w:id="0">
    <w:p w:rsidR="00FD0FC4" w:rsidRDefault="00FD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AC" w:rsidRDefault="009A11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AC" w:rsidRDefault="009A11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AC" w:rsidRDefault="009A11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C4" w:rsidRDefault="00FD0FC4">
      <w:r>
        <w:separator/>
      </w:r>
    </w:p>
  </w:footnote>
  <w:footnote w:type="continuationSeparator" w:id="0">
    <w:p w:rsidR="00FD0FC4" w:rsidRDefault="00FD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AC" w:rsidRDefault="009A11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AC" w:rsidRDefault="009A11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AC" w:rsidRDefault="009A11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68A9"/>
    <w:rsid w:val="00042FDC"/>
    <w:rsid w:val="00050BCC"/>
    <w:rsid w:val="00054A08"/>
    <w:rsid w:val="0007243A"/>
    <w:rsid w:val="00085EC0"/>
    <w:rsid w:val="00090541"/>
    <w:rsid w:val="00090F62"/>
    <w:rsid w:val="00093CE0"/>
    <w:rsid w:val="000A4624"/>
    <w:rsid w:val="000C433B"/>
    <w:rsid w:val="000D2D28"/>
    <w:rsid w:val="000D785D"/>
    <w:rsid w:val="00120FBC"/>
    <w:rsid w:val="0013558E"/>
    <w:rsid w:val="00172C0B"/>
    <w:rsid w:val="00173492"/>
    <w:rsid w:val="0018241A"/>
    <w:rsid w:val="001906A6"/>
    <w:rsid w:val="001C0E29"/>
    <w:rsid w:val="001C75F7"/>
    <w:rsid w:val="001D2313"/>
    <w:rsid w:val="001F41A1"/>
    <w:rsid w:val="00225D0E"/>
    <w:rsid w:val="002265B5"/>
    <w:rsid w:val="002309F6"/>
    <w:rsid w:val="002365C1"/>
    <w:rsid w:val="0024385A"/>
    <w:rsid w:val="002452AF"/>
    <w:rsid w:val="002464A8"/>
    <w:rsid w:val="002654F1"/>
    <w:rsid w:val="00284D02"/>
    <w:rsid w:val="002C155F"/>
    <w:rsid w:val="002C250E"/>
    <w:rsid w:val="002C3117"/>
    <w:rsid w:val="002F053E"/>
    <w:rsid w:val="00303A6D"/>
    <w:rsid w:val="00304D6A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553C6"/>
    <w:rsid w:val="00361B7F"/>
    <w:rsid w:val="00380FC0"/>
    <w:rsid w:val="003974BA"/>
    <w:rsid w:val="003B7142"/>
    <w:rsid w:val="003C37FB"/>
    <w:rsid w:val="003C7150"/>
    <w:rsid w:val="003D33DF"/>
    <w:rsid w:val="00406FEA"/>
    <w:rsid w:val="00425885"/>
    <w:rsid w:val="00442195"/>
    <w:rsid w:val="00446EDB"/>
    <w:rsid w:val="0046452E"/>
    <w:rsid w:val="0049675E"/>
    <w:rsid w:val="004A632F"/>
    <w:rsid w:val="004A66BF"/>
    <w:rsid w:val="004D7741"/>
    <w:rsid w:val="004E6204"/>
    <w:rsid w:val="004F4665"/>
    <w:rsid w:val="004F4A04"/>
    <w:rsid w:val="004F73E3"/>
    <w:rsid w:val="00507CBA"/>
    <w:rsid w:val="00515B21"/>
    <w:rsid w:val="005167EA"/>
    <w:rsid w:val="005203C3"/>
    <w:rsid w:val="005249BB"/>
    <w:rsid w:val="00533B37"/>
    <w:rsid w:val="0055438C"/>
    <w:rsid w:val="0056466B"/>
    <w:rsid w:val="00566253"/>
    <w:rsid w:val="005667FF"/>
    <w:rsid w:val="005727C3"/>
    <w:rsid w:val="00580253"/>
    <w:rsid w:val="00580F31"/>
    <w:rsid w:val="0058681C"/>
    <w:rsid w:val="005A3C93"/>
    <w:rsid w:val="005B5070"/>
    <w:rsid w:val="005B7FFA"/>
    <w:rsid w:val="005F77A2"/>
    <w:rsid w:val="00607259"/>
    <w:rsid w:val="00614675"/>
    <w:rsid w:val="00620214"/>
    <w:rsid w:val="00646013"/>
    <w:rsid w:val="00654366"/>
    <w:rsid w:val="00683F34"/>
    <w:rsid w:val="006A38DE"/>
    <w:rsid w:val="006A4B53"/>
    <w:rsid w:val="006C20B1"/>
    <w:rsid w:val="006C3E58"/>
    <w:rsid w:val="006D274A"/>
    <w:rsid w:val="006E4247"/>
    <w:rsid w:val="006F1898"/>
    <w:rsid w:val="006F69E3"/>
    <w:rsid w:val="00710947"/>
    <w:rsid w:val="007A5F99"/>
    <w:rsid w:val="007E08EB"/>
    <w:rsid w:val="00806344"/>
    <w:rsid w:val="00824E4E"/>
    <w:rsid w:val="008367CE"/>
    <w:rsid w:val="008778A3"/>
    <w:rsid w:val="008870ED"/>
    <w:rsid w:val="008B0086"/>
    <w:rsid w:val="008B1203"/>
    <w:rsid w:val="008C6561"/>
    <w:rsid w:val="008D675C"/>
    <w:rsid w:val="008E456F"/>
    <w:rsid w:val="009168D9"/>
    <w:rsid w:val="0097055C"/>
    <w:rsid w:val="009A11AC"/>
    <w:rsid w:val="009A269E"/>
    <w:rsid w:val="009A5160"/>
    <w:rsid w:val="009B656A"/>
    <w:rsid w:val="009C25EC"/>
    <w:rsid w:val="009C582D"/>
    <w:rsid w:val="009D3224"/>
    <w:rsid w:val="009D32BF"/>
    <w:rsid w:val="00A0336F"/>
    <w:rsid w:val="00A16E55"/>
    <w:rsid w:val="00A61C0E"/>
    <w:rsid w:val="00A63AD1"/>
    <w:rsid w:val="00AC06C6"/>
    <w:rsid w:val="00AD3CC1"/>
    <w:rsid w:val="00AF7177"/>
    <w:rsid w:val="00B12A7C"/>
    <w:rsid w:val="00B33740"/>
    <w:rsid w:val="00B34563"/>
    <w:rsid w:val="00B441A8"/>
    <w:rsid w:val="00B84719"/>
    <w:rsid w:val="00B8526F"/>
    <w:rsid w:val="00B92A0F"/>
    <w:rsid w:val="00B97919"/>
    <w:rsid w:val="00BB6193"/>
    <w:rsid w:val="00BD70E6"/>
    <w:rsid w:val="00C0111E"/>
    <w:rsid w:val="00C01CE1"/>
    <w:rsid w:val="00C11EEA"/>
    <w:rsid w:val="00C1611C"/>
    <w:rsid w:val="00C22A3A"/>
    <w:rsid w:val="00C2704A"/>
    <w:rsid w:val="00C37034"/>
    <w:rsid w:val="00C5182C"/>
    <w:rsid w:val="00C51F32"/>
    <w:rsid w:val="00C5548D"/>
    <w:rsid w:val="00C91777"/>
    <w:rsid w:val="00CA0E19"/>
    <w:rsid w:val="00CD6166"/>
    <w:rsid w:val="00CF42DE"/>
    <w:rsid w:val="00D261C9"/>
    <w:rsid w:val="00D50B46"/>
    <w:rsid w:val="00D60A83"/>
    <w:rsid w:val="00D660B8"/>
    <w:rsid w:val="00D81380"/>
    <w:rsid w:val="00D82F4E"/>
    <w:rsid w:val="00D921E9"/>
    <w:rsid w:val="00DE47D6"/>
    <w:rsid w:val="00DF4C9B"/>
    <w:rsid w:val="00E15935"/>
    <w:rsid w:val="00E334F2"/>
    <w:rsid w:val="00E52236"/>
    <w:rsid w:val="00E53C48"/>
    <w:rsid w:val="00E53D58"/>
    <w:rsid w:val="00E57F30"/>
    <w:rsid w:val="00E8271E"/>
    <w:rsid w:val="00E9428F"/>
    <w:rsid w:val="00EA0F32"/>
    <w:rsid w:val="00EC7D4A"/>
    <w:rsid w:val="00EE7C97"/>
    <w:rsid w:val="00EF76C4"/>
    <w:rsid w:val="00F13C23"/>
    <w:rsid w:val="00F155F1"/>
    <w:rsid w:val="00F15784"/>
    <w:rsid w:val="00F23667"/>
    <w:rsid w:val="00F358AD"/>
    <w:rsid w:val="00F42623"/>
    <w:rsid w:val="00F5471A"/>
    <w:rsid w:val="00F704C2"/>
    <w:rsid w:val="00F9400E"/>
    <w:rsid w:val="00FD0FC4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2023-02-08T06:59:00Z</dcterms:created>
  <dcterms:modified xsi:type="dcterms:W3CDTF">2023-02-08T06:59:00Z</dcterms:modified>
</cp:coreProperties>
</file>