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ED" w:rsidRDefault="00F27BA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B9AC1" wp14:editId="0D7CBD47">
                <wp:simplePos x="0" y="0"/>
                <wp:positionH relativeFrom="column">
                  <wp:posOffset>7306945</wp:posOffset>
                </wp:positionH>
                <wp:positionV relativeFrom="paragraph">
                  <wp:posOffset>-2540</wp:posOffset>
                </wp:positionV>
                <wp:extent cx="1557655" cy="426085"/>
                <wp:effectExtent l="0" t="0" r="2095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426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7BA9" w:rsidRPr="004F4FAF" w:rsidRDefault="00800DBA" w:rsidP="00F27B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bookmarkStart w:id="0" w:name="_GoBack"/>
                            <w:r w:rsidRPr="004F4FA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参考</w:t>
                            </w:r>
                            <w:r w:rsidR="004F4FAF" w:rsidRPr="004F4FA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資料</w:t>
                            </w:r>
                            <w:r w:rsidR="00510602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５</w:t>
                            </w:r>
                            <w:r w:rsidR="004F4FAF" w:rsidRPr="004F4FAF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-２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B9AC1" id="正方形/長方形 3" o:spid="_x0000_s1026" style="position:absolute;left:0;text-align:left;margin-left:575.35pt;margin-top:-.2pt;width:122.65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" fillcolor="window" strokecolor="windowText" strokeweight="1pt">
                <v:textbox inset=",0,,0">
                  <w:txbxContent>
                    <w:p w:rsidR="00F27BA9" w:rsidRPr="004F4FAF" w:rsidRDefault="00800DBA" w:rsidP="00F27BA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bookmarkStart w:id="1" w:name="_GoBack"/>
                      <w:r w:rsidRPr="004F4FA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参考</w:t>
                      </w:r>
                      <w:r w:rsidR="004F4FAF" w:rsidRPr="004F4FA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資料</w:t>
                      </w:r>
                      <w:r w:rsidR="00510602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５</w:t>
                      </w:r>
                      <w:r w:rsidR="004F4FAF" w:rsidRPr="004F4FAF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-２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4F4FAF" w:rsidRDefault="00C73C4F" w:rsidP="00F27BA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F4FAF">
        <w:rPr>
          <w:rFonts w:asciiTheme="majorEastAsia" w:eastAsiaTheme="majorEastAsia" w:hAnsiTheme="majorEastAsia" w:hint="eastAsia"/>
          <w:b/>
          <w:sz w:val="28"/>
          <w:szCs w:val="28"/>
        </w:rPr>
        <w:t>堺市立総合医療センター</w:t>
      </w:r>
      <w:r w:rsidR="00F40A23" w:rsidRPr="004F4FAF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F27BA9" w:rsidRPr="004F4FAF">
        <w:rPr>
          <w:rFonts w:asciiTheme="majorEastAsia" w:eastAsiaTheme="majorEastAsia" w:hAnsiTheme="majorEastAsia" w:hint="eastAsia"/>
          <w:b/>
          <w:sz w:val="28"/>
          <w:szCs w:val="28"/>
        </w:rPr>
        <w:t>特定病床</w:t>
      </w:r>
      <w:r w:rsidR="00DF35AE" w:rsidRPr="004F4FAF">
        <w:rPr>
          <w:rFonts w:asciiTheme="majorEastAsia" w:eastAsiaTheme="majorEastAsia" w:hAnsiTheme="majorEastAsia" w:hint="eastAsia"/>
          <w:b/>
          <w:sz w:val="28"/>
          <w:szCs w:val="28"/>
        </w:rPr>
        <w:t>遵守</w:t>
      </w:r>
      <w:r w:rsidRPr="004F4FAF">
        <w:rPr>
          <w:rFonts w:asciiTheme="majorEastAsia" w:eastAsiaTheme="majorEastAsia" w:hAnsiTheme="majorEastAsia" w:hint="eastAsia"/>
          <w:b/>
          <w:sz w:val="28"/>
          <w:szCs w:val="28"/>
        </w:rPr>
        <w:t>率の経年変化</w:t>
      </w:r>
    </w:p>
    <w:p w:rsidR="00735526" w:rsidRPr="00255842" w:rsidRDefault="00735526" w:rsidP="00F27BA9">
      <w:pPr>
        <w:jc w:val="center"/>
        <w:rPr>
          <w:rFonts w:asciiTheme="majorEastAsia" w:eastAsiaTheme="majorEastAsia" w:hAnsiTheme="majorEastAsia"/>
        </w:rPr>
      </w:pPr>
    </w:p>
    <w:p w:rsidR="00F27BA9" w:rsidRPr="00255842" w:rsidRDefault="00F27BA9" w:rsidP="00B300AA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14047" w:type="dxa"/>
        <w:jc w:val="center"/>
        <w:tblLayout w:type="fixed"/>
        <w:tblLook w:val="04A0" w:firstRow="1" w:lastRow="0" w:firstColumn="1" w:lastColumn="0" w:noHBand="0" w:noVBand="1"/>
      </w:tblPr>
      <w:tblGrid>
        <w:gridCol w:w="2077"/>
        <w:gridCol w:w="2415"/>
        <w:gridCol w:w="1575"/>
        <w:gridCol w:w="1575"/>
        <w:gridCol w:w="1575"/>
        <w:gridCol w:w="1575"/>
        <w:gridCol w:w="1575"/>
        <w:gridCol w:w="1680"/>
      </w:tblGrid>
      <w:tr w:rsidR="00670AFD" w:rsidRPr="00255842" w:rsidTr="004F4FAF">
        <w:trPr>
          <w:trHeight w:val="526"/>
          <w:jc w:val="center"/>
        </w:trPr>
        <w:tc>
          <w:tcPr>
            <w:tcW w:w="207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70AFD" w:rsidRPr="00255842" w:rsidRDefault="00670AFD" w:rsidP="004F4FA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病院名称</w:t>
            </w:r>
          </w:p>
        </w:tc>
        <w:tc>
          <w:tcPr>
            <w:tcW w:w="2415" w:type="dxa"/>
            <w:vMerge w:val="restart"/>
            <w:tcBorders>
              <w:top w:val="single" w:sz="18" w:space="0" w:color="auto"/>
            </w:tcBorders>
            <w:vAlign w:val="center"/>
          </w:tcPr>
          <w:p w:rsidR="00670AFD" w:rsidRPr="00255842" w:rsidRDefault="00670AFD" w:rsidP="004F4FA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特定病床</w:t>
            </w:r>
          </w:p>
          <w:p w:rsidR="00670AFD" w:rsidRPr="00255842" w:rsidRDefault="00670AFD" w:rsidP="004F4FA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（種別・病床数）</w:t>
            </w:r>
          </w:p>
        </w:tc>
        <w:tc>
          <w:tcPr>
            <w:tcW w:w="9555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70AFD" w:rsidRPr="00255842" w:rsidRDefault="00670AFD" w:rsidP="00C73C4F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遵守率</w:t>
            </w:r>
          </w:p>
        </w:tc>
      </w:tr>
      <w:tr w:rsidR="004F4FAF" w:rsidRPr="00255842" w:rsidTr="004F4FAF">
        <w:trPr>
          <w:trHeight w:val="548"/>
          <w:jc w:val="center"/>
        </w:trPr>
        <w:tc>
          <w:tcPr>
            <w:tcW w:w="2077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CC7C9A" w:rsidRPr="00255842" w:rsidRDefault="00CC7C9A" w:rsidP="00CC7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vMerge/>
            <w:tcBorders>
              <w:bottom w:val="single" w:sz="12" w:space="0" w:color="auto"/>
            </w:tcBorders>
          </w:tcPr>
          <w:p w:rsidR="00CC7C9A" w:rsidRPr="00255842" w:rsidRDefault="00CC7C9A" w:rsidP="00CC7C9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C7C9A" w:rsidRPr="00255842" w:rsidRDefault="004F4FAF" w:rsidP="004F4F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平成２７</w:t>
            </w:r>
            <w:r w:rsidR="00CC7C9A"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C7C9A" w:rsidRPr="00255842" w:rsidRDefault="004F4FAF" w:rsidP="00CC7C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平成２８</w:t>
            </w:r>
            <w:r w:rsidR="00CC7C9A"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C7C9A" w:rsidRPr="00255842" w:rsidRDefault="004F4FAF" w:rsidP="004F4F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平成２９</w:t>
            </w:r>
            <w:r w:rsidR="00CC7C9A"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C7C9A" w:rsidRPr="00255842" w:rsidRDefault="004F4FAF" w:rsidP="00CC7C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平成３０</w:t>
            </w:r>
            <w:r w:rsidR="00CC7C9A"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令和元年度</w:t>
            </w:r>
          </w:p>
        </w:tc>
        <w:tc>
          <w:tcPr>
            <w:tcW w:w="168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令和２</w:t>
            </w:r>
            <w:r w:rsidRPr="00255842">
              <w:rPr>
                <w:rFonts w:asciiTheme="majorEastAsia" w:eastAsiaTheme="majorEastAsia" w:hAnsiTheme="majorEastAsia" w:hint="eastAsia"/>
              </w:rPr>
              <w:t>年度</w:t>
            </w:r>
          </w:p>
        </w:tc>
      </w:tr>
      <w:tr w:rsidR="004F4FAF" w:rsidRPr="00255842" w:rsidTr="004F4FAF">
        <w:trPr>
          <w:trHeight w:val="1119"/>
          <w:jc w:val="center"/>
        </w:trPr>
        <w:tc>
          <w:tcPr>
            <w:tcW w:w="20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C7C9A" w:rsidRDefault="00CC7C9A" w:rsidP="00CC7C9A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堺市立</w:t>
            </w:r>
          </w:p>
          <w:p w:rsidR="00CC7C9A" w:rsidRPr="00255842" w:rsidRDefault="00CC7C9A" w:rsidP="00CC7C9A">
            <w:pPr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総合医療センター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C7C9A" w:rsidRPr="00255842" w:rsidRDefault="004F4FAF" w:rsidP="004F4FA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小児慢性疾患・</w:t>
            </w:r>
            <w:r>
              <w:rPr>
                <w:rFonts w:asciiTheme="majorEastAsia" w:eastAsiaTheme="majorEastAsia" w:hAnsiTheme="majorEastAsia" w:hint="eastAsia"/>
              </w:rPr>
              <w:t>１０床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２４．２％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４６．１％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４４．０％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２０．９％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 w:rsidRPr="00255842">
              <w:rPr>
                <w:rFonts w:asciiTheme="majorEastAsia" w:eastAsiaTheme="majorEastAsia" w:hAnsiTheme="majorEastAsia" w:hint="eastAsia"/>
              </w:rPr>
              <w:t>３３．２％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7C9A" w:rsidRPr="00255842" w:rsidRDefault="00CC7C9A" w:rsidP="00CC7C9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２４．５</w:t>
            </w:r>
            <w:r w:rsidRPr="00255842">
              <w:rPr>
                <w:rFonts w:asciiTheme="majorEastAsia" w:eastAsiaTheme="majorEastAsia" w:hAnsiTheme="majorEastAsia" w:hint="eastAsia"/>
              </w:rPr>
              <w:t>％</w:t>
            </w:r>
          </w:p>
        </w:tc>
      </w:tr>
    </w:tbl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p w:rsidR="00F27BA9" w:rsidRPr="00255842" w:rsidRDefault="00F27BA9">
      <w:pPr>
        <w:rPr>
          <w:rFonts w:asciiTheme="majorEastAsia" w:eastAsiaTheme="majorEastAsia" w:hAnsiTheme="majorEastAsia"/>
        </w:rPr>
      </w:pPr>
    </w:p>
    <w:sectPr w:rsidR="00F27BA9" w:rsidRPr="00255842" w:rsidSect="002F35E9">
      <w:pgSz w:w="16838" w:h="11906" w:orient="landscape"/>
      <w:pgMar w:top="1361" w:right="1474" w:bottom="147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FD" w:rsidRDefault="00670AFD" w:rsidP="00670AFD">
      <w:r>
        <w:separator/>
      </w:r>
    </w:p>
  </w:endnote>
  <w:endnote w:type="continuationSeparator" w:id="0">
    <w:p w:rsidR="00670AFD" w:rsidRDefault="00670AFD" w:rsidP="0067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FD" w:rsidRDefault="00670AFD" w:rsidP="00670AFD">
      <w:r>
        <w:separator/>
      </w:r>
    </w:p>
  </w:footnote>
  <w:footnote w:type="continuationSeparator" w:id="0">
    <w:p w:rsidR="00670AFD" w:rsidRDefault="00670AFD" w:rsidP="0067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9"/>
    <w:rsid w:val="000432B5"/>
    <w:rsid w:val="00122BAD"/>
    <w:rsid w:val="00255842"/>
    <w:rsid w:val="002F35E9"/>
    <w:rsid w:val="004D2881"/>
    <w:rsid w:val="004F4FAF"/>
    <w:rsid w:val="00510602"/>
    <w:rsid w:val="00670AFD"/>
    <w:rsid w:val="0068509C"/>
    <w:rsid w:val="00694DB7"/>
    <w:rsid w:val="00735526"/>
    <w:rsid w:val="00800DBA"/>
    <w:rsid w:val="00A577ED"/>
    <w:rsid w:val="00B300AA"/>
    <w:rsid w:val="00B45FE8"/>
    <w:rsid w:val="00C73C4F"/>
    <w:rsid w:val="00CC7C9A"/>
    <w:rsid w:val="00D2036B"/>
    <w:rsid w:val="00D70026"/>
    <w:rsid w:val="00DB1FA4"/>
    <w:rsid w:val="00DF35AE"/>
    <w:rsid w:val="00E97B61"/>
    <w:rsid w:val="00F27BA9"/>
    <w:rsid w:val="00F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72DBF7D-5084-4BCE-A7A3-68C913A3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FD"/>
  </w:style>
  <w:style w:type="paragraph" w:styleId="a6">
    <w:name w:val="footer"/>
    <w:basedOn w:val="a"/>
    <w:link w:val="a7"/>
    <w:uiPriority w:val="99"/>
    <w:unhideWhenUsed/>
    <w:rsid w:val="0067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BEE3-CF4C-4CA2-9B6E-A401A7EB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曽我部　和弘</cp:lastModifiedBy>
  <cp:revision>5</cp:revision>
  <cp:lastPrinted>2022-02-25T09:01:00Z</cp:lastPrinted>
  <dcterms:created xsi:type="dcterms:W3CDTF">2022-02-02T02:16:00Z</dcterms:created>
  <dcterms:modified xsi:type="dcterms:W3CDTF">2022-02-25T09:01:00Z</dcterms:modified>
</cp:coreProperties>
</file>