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4B54" w14:textId="038D947E" w:rsidR="000F10B1" w:rsidRPr="00C1084F" w:rsidRDefault="00C1084F" w:rsidP="00323EAF">
      <w:pPr>
        <w:spacing w:line="300" w:lineRule="exact"/>
        <w:rPr>
          <w:rFonts w:ascii="ＭＳ ゴシック" w:eastAsia="ＭＳ ゴシック" w:hAnsi="ＭＳ ゴシック"/>
          <w:b/>
          <w:color w:val="000000" w:themeColor="text1"/>
          <w:sz w:val="24"/>
          <w:szCs w:val="24"/>
        </w:rPr>
      </w:pPr>
      <w:r>
        <w:rPr>
          <w:rFonts w:ascii="ＭＳ ゴシック" w:eastAsia="ＭＳ ゴシック" w:hAnsi="ＭＳ ゴシック" w:hint="eastAsia"/>
          <w:color w:val="000000" w:themeColor="text1"/>
          <w:sz w:val="24"/>
          <w:szCs w:val="24"/>
        </w:rPr>
        <w:t>【</w:t>
      </w:r>
      <w:r w:rsidR="000F10B1" w:rsidRPr="00C1084F">
        <w:rPr>
          <w:rFonts w:ascii="ＭＳ ゴシック" w:eastAsia="ＭＳ ゴシック" w:hAnsi="ＭＳ ゴシック" w:hint="eastAsia"/>
          <w:color w:val="000000" w:themeColor="text1"/>
          <w:sz w:val="24"/>
          <w:szCs w:val="24"/>
        </w:rPr>
        <w:t>共通事項</w:t>
      </w:r>
      <w:r>
        <w:rPr>
          <w:rFonts w:ascii="ＭＳ ゴシック" w:eastAsia="ＭＳ ゴシック" w:hAnsi="ＭＳ ゴシック" w:hint="eastAsia"/>
          <w:color w:val="000000" w:themeColor="text1"/>
          <w:sz w:val="24"/>
          <w:szCs w:val="24"/>
        </w:rPr>
        <w:t>】</w:t>
      </w:r>
    </w:p>
    <w:tbl>
      <w:tblPr>
        <w:tblStyle w:val="a3"/>
        <w:tblW w:w="10201" w:type="dxa"/>
        <w:tblLook w:val="04A0" w:firstRow="1" w:lastRow="0" w:firstColumn="1" w:lastColumn="0" w:noHBand="0" w:noVBand="1"/>
      </w:tblPr>
      <w:tblGrid>
        <w:gridCol w:w="2547"/>
        <w:gridCol w:w="7654"/>
      </w:tblGrid>
      <w:tr w:rsidR="006212A4" w:rsidRPr="002C3C0F" w14:paraId="0F05BA85" w14:textId="77777777" w:rsidTr="006212A4">
        <w:tc>
          <w:tcPr>
            <w:tcW w:w="2547" w:type="dxa"/>
            <w:shd w:val="clear" w:color="auto" w:fill="FFFF00"/>
          </w:tcPr>
          <w:p w14:paraId="68BC9ABF" w14:textId="77777777" w:rsidR="006212A4" w:rsidRPr="002C3C0F" w:rsidRDefault="006212A4" w:rsidP="00461C07">
            <w:pPr>
              <w:spacing w:line="280" w:lineRule="exact"/>
              <w:jc w:val="center"/>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項目</w:t>
            </w:r>
          </w:p>
        </w:tc>
        <w:tc>
          <w:tcPr>
            <w:tcW w:w="7654" w:type="dxa"/>
            <w:shd w:val="clear" w:color="auto" w:fill="FFFF00"/>
          </w:tcPr>
          <w:p w14:paraId="26898B4C" w14:textId="1B270A5A" w:rsidR="006212A4" w:rsidRPr="002C3C0F" w:rsidRDefault="006212A4" w:rsidP="00461C07">
            <w:pPr>
              <w:spacing w:line="28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考え方</w:t>
            </w:r>
          </w:p>
        </w:tc>
      </w:tr>
      <w:tr w:rsidR="006212A4" w:rsidRPr="002C3C0F" w14:paraId="256A5560" w14:textId="77777777" w:rsidTr="006212A4">
        <w:tc>
          <w:tcPr>
            <w:tcW w:w="2547" w:type="dxa"/>
          </w:tcPr>
          <w:p w14:paraId="69D140FA" w14:textId="77777777" w:rsidR="006212A4" w:rsidRPr="002C3C0F" w:rsidRDefault="006212A4" w:rsidP="00461C07">
            <w:pPr>
              <w:spacing w:line="28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推計期間</w:t>
            </w:r>
          </w:p>
        </w:tc>
        <w:tc>
          <w:tcPr>
            <w:tcW w:w="7654" w:type="dxa"/>
          </w:tcPr>
          <w:p w14:paraId="1BB6ADA9" w14:textId="03B4ED31" w:rsidR="006212A4" w:rsidRPr="002C3C0F" w:rsidRDefault="006212A4" w:rsidP="00461C07">
            <w:pPr>
              <w:spacing w:line="28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color w:val="000000" w:themeColor="text1"/>
                <w:szCs w:val="21"/>
              </w:rPr>
              <w:t>R</w:t>
            </w:r>
            <w:r w:rsidRPr="002C3C0F">
              <w:rPr>
                <w:rFonts w:ascii="ＭＳ ゴシック" w:eastAsia="ＭＳ ゴシック" w:hAnsi="ＭＳ ゴシック" w:hint="eastAsia"/>
                <w:color w:val="000000" w:themeColor="text1"/>
                <w:szCs w:val="21"/>
              </w:rPr>
              <w:t>5～R19（15年間）</w:t>
            </w:r>
          </w:p>
        </w:tc>
      </w:tr>
      <w:tr w:rsidR="006212A4" w:rsidRPr="002C3C0F" w14:paraId="6A61245C" w14:textId="77777777" w:rsidTr="006212A4">
        <w:tc>
          <w:tcPr>
            <w:tcW w:w="2547" w:type="dxa"/>
          </w:tcPr>
          <w:p w14:paraId="7B59FB78" w14:textId="77777777" w:rsidR="006212A4" w:rsidRPr="002C3C0F" w:rsidRDefault="006212A4" w:rsidP="00461C07">
            <w:pPr>
              <w:spacing w:line="28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対象会計</w:t>
            </w:r>
          </w:p>
        </w:tc>
        <w:tc>
          <w:tcPr>
            <w:tcW w:w="7654" w:type="dxa"/>
          </w:tcPr>
          <w:p w14:paraId="46112241" w14:textId="77777777" w:rsidR="006212A4" w:rsidRPr="002C3C0F" w:rsidRDefault="006212A4" w:rsidP="00461C07">
            <w:pPr>
              <w:spacing w:line="28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普通会計</w:t>
            </w:r>
          </w:p>
        </w:tc>
      </w:tr>
      <w:tr w:rsidR="006212A4" w:rsidRPr="002C3C0F" w14:paraId="248590EA" w14:textId="77777777" w:rsidTr="006212A4">
        <w:tc>
          <w:tcPr>
            <w:tcW w:w="2547" w:type="dxa"/>
          </w:tcPr>
          <w:p w14:paraId="2BBCBB62" w14:textId="77777777" w:rsidR="006212A4" w:rsidRPr="002C3C0F" w:rsidRDefault="006212A4" w:rsidP="00461C07">
            <w:pPr>
              <w:spacing w:line="28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推計ルール</w:t>
            </w:r>
          </w:p>
        </w:tc>
        <w:tc>
          <w:tcPr>
            <w:tcW w:w="7654" w:type="dxa"/>
          </w:tcPr>
          <w:p w14:paraId="026D6FE7" w14:textId="26C63C0B" w:rsidR="006212A4" w:rsidRPr="002C3C0F" w:rsidRDefault="006212A4" w:rsidP="00461C07">
            <w:pPr>
              <w:spacing w:line="28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共通のルールに基づき、</w:t>
            </w:r>
            <w:r w:rsidRPr="002C3C0F">
              <w:rPr>
                <w:rFonts w:ascii="ＭＳ ゴシック" w:eastAsia="ＭＳ ゴシック" w:hAnsi="ＭＳ ゴシック" w:hint="eastAsia"/>
                <w:bCs/>
                <w:color w:val="000000" w:themeColor="text1"/>
                <w:szCs w:val="21"/>
              </w:rPr>
              <w:t>年度ごと</w:t>
            </w:r>
            <w:r w:rsidRPr="002C3C0F">
              <w:rPr>
                <w:rFonts w:ascii="ＭＳ ゴシック" w:eastAsia="ＭＳ ゴシック" w:hAnsi="ＭＳ ゴシック" w:hint="eastAsia"/>
                <w:color w:val="000000" w:themeColor="text1"/>
                <w:szCs w:val="21"/>
              </w:rPr>
              <w:t>に推計</w:t>
            </w:r>
          </w:p>
          <w:p w14:paraId="3B6AA777" w14:textId="02263215" w:rsidR="006212A4" w:rsidRPr="002C3C0F" w:rsidRDefault="006212A4" w:rsidP="00461C07">
            <w:pPr>
              <w:spacing w:line="28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○R4年度決算をベースとして、（推計）人口と連動して推計する。</w:t>
            </w:r>
          </w:p>
          <w:p w14:paraId="05A76311" w14:textId="71450720" w:rsidR="006212A4" w:rsidRPr="002C3C0F" w:rsidRDefault="006212A4" w:rsidP="00461C07">
            <w:pPr>
              <w:spacing w:line="28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○人口と直接連動しない費目は変動率を参考に推計する。</w:t>
            </w:r>
          </w:p>
          <w:p w14:paraId="159BAA30" w14:textId="2055FD07" w:rsidR="006212A4" w:rsidRPr="002C3C0F" w:rsidRDefault="006212A4" w:rsidP="00461C07">
            <w:pPr>
              <w:spacing w:line="28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○変動率には、物価指数や直近３年間の決算額から算出した伸び率を用いる。</w:t>
            </w:r>
          </w:p>
          <w:p w14:paraId="2FB0EAD4" w14:textId="77777777" w:rsidR="006212A4" w:rsidRPr="002C3C0F" w:rsidRDefault="006212A4" w:rsidP="004C785A">
            <w:pPr>
              <w:spacing w:line="280" w:lineRule="exact"/>
              <w:ind w:leftChars="100" w:left="420" w:hangingChars="100" w:hanging="210"/>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・物価指数は、内閣府「中長期の経済財政に関する試算」（令和５年７月25日）の消費者物価上昇率（ベースラインケース）を用いる。</w:t>
            </w:r>
          </w:p>
          <w:p w14:paraId="5C1A06DC" w14:textId="4658887D" w:rsidR="006212A4" w:rsidRPr="002C3C0F" w:rsidRDefault="006212A4" w:rsidP="0022194C">
            <w:pPr>
              <w:spacing w:line="280" w:lineRule="exact"/>
              <w:ind w:leftChars="100" w:left="420" w:hangingChars="100" w:hanging="210"/>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・伸び率は、国予算を伴う臨時的かつ大規模な事業や、標準偏差の範囲外となる団体の決算額等の異常値要素を排除し、団体区分毎の平均値として算出したものを用いる。</w:t>
            </w:r>
          </w:p>
          <w:p w14:paraId="74B3B986" w14:textId="1450A788" w:rsidR="006212A4" w:rsidRPr="002C3C0F" w:rsidRDefault="006212A4" w:rsidP="00461C07">
            <w:pPr>
              <w:spacing w:line="28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○経済状況に左右される等、推計が困難なものは期間中横置きとする。</w:t>
            </w:r>
          </w:p>
          <w:p w14:paraId="0FDCA2B9" w14:textId="360650D0" w:rsidR="006212A4" w:rsidRPr="002C3C0F" w:rsidRDefault="006212A4" w:rsidP="00461C07">
            <w:pPr>
              <w:spacing w:line="280" w:lineRule="exact"/>
              <w:rPr>
                <w:rFonts w:ascii="ＭＳ ゴシック" w:eastAsia="ＭＳ ゴシック" w:hAnsi="ＭＳ ゴシック"/>
                <w:b/>
                <w:color w:val="000000" w:themeColor="text1"/>
                <w:szCs w:val="21"/>
              </w:rPr>
            </w:pPr>
            <w:r w:rsidRPr="002C3C0F">
              <w:rPr>
                <w:rFonts w:ascii="ＭＳ ゴシック" w:eastAsia="ＭＳ ゴシック" w:hAnsi="ＭＳ ゴシック" w:hint="eastAsia"/>
                <w:color w:val="000000" w:themeColor="text1"/>
                <w:szCs w:val="21"/>
              </w:rPr>
              <w:t>○</w:t>
            </w:r>
            <w:bookmarkStart w:id="0" w:name="_Hlk89127092"/>
            <w:r w:rsidRPr="002C3C0F">
              <w:rPr>
                <w:rFonts w:ascii="ＭＳ ゴシック" w:eastAsia="ＭＳ ゴシック" w:hAnsi="ＭＳ ゴシック" w:hint="eastAsia"/>
                <w:color w:val="000000" w:themeColor="text1"/>
                <w:szCs w:val="21"/>
              </w:rPr>
              <w:t>団体固有の数値を用い</w:t>
            </w:r>
            <w:bookmarkEnd w:id="0"/>
            <w:r w:rsidRPr="002C3C0F">
              <w:rPr>
                <w:rFonts w:ascii="ＭＳ ゴシック" w:eastAsia="ＭＳ ゴシック" w:hAnsi="ＭＳ ゴシック" w:hint="eastAsia"/>
                <w:color w:val="000000" w:themeColor="text1"/>
                <w:szCs w:val="21"/>
              </w:rPr>
              <w:t>ることも可能とする。</w:t>
            </w:r>
          </w:p>
        </w:tc>
      </w:tr>
      <w:tr w:rsidR="006212A4" w:rsidRPr="002C3C0F" w14:paraId="030A2E19" w14:textId="77777777" w:rsidTr="006212A4">
        <w:tc>
          <w:tcPr>
            <w:tcW w:w="2547" w:type="dxa"/>
          </w:tcPr>
          <w:p w14:paraId="33151755" w14:textId="77777777" w:rsidR="006212A4" w:rsidRPr="002C3C0F" w:rsidRDefault="006212A4" w:rsidP="00461C07">
            <w:pPr>
              <w:spacing w:line="28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人口推計</w:t>
            </w:r>
          </w:p>
        </w:tc>
        <w:tc>
          <w:tcPr>
            <w:tcW w:w="7654" w:type="dxa"/>
          </w:tcPr>
          <w:p w14:paraId="7D1F69B9" w14:textId="44B4FE96" w:rsidR="006212A4" w:rsidRPr="002C3C0F" w:rsidRDefault="006212A4" w:rsidP="00461C07">
            <w:pPr>
              <w:spacing w:line="28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社人研将来推計人口（R5推計）を使用</w:t>
            </w:r>
            <w:r w:rsidR="0056721A">
              <w:rPr>
                <w:rFonts w:ascii="ＭＳ ゴシック" w:eastAsia="ＭＳ ゴシック" w:hAnsi="ＭＳ ゴシック" w:hint="eastAsia"/>
                <w:color w:val="000000" w:themeColor="text1"/>
                <w:szCs w:val="21"/>
              </w:rPr>
              <w:t>。</w:t>
            </w:r>
          </w:p>
        </w:tc>
      </w:tr>
    </w:tbl>
    <w:p w14:paraId="20BFC2B5" w14:textId="77777777" w:rsidR="00813D05" w:rsidRDefault="00813D05" w:rsidP="006B44A8">
      <w:pPr>
        <w:spacing w:line="300" w:lineRule="exact"/>
        <w:rPr>
          <w:rFonts w:ascii="ＭＳ ゴシック" w:eastAsia="ＭＳ ゴシック" w:hAnsi="ＭＳ ゴシック"/>
          <w:color w:val="000000" w:themeColor="text1"/>
          <w:sz w:val="24"/>
          <w:szCs w:val="24"/>
          <w:bdr w:val="single" w:sz="4" w:space="0" w:color="auto"/>
        </w:rPr>
      </w:pPr>
    </w:p>
    <w:p w14:paraId="4DCBC985" w14:textId="6CE52DE4" w:rsidR="004A3C85" w:rsidRPr="00C1084F" w:rsidRDefault="00C1084F" w:rsidP="006B44A8">
      <w:pPr>
        <w:spacing w:line="30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004A3C85" w:rsidRPr="00C1084F">
        <w:rPr>
          <w:rFonts w:ascii="ＭＳ ゴシック" w:eastAsia="ＭＳ ゴシック" w:hAnsi="ＭＳ ゴシック" w:hint="eastAsia"/>
          <w:color w:val="000000" w:themeColor="text1"/>
          <w:sz w:val="24"/>
          <w:szCs w:val="24"/>
        </w:rPr>
        <w:t>歳入</w:t>
      </w:r>
      <w:r>
        <w:rPr>
          <w:rFonts w:ascii="ＭＳ ゴシック" w:eastAsia="ＭＳ ゴシック" w:hAnsi="ＭＳ ゴシック" w:hint="eastAsia"/>
          <w:color w:val="000000" w:themeColor="text1"/>
          <w:sz w:val="24"/>
          <w:szCs w:val="24"/>
        </w:rPr>
        <w:t>】</w:t>
      </w:r>
    </w:p>
    <w:tbl>
      <w:tblPr>
        <w:tblStyle w:val="a3"/>
        <w:tblW w:w="10201" w:type="dxa"/>
        <w:tblLook w:val="04A0" w:firstRow="1" w:lastRow="0" w:firstColumn="1" w:lastColumn="0" w:noHBand="0" w:noVBand="1"/>
      </w:tblPr>
      <w:tblGrid>
        <w:gridCol w:w="522"/>
        <w:gridCol w:w="2025"/>
        <w:gridCol w:w="7654"/>
      </w:tblGrid>
      <w:tr w:rsidR="006212A4" w:rsidRPr="002C3C0F" w14:paraId="568C76AD" w14:textId="77777777" w:rsidTr="006212A4">
        <w:tc>
          <w:tcPr>
            <w:tcW w:w="2547" w:type="dxa"/>
            <w:gridSpan w:val="2"/>
            <w:shd w:val="clear" w:color="auto" w:fill="FFFF00"/>
          </w:tcPr>
          <w:p w14:paraId="1DFECDD5" w14:textId="77777777" w:rsidR="006212A4" w:rsidRPr="002C3C0F" w:rsidRDefault="006212A4" w:rsidP="006B44A8">
            <w:pPr>
              <w:spacing w:line="300" w:lineRule="exact"/>
              <w:jc w:val="center"/>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項目</w:t>
            </w:r>
          </w:p>
        </w:tc>
        <w:tc>
          <w:tcPr>
            <w:tcW w:w="7654" w:type="dxa"/>
            <w:shd w:val="clear" w:color="auto" w:fill="FFFF00"/>
          </w:tcPr>
          <w:p w14:paraId="532B280A" w14:textId="45598FC1" w:rsidR="006212A4" w:rsidRPr="002C3C0F" w:rsidRDefault="006212A4" w:rsidP="006B44A8">
            <w:pPr>
              <w:spacing w:line="30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推計方法</w:t>
            </w:r>
          </w:p>
        </w:tc>
      </w:tr>
      <w:tr w:rsidR="006212A4" w:rsidRPr="006212A4" w14:paraId="2B500E24" w14:textId="77777777" w:rsidTr="006212A4">
        <w:tc>
          <w:tcPr>
            <w:tcW w:w="522" w:type="dxa"/>
            <w:vMerge w:val="restart"/>
            <w:textDirection w:val="tbRlV"/>
          </w:tcPr>
          <w:p w14:paraId="65B19D31" w14:textId="77777777" w:rsidR="006212A4" w:rsidRPr="002C3C0F" w:rsidRDefault="006212A4" w:rsidP="00EB01E6">
            <w:pPr>
              <w:spacing w:line="300" w:lineRule="exact"/>
              <w:ind w:left="113" w:right="113"/>
              <w:jc w:val="center"/>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地方税（市町村税）</w:t>
            </w:r>
          </w:p>
        </w:tc>
        <w:tc>
          <w:tcPr>
            <w:tcW w:w="2025" w:type="dxa"/>
            <w:shd w:val="clear" w:color="auto" w:fill="auto"/>
            <w:vAlign w:val="center"/>
          </w:tcPr>
          <w:p w14:paraId="69E8528A" w14:textId="77777777" w:rsidR="006212A4" w:rsidRPr="002C3C0F" w:rsidRDefault="006212A4" w:rsidP="00EB01E6">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個人</w:t>
            </w:r>
          </w:p>
          <w:p w14:paraId="10B36E00"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bCs/>
                <w:color w:val="000000" w:themeColor="text1"/>
                <w:szCs w:val="21"/>
              </w:rPr>
              <w:t>市町村民税</w:t>
            </w:r>
          </w:p>
        </w:tc>
        <w:tc>
          <w:tcPr>
            <w:tcW w:w="7654" w:type="dxa"/>
          </w:tcPr>
          <w:p w14:paraId="4E8F9EC3" w14:textId="123C2E96"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年齢区分に応じた直近の納税義務者数・市町村民税額（R4）を掛け合わせて算出した額をベースとして、年齢区分別人口の変動率を乗じて各年度算出する。</w:t>
            </w:r>
          </w:p>
        </w:tc>
      </w:tr>
      <w:tr w:rsidR="006212A4" w:rsidRPr="002C3C0F" w14:paraId="19316032" w14:textId="77777777" w:rsidTr="006212A4">
        <w:tc>
          <w:tcPr>
            <w:tcW w:w="522" w:type="dxa"/>
            <w:vMerge/>
          </w:tcPr>
          <w:p w14:paraId="393B3346" w14:textId="77777777" w:rsidR="006212A4" w:rsidRPr="002C3C0F" w:rsidRDefault="006212A4" w:rsidP="00EB01E6">
            <w:pPr>
              <w:spacing w:line="300" w:lineRule="exact"/>
              <w:rPr>
                <w:rFonts w:ascii="ＭＳ ゴシック" w:eastAsia="ＭＳ ゴシック" w:hAnsi="ＭＳ ゴシック"/>
                <w:color w:val="000000" w:themeColor="text1"/>
                <w:szCs w:val="21"/>
              </w:rPr>
            </w:pPr>
          </w:p>
        </w:tc>
        <w:tc>
          <w:tcPr>
            <w:tcW w:w="2025" w:type="dxa"/>
            <w:shd w:val="clear" w:color="auto" w:fill="auto"/>
            <w:vAlign w:val="center"/>
          </w:tcPr>
          <w:p w14:paraId="2F2AE71D"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法人</w:t>
            </w:r>
          </w:p>
          <w:p w14:paraId="1BF0FF7B"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市町村民税</w:t>
            </w:r>
          </w:p>
        </w:tc>
        <w:tc>
          <w:tcPr>
            <w:tcW w:w="7654" w:type="dxa"/>
          </w:tcPr>
          <w:p w14:paraId="43C5F145"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直近３年間（R2～R4）の決算収入額の平均値に税率引下げ※の影響を反映させた数値をR5以降横置きとする。</w:t>
            </w:r>
          </w:p>
          <w:p w14:paraId="1BC5C447"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※税率引下げの割合</w:t>
            </w:r>
          </w:p>
          <w:p w14:paraId="0D0793F7" w14:textId="66DC7171"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超過税率を採用している団体は、超過税率適用後の税率の割合から算出する。</w:t>
            </w:r>
          </w:p>
          <w:p w14:paraId="76C418BC"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※税率引下げ影響の反映手法</w:t>
            </w:r>
          </w:p>
          <w:p w14:paraId="4D045F36" w14:textId="5BF5D25D"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引下げ前ベースの数値を試算したのち、引下げ割合を乗ずる。</w:t>
            </w:r>
          </w:p>
        </w:tc>
      </w:tr>
      <w:tr w:rsidR="006212A4" w:rsidRPr="002C3C0F" w14:paraId="4C7EEF54" w14:textId="77777777" w:rsidTr="006212A4">
        <w:tc>
          <w:tcPr>
            <w:tcW w:w="522" w:type="dxa"/>
            <w:vMerge/>
          </w:tcPr>
          <w:p w14:paraId="164429B2" w14:textId="77777777" w:rsidR="006212A4" w:rsidRPr="002C3C0F" w:rsidRDefault="006212A4" w:rsidP="00EB01E6">
            <w:pPr>
              <w:spacing w:line="300" w:lineRule="exact"/>
              <w:rPr>
                <w:rFonts w:ascii="ＭＳ ゴシック" w:eastAsia="ＭＳ ゴシック" w:hAnsi="ＭＳ ゴシック"/>
                <w:color w:val="000000" w:themeColor="text1"/>
                <w:szCs w:val="21"/>
              </w:rPr>
            </w:pPr>
          </w:p>
        </w:tc>
        <w:tc>
          <w:tcPr>
            <w:tcW w:w="2025" w:type="dxa"/>
            <w:tcBorders>
              <w:bottom w:val="single" w:sz="4" w:space="0" w:color="auto"/>
            </w:tcBorders>
            <w:shd w:val="clear" w:color="auto" w:fill="auto"/>
            <w:vAlign w:val="center"/>
          </w:tcPr>
          <w:p w14:paraId="500048BC" w14:textId="77777777" w:rsidR="006212A4" w:rsidRPr="002C3C0F" w:rsidRDefault="006212A4" w:rsidP="00EB01E6">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固定資産税</w:t>
            </w:r>
          </w:p>
        </w:tc>
        <w:tc>
          <w:tcPr>
            <w:tcW w:w="7654" w:type="dxa"/>
          </w:tcPr>
          <w:p w14:paraId="508A3BB4"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■土地・家屋</w:t>
            </w:r>
          </w:p>
          <w:p w14:paraId="62214AEC"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評価替え後の３年間を一つの推計単位とし、土地・家屋別に直近３年間（R3～R5）の決算収入額の平均値にその直前３年間（H30～</w:t>
            </w:r>
            <w:r w:rsidRPr="002C3C0F">
              <w:rPr>
                <w:rFonts w:ascii="ＭＳ ゴシック" w:eastAsia="ＭＳ ゴシック" w:hAnsi="ＭＳ ゴシック"/>
                <w:color w:val="000000" w:themeColor="text1"/>
                <w:szCs w:val="21"/>
              </w:rPr>
              <w:t>R2</w:t>
            </w:r>
            <w:r w:rsidRPr="002C3C0F">
              <w:rPr>
                <w:rFonts w:ascii="ＭＳ ゴシック" w:eastAsia="ＭＳ ゴシック" w:hAnsi="ＭＳ ゴシック" w:hint="eastAsia"/>
                <w:color w:val="000000" w:themeColor="text1"/>
                <w:szCs w:val="21"/>
              </w:rPr>
              <w:t>）の平均値からの変動率を乗じて、以降３年ごとに推計する。</w:t>
            </w:r>
          </w:p>
          <w:p w14:paraId="32441F92"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【考え方】</w:t>
            </w:r>
          </w:p>
          <w:p w14:paraId="7A7BE3BA"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・R</w:t>
            </w:r>
            <w:r w:rsidRPr="002C3C0F">
              <w:rPr>
                <w:rFonts w:ascii="ＭＳ ゴシック" w:eastAsia="ＭＳ ゴシック" w:hAnsi="ＭＳ ゴシック"/>
                <w:color w:val="000000" w:themeColor="text1"/>
                <w:szCs w:val="21"/>
              </w:rPr>
              <w:t>5</w:t>
            </w:r>
            <w:r w:rsidRPr="002C3C0F">
              <w:rPr>
                <w:rFonts w:ascii="ＭＳ ゴシック" w:eastAsia="ＭＳ ゴシック" w:hAnsi="ＭＳ ゴシック" w:hint="eastAsia"/>
                <w:color w:val="000000" w:themeColor="text1"/>
                <w:szCs w:val="21"/>
              </w:rPr>
              <w:t>については、R4と同額と仮定する。</w:t>
            </w:r>
          </w:p>
          <w:p w14:paraId="7DDC3F8B"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・変動率が増加傾向となっている場合は横置きとする。</w:t>
            </w:r>
          </w:p>
          <w:p w14:paraId="057EA3C5"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■償却資産・国有資産等所在市町村交付金</w:t>
            </w:r>
          </w:p>
          <w:p w14:paraId="639F102C" w14:textId="665D822C" w:rsidR="006212A4" w:rsidRPr="002C3C0F" w:rsidRDefault="006212A4" w:rsidP="00EB01E6">
            <w:pPr>
              <w:spacing w:line="300" w:lineRule="exact"/>
              <w:rPr>
                <w:rFonts w:ascii="ＭＳ ゴシック" w:eastAsia="ＭＳ ゴシック" w:hAnsi="ＭＳ ゴシック"/>
                <w:color w:val="000000" w:themeColor="text1"/>
                <w:szCs w:val="21"/>
              </w:rPr>
            </w:pPr>
            <w:bookmarkStart w:id="1" w:name="_Hlk87175813"/>
            <w:r w:rsidRPr="002C3C0F">
              <w:rPr>
                <w:rFonts w:ascii="ＭＳ ゴシック" w:eastAsia="ＭＳ ゴシック" w:hAnsi="ＭＳ ゴシック" w:hint="eastAsia"/>
                <w:color w:val="000000" w:themeColor="text1"/>
                <w:szCs w:val="21"/>
              </w:rPr>
              <w:t>直近３年間（R2～R4）の</w:t>
            </w:r>
            <w:bookmarkEnd w:id="1"/>
            <w:r w:rsidRPr="002C3C0F">
              <w:rPr>
                <w:rFonts w:ascii="ＭＳ ゴシック" w:eastAsia="ＭＳ ゴシック" w:hAnsi="ＭＳ ゴシック" w:hint="eastAsia"/>
                <w:color w:val="000000" w:themeColor="text1"/>
                <w:szCs w:val="21"/>
              </w:rPr>
              <w:t>決算収入額の平均値をR5以降横置きする。</w:t>
            </w:r>
          </w:p>
        </w:tc>
      </w:tr>
      <w:tr w:rsidR="006212A4" w:rsidRPr="002C3C0F" w14:paraId="5FE70931" w14:textId="77777777" w:rsidTr="006212A4">
        <w:tc>
          <w:tcPr>
            <w:tcW w:w="522" w:type="dxa"/>
            <w:vMerge/>
          </w:tcPr>
          <w:p w14:paraId="3CB043BB" w14:textId="77777777" w:rsidR="006212A4" w:rsidRPr="002C3C0F" w:rsidRDefault="006212A4" w:rsidP="00EB01E6">
            <w:pPr>
              <w:spacing w:line="300" w:lineRule="exact"/>
              <w:rPr>
                <w:rFonts w:ascii="ＭＳ ゴシック" w:eastAsia="ＭＳ ゴシック" w:hAnsi="ＭＳ ゴシック"/>
                <w:color w:val="000000" w:themeColor="text1"/>
                <w:szCs w:val="21"/>
              </w:rPr>
            </w:pPr>
          </w:p>
        </w:tc>
        <w:tc>
          <w:tcPr>
            <w:tcW w:w="2025" w:type="dxa"/>
            <w:tcBorders>
              <w:tr2bl w:val="nil"/>
            </w:tcBorders>
            <w:shd w:val="clear" w:color="auto" w:fill="auto"/>
            <w:vAlign w:val="center"/>
          </w:tcPr>
          <w:p w14:paraId="51232B15"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都市計画税</w:t>
            </w:r>
          </w:p>
        </w:tc>
        <w:tc>
          <w:tcPr>
            <w:tcW w:w="7654" w:type="dxa"/>
          </w:tcPr>
          <w:p w14:paraId="3EAEBE0D"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評価替え後の３年間を一つの推計単位とし、土地・家屋別に直近３年間（R3～R5）の決算収入額の平均値にその直前３年間（H30～</w:t>
            </w:r>
            <w:r w:rsidRPr="002C3C0F">
              <w:rPr>
                <w:rFonts w:ascii="ＭＳ ゴシック" w:eastAsia="ＭＳ ゴシック" w:hAnsi="ＭＳ ゴシック"/>
                <w:color w:val="000000" w:themeColor="text1"/>
                <w:szCs w:val="21"/>
              </w:rPr>
              <w:t>R2</w:t>
            </w:r>
            <w:r w:rsidRPr="002C3C0F">
              <w:rPr>
                <w:rFonts w:ascii="ＭＳ ゴシック" w:eastAsia="ＭＳ ゴシック" w:hAnsi="ＭＳ ゴシック" w:hint="eastAsia"/>
                <w:color w:val="000000" w:themeColor="text1"/>
                <w:szCs w:val="21"/>
              </w:rPr>
              <w:t>）の平均値からの変動率を乗じて、以降３年ごとに推計する。</w:t>
            </w:r>
          </w:p>
          <w:p w14:paraId="50BDD4E2"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【考え方】</w:t>
            </w:r>
          </w:p>
          <w:p w14:paraId="1D9CCBFA"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・R</w:t>
            </w:r>
            <w:r w:rsidRPr="002C3C0F">
              <w:rPr>
                <w:rFonts w:ascii="ＭＳ ゴシック" w:eastAsia="ＭＳ ゴシック" w:hAnsi="ＭＳ ゴシック"/>
                <w:color w:val="000000" w:themeColor="text1"/>
                <w:szCs w:val="21"/>
              </w:rPr>
              <w:t>5</w:t>
            </w:r>
            <w:r w:rsidRPr="002C3C0F">
              <w:rPr>
                <w:rFonts w:ascii="ＭＳ ゴシック" w:eastAsia="ＭＳ ゴシック" w:hAnsi="ＭＳ ゴシック" w:hint="eastAsia"/>
                <w:color w:val="000000" w:themeColor="text1"/>
                <w:szCs w:val="21"/>
              </w:rPr>
              <w:t>については、R4と同額と仮定する。</w:t>
            </w:r>
          </w:p>
          <w:p w14:paraId="59591DD6" w14:textId="234A028D"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・変動率が増加傾向となっている場合は横置きとする。</w:t>
            </w:r>
          </w:p>
        </w:tc>
      </w:tr>
      <w:tr w:rsidR="006212A4" w:rsidRPr="002C3C0F" w14:paraId="193FCC46" w14:textId="77777777" w:rsidTr="006212A4">
        <w:tc>
          <w:tcPr>
            <w:tcW w:w="522" w:type="dxa"/>
            <w:vMerge/>
          </w:tcPr>
          <w:p w14:paraId="3D587717" w14:textId="77777777" w:rsidR="006212A4" w:rsidRPr="002C3C0F" w:rsidRDefault="006212A4" w:rsidP="00EB01E6">
            <w:pPr>
              <w:spacing w:line="300" w:lineRule="exact"/>
              <w:rPr>
                <w:rFonts w:ascii="ＭＳ ゴシック" w:eastAsia="ＭＳ ゴシック" w:hAnsi="ＭＳ ゴシック"/>
                <w:color w:val="000000" w:themeColor="text1"/>
                <w:szCs w:val="21"/>
              </w:rPr>
            </w:pPr>
          </w:p>
        </w:tc>
        <w:tc>
          <w:tcPr>
            <w:tcW w:w="2025" w:type="dxa"/>
            <w:shd w:val="clear" w:color="auto" w:fill="auto"/>
            <w:vAlign w:val="center"/>
          </w:tcPr>
          <w:p w14:paraId="05DD827A" w14:textId="77777777" w:rsidR="006212A4" w:rsidRPr="002C3C0F" w:rsidRDefault="006212A4" w:rsidP="00EB01E6">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軽自動車税</w:t>
            </w:r>
          </w:p>
        </w:tc>
        <w:tc>
          <w:tcPr>
            <w:tcW w:w="7654" w:type="dxa"/>
          </w:tcPr>
          <w:p w14:paraId="1DE342FC" w14:textId="31F8D6CA"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直近の決算収入額（R4）をベースに2</w:t>
            </w:r>
            <w:r w:rsidRPr="002C3C0F">
              <w:rPr>
                <w:rFonts w:ascii="ＭＳ ゴシック" w:eastAsia="ＭＳ ゴシック" w:hAnsi="ＭＳ ゴシック"/>
                <w:color w:val="000000" w:themeColor="text1"/>
                <w:szCs w:val="21"/>
              </w:rPr>
              <w:t>0</w:t>
            </w:r>
            <w:r w:rsidRPr="002C3C0F">
              <w:rPr>
                <w:rFonts w:ascii="ＭＳ ゴシック" w:eastAsia="ＭＳ ゴシック" w:hAnsi="ＭＳ ゴシック" w:hint="eastAsia"/>
                <w:color w:val="000000" w:themeColor="text1"/>
                <w:szCs w:val="21"/>
              </w:rPr>
              <w:t>歳以上人口の変動率を乗じて各年度算出する。</w:t>
            </w:r>
          </w:p>
        </w:tc>
      </w:tr>
      <w:tr w:rsidR="006212A4" w:rsidRPr="002C3C0F" w14:paraId="69E14CF5" w14:textId="77777777" w:rsidTr="006212A4">
        <w:tc>
          <w:tcPr>
            <w:tcW w:w="522" w:type="dxa"/>
            <w:vMerge/>
          </w:tcPr>
          <w:p w14:paraId="3F8C5F30" w14:textId="77777777" w:rsidR="006212A4" w:rsidRPr="002C3C0F" w:rsidRDefault="006212A4" w:rsidP="00EB01E6">
            <w:pPr>
              <w:spacing w:line="300" w:lineRule="exact"/>
              <w:rPr>
                <w:rFonts w:ascii="ＭＳ ゴシック" w:eastAsia="ＭＳ ゴシック" w:hAnsi="ＭＳ ゴシック"/>
                <w:color w:val="000000" w:themeColor="text1"/>
                <w:szCs w:val="21"/>
              </w:rPr>
            </w:pPr>
          </w:p>
        </w:tc>
        <w:tc>
          <w:tcPr>
            <w:tcW w:w="2025" w:type="dxa"/>
            <w:shd w:val="clear" w:color="auto" w:fill="auto"/>
            <w:vAlign w:val="center"/>
          </w:tcPr>
          <w:p w14:paraId="072C9267" w14:textId="77777777" w:rsidR="006212A4" w:rsidRPr="002C3C0F" w:rsidRDefault="006212A4" w:rsidP="00EB01E6">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たばこ税</w:t>
            </w:r>
          </w:p>
        </w:tc>
        <w:tc>
          <w:tcPr>
            <w:tcW w:w="7654" w:type="dxa"/>
          </w:tcPr>
          <w:p w14:paraId="53F9245A" w14:textId="6893C244"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直近の売渡本数（</w:t>
            </w:r>
            <w:r w:rsidRPr="002C3C0F">
              <w:rPr>
                <w:rFonts w:ascii="ＭＳ ゴシック" w:eastAsia="ＭＳ ゴシック" w:hAnsi="ＭＳ ゴシック"/>
                <w:color w:val="000000" w:themeColor="text1"/>
                <w:szCs w:val="21"/>
              </w:rPr>
              <w:t>R</w:t>
            </w:r>
            <w:r w:rsidRPr="002C3C0F">
              <w:rPr>
                <w:rFonts w:ascii="ＭＳ ゴシック" w:eastAsia="ＭＳ ゴシック" w:hAnsi="ＭＳ ゴシック" w:hint="eastAsia"/>
                <w:color w:val="000000" w:themeColor="text1"/>
                <w:szCs w:val="21"/>
              </w:rPr>
              <w:t>4</w:t>
            </w:r>
            <w:r w:rsidRPr="002C3C0F">
              <w:rPr>
                <w:rFonts w:ascii="ＭＳ ゴシック" w:eastAsia="ＭＳ ゴシック" w:hAnsi="ＭＳ ゴシック"/>
                <w:color w:val="000000" w:themeColor="text1"/>
                <w:szCs w:val="21"/>
              </w:rPr>
              <w:t>）に税率を</w:t>
            </w:r>
            <w:r w:rsidRPr="002C3C0F">
              <w:rPr>
                <w:rFonts w:ascii="ＭＳ ゴシック" w:eastAsia="ＭＳ ゴシック" w:hAnsi="ＭＳ ゴシック" w:hint="eastAsia"/>
                <w:color w:val="000000" w:themeColor="text1"/>
                <w:szCs w:val="21"/>
              </w:rPr>
              <w:t>乗じたものをベースに2</w:t>
            </w:r>
            <w:r w:rsidRPr="002C3C0F">
              <w:rPr>
                <w:rFonts w:ascii="ＭＳ ゴシック" w:eastAsia="ＭＳ ゴシック" w:hAnsi="ＭＳ ゴシック"/>
                <w:color w:val="000000" w:themeColor="text1"/>
                <w:szCs w:val="21"/>
              </w:rPr>
              <w:t>0</w:t>
            </w:r>
            <w:r w:rsidRPr="002C3C0F">
              <w:rPr>
                <w:rFonts w:ascii="ＭＳ ゴシック" w:eastAsia="ＭＳ ゴシック" w:hAnsi="ＭＳ ゴシック" w:hint="eastAsia"/>
                <w:color w:val="000000" w:themeColor="text1"/>
                <w:szCs w:val="21"/>
              </w:rPr>
              <w:t>歳以上人口の変動率を乗じて各年度算出する。</w:t>
            </w:r>
          </w:p>
        </w:tc>
      </w:tr>
      <w:tr w:rsidR="006212A4" w:rsidRPr="002C3C0F" w14:paraId="26451AE0" w14:textId="77777777" w:rsidTr="006212A4">
        <w:tc>
          <w:tcPr>
            <w:tcW w:w="522" w:type="dxa"/>
            <w:vMerge/>
          </w:tcPr>
          <w:p w14:paraId="03523098" w14:textId="77777777" w:rsidR="006212A4" w:rsidRPr="002C3C0F" w:rsidRDefault="006212A4" w:rsidP="00EB01E6">
            <w:pPr>
              <w:spacing w:line="300" w:lineRule="exact"/>
              <w:rPr>
                <w:rFonts w:ascii="ＭＳ ゴシック" w:eastAsia="ＭＳ ゴシック" w:hAnsi="ＭＳ ゴシック"/>
                <w:color w:val="000000" w:themeColor="text1"/>
                <w:szCs w:val="21"/>
              </w:rPr>
            </w:pPr>
          </w:p>
        </w:tc>
        <w:tc>
          <w:tcPr>
            <w:tcW w:w="2025" w:type="dxa"/>
            <w:shd w:val="clear" w:color="auto" w:fill="auto"/>
            <w:vAlign w:val="center"/>
          </w:tcPr>
          <w:p w14:paraId="031EE5AE"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その他（税）</w:t>
            </w:r>
          </w:p>
        </w:tc>
        <w:tc>
          <w:tcPr>
            <w:tcW w:w="7654" w:type="dxa"/>
          </w:tcPr>
          <w:p w14:paraId="766584B7"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直近３年間（R2～R4）の決算収入額の平均値</w:t>
            </w:r>
            <w:r w:rsidRPr="002C3C0F">
              <w:rPr>
                <w:rFonts w:ascii="ＭＳ ゴシック" w:eastAsia="ＭＳ ゴシック" w:hAnsi="ＭＳ ゴシック"/>
                <w:color w:val="000000" w:themeColor="text1"/>
                <w:szCs w:val="21"/>
              </w:rPr>
              <w:t>を</w:t>
            </w:r>
            <w:r w:rsidRPr="002C3C0F">
              <w:rPr>
                <w:rFonts w:ascii="ＭＳ ゴシック" w:eastAsia="ＭＳ ゴシック" w:hAnsi="ＭＳ ゴシック" w:hint="eastAsia"/>
                <w:color w:val="000000" w:themeColor="text1"/>
                <w:szCs w:val="21"/>
              </w:rPr>
              <w:t>R5以降</w:t>
            </w:r>
            <w:r w:rsidRPr="002C3C0F">
              <w:rPr>
                <w:rFonts w:ascii="ＭＳ ゴシック" w:eastAsia="ＭＳ ゴシック" w:hAnsi="ＭＳ ゴシック"/>
                <w:color w:val="000000" w:themeColor="text1"/>
                <w:szCs w:val="21"/>
              </w:rPr>
              <w:t>横置き</w:t>
            </w:r>
            <w:r w:rsidRPr="002C3C0F">
              <w:rPr>
                <w:rFonts w:ascii="ＭＳ ゴシック" w:eastAsia="ＭＳ ゴシック" w:hAnsi="ＭＳ ゴシック" w:hint="eastAsia"/>
                <w:color w:val="000000" w:themeColor="text1"/>
                <w:szCs w:val="21"/>
              </w:rPr>
              <w:t>とする</w:t>
            </w:r>
            <w:r w:rsidRPr="002C3C0F">
              <w:rPr>
                <w:rFonts w:ascii="ＭＳ ゴシック" w:eastAsia="ＭＳ ゴシック" w:hAnsi="ＭＳ ゴシック"/>
                <w:color w:val="000000" w:themeColor="text1"/>
                <w:szCs w:val="21"/>
              </w:rPr>
              <w:t>。</w:t>
            </w:r>
          </w:p>
          <w:p w14:paraId="2FA167E1"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【該当税目】</w:t>
            </w:r>
          </w:p>
          <w:p w14:paraId="7C522DC7" w14:textId="5E1ADEE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入湯税、事業所税、特別土地保有税</w:t>
            </w:r>
          </w:p>
        </w:tc>
      </w:tr>
      <w:tr w:rsidR="006212A4" w:rsidRPr="002C3C0F" w14:paraId="180B1B33" w14:textId="77777777" w:rsidTr="006212A4">
        <w:tc>
          <w:tcPr>
            <w:tcW w:w="522" w:type="dxa"/>
            <w:vMerge w:val="restart"/>
            <w:textDirection w:val="tbRlV"/>
          </w:tcPr>
          <w:p w14:paraId="4424C1DE" w14:textId="77777777" w:rsidR="006212A4" w:rsidRPr="002C3C0F" w:rsidRDefault="006212A4" w:rsidP="00EB01E6">
            <w:pPr>
              <w:spacing w:line="300" w:lineRule="exact"/>
              <w:ind w:left="113" w:right="113"/>
              <w:jc w:val="center"/>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lastRenderedPageBreak/>
              <w:t>譲与税・交付金等</w:t>
            </w:r>
          </w:p>
        </w:tc>
        <w:tc>
          <w:tcPr>
            <w:tcW w:w="2025" w:type="dxa"/>
          </w:tcPr>
          <w:p w14:paraId="512E27DB"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地方消費税</w:t>
            </w:r>
          </w:p>
          <w:p w14:paraId="72BBDDF6"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交付金</w:t>
            </w:r>
          </w:p>
        </w:tc>
        <w:tc>
          <w:tcPr>
            <w:tcW w:w="7654" w:type="dxa"/>
          </w:tcPr>
          <w:p w14:paraId="66FE545F" w14:textId="77777777" w:rsidR="006212A4" w:rsidRPr="002C3C0F" w:rsidRDefault="006212A4" w:rsidP="00EB01E6">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■交付額計（総枠）</w:t>
            </w:r>
          </w:p>
          <w:p w14:paraId="45F7BA32" w14:textId="77777777" w:rsidR="006212A4" w:rsidRPr="002C3C0F" w:rsidRDefault="006212A4" w:rsidP="00EB01E6">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直近の府内市町村交付額計（</w:t>
            </w:r>
            <w:r w:rsidRPr="002C3C0F">
              <w:rPr>
                <w:rFonts w:ascii="ＭＳ ゴシック" w:eastAsia="ＭＳ ゴシック" w:hAnsi="ＭＳ ゴシック"/>
                <w:bCs/>
                <w:color w:val="000000" w:themeColor="text1"/>
                <w:szCs w:val="21"/>
              </w:rPr>
              <w:t>R</w:t>
            </w:r>
            <w:r w:rsidRPr="002C3C0F">
              <w:rPr>
                <w:rFonts w:ascii="ＭＳ ゴシック" w:eastAsia="ＭＳ ゴシック" w:hAnsi="ＭＳ ゴシック" w:hint="eastAsia"/>
                <w:bCs/>
                <w:color w:val="000000" w:themeColor="text1"/>
                <w:szCs w:val="21"/>
              </w:rPr>
              <w:t>4</w:t>
            </w:r>
            <w:r w:rsidRPr="002C3C0F">
              <w:rPr>
                <w:rFonts w:ascii="ＭＳ ゴシック" w:eastAsia="ＭＳ ゴシック" w:hAnsi="ＭＳ ゴシック"/>
                <w:bCs/>
                <w:color w:val="000000" w:themeColor="text1"/>
                <w:szCs w:val="21"/>
              </w:rPr>
              <w:t>）をベースとして、R</w:t>
            </w:r>
            <w:r w:rsidRPr="002C3C0F">
              <w:rPr>
                <w:rFonts w:ascii="ＭＳ ゴシック" w:eastAsia="ＭＳ ゴシック" w:hAnsi="ＭＳ ゴシック" w:hint="eastAsia"/>
                <w:bCs/>
                <w:color w:val="000000" w:themeColor="text1"/>
                <w:szCs w:val="21"/>
              </w:rPr>
              <w:t>5</w:t>
            </w:r>
            <w:r w:rsidRPr="002C3C0F">
              <w:rPr>
                <w:rFonts w:ascii="ＭＳ ゴシック" w:eastAsia="ＭＳ ゴシック" w:hAnsi="ＭＳ ゴシック"/>
                <w:bCs/>
                <w:color w:val="000000" w:themeColor="text1"/>
                <w:szCs w:val="21"/>
              </w:rPr>
              <w:t>以降横置きする。</w:t>
            </w:r>
          </w:p>
          <w:p w14:paraId="4BAEE967"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■交付額</w:t>
            </w:r>
          </w:p>
          <w:p w14:paraId="103CFB13" w14:textId="77777777" w:rsidR="006212A4" w:rsidRPr="002C3C0F" w:rsidRDefault="006212A4" w:rsidP="00EB01E6">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上記により算出した総枠のうち従来分については人口及び従業員数により、社会保障財源分については人口により、各年度按分する。</w:t>
            </w:r>
          </w:p>
          <w:p w14:paraId="2917B9EA" w14:textId="5A819CF5"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bCs/>
                <w:color w:val="000000" w:themeColor="text1"/>
                <w:szCs w:val="21"/>
              </w:rPr>
              <w:t>各年度の従業員数は、R5年6月分の交付については経済センサス基礎調査（</w:t>
            </w:r>
            <w:r w:rsidRPr="002C3C0F">
              <w:rPr>
                <w:rFonts w:ascii="ＭＳ ゴシック" w:eastAsia="ＭＳ ゴシック" w:hAnsi="ＭＳ ゴシック"/>
                <w:bCs/>
                <w:color w:val="000000" w:themeColor="text1"/>
                <w:szCs w:val="21"/>
              </w:rPr>
              <w:t>H26）をベースに、</w:t>
            </w:r>
            <w:r w:rsidRPr="002C3C0F">
              <w:rPr>
                <w:rFonts w:ascii="ＭＳ ゴシック" w:eastAsia="ＭＳ ゴシック" w:hAnsi="ＭＳ ゴシック" w:hint="eastAsia"/>
                <w:bCs/>
                <w:color w:val="000000" w:themeColor="text1"/>
                <w:szCs w:val="21"/>
              </w:rPr>
              <w:t>R5年9月分以降の交付については経済センサス活動調査（R3</w:t>
            </w:r>
            <w:r w:rsidRPr="002C3C0F">
              <w:rPr>
                <w:rFonts w:ascii="ＭＳ ゴシック" w:eastAsia="ＭＳ ゴシック" w:hAnsi="ＭＳ ゴシック"/>
                <w:bCs/>
                <w:color w:val="000000" w:themeColor="text1"/>
                <w:szCs w:val="21"/>
              </w:rPr>
              <w:t>）をベースに</w:t>
            </w:r>
            <w:r w:rsidRPr="002C3C0F">
              <w:rPr>
                <w:rFonts w:ascii="ＭＳ ゴシック" w:eastAsia="ＭＳ ゴシック" w:hAnsi="ＭＳ ゴシック" w:hint="eastAsia"/>
                <w:bCs/>
                <w:color w:val="000000" w:themeColor="text1"/>
                <w:szCs w:val="21"/>
              </w:rPr>
              <w:t>、</w:t>
            </w:r>
            <w:r w:rsidRPr="002C3C0F">
              <w:rPr>
                <w:rFonts w:ascii="ＭＳ ゴシック" w:eastAsia="ＭＳ ゴシック" w:hAnsi="ＭＳ ゴシック"/>
                <w:bCs/>
                <w:color w:val="000000" w:themeColor="text1"/>
                <w:szCs w:val="21"/>
              </w:rPr>
              <w:t>20歳以上の人口の変動率を乗じて算出する。</w:t>
            </w:r>
          </w:p>
        </w:tc>
      </w:tr>
      <w:tr w:rsidR="006212A4" w:rsidRPr="002C3C0F" w14:paraId="5F55DA7C" w14:textId="77777777" w:rsidTr="006212A4">
        <w:tc>
          <w:tcPr>
            <w:tcW w:w="522" w:type="dxa"/>
            <w:vMerge/>
          </w:tcPr>
          <w:p w14:paraId="7D1F298C" w14:textId="77777777" w:rsidR="006212A4" w:rsidRPr="002C3C0F" w:rsidRDefault="006212A4" w:rsidP="00EB01E6">
            <w:pPr>
              <w:spacing w:line="300" w:lineRule="exact"/>
              <w:rPr>
                <w:rFonts w:ascii="ＭＳ ゴシック" w:eastAsia="ＭＳ ゴシック" w:hAnsi="ＭＳ ゴシック"/>
                <w:color w:val="000000" w:themeColor="text1"/>
                <w:szCs w:val="21"/>
              </w:rPr>
            </w:pPr>
          </w:p>
        </w:tc>
        <w:tc>
          <w:tcPr>
            <w:tcW w:w="2025" w:type="dxa"/>
          </w:tcPr>
          <w:p w14:paraId="2F89DEA4"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法人事業税</w:t>
            </w:r>
          </w:p>
          <w:p w14:paraId="572EF9F1" w14:textId="77777777" w:rsidR="006212A4" w:rsidRPr="002C3C0F" w:rsidRDefault="006212A4" w:rsidP="00EB01E6">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交付金</w:t>
            </w:r>
          </w:p>
        </w:tc>
        <w:tc>
          <w:tcPr>
            <w:tcW w:w="7654" w:type="dxa"/>
          </w:tcPr>
          <w:p w14:paraId="6177DE07" w14:textId="77777777" w:rsidR="006212A4" w:rsidRPr="007E58B5" w:rsidRDefault="006212A4" w:rsidP="007E58B5">
            <w:pPr>
              <w:spacing w:line="300" w:lineRule="exact"/>
              <w:rPr>
                <w:rFonts w:ascii="ＭＳ ゴシック" w:eastAsia="ＭＳ ゴシック" w:hAnsi="ＭＳ ゴシック"/>
                <w:color w:val="000000" w:themeColor="text1"/>
                <w:szCs w:val="21"/>
              </w:rPr>
            </w:pPr>
            <w:r w:rsidRPr="007E58B5">
              <w:rPr>
                <w:rFonts w:ascii="ＭＳ ゴシック" w:eastAsia="ＭＳ ゴシック" w:hAnsi="ＭＳ ゴシック" w:hint="eastAsia"/>
                <w:color w:val="000000" w:themeColor="text1"/>
                <w:szCs w:val="21"/>
              </w:rPr>
              <w:t>■交付額計（総枠）</w:t>
            </w:r>
          </w:p>
          <w:p w14:paraId="4E8DA243" w14:textId="77777777" w:rsidR="006212A4" w:rsidRPr="007E58B5" w:rsidRDefault="006212A4" w:rsidP="007E58B5">
            <w:pPr>
              <w:spacing w:line="300" w:lineRule="exact"/>
              <w:rPr>
                <w:rFonts w:ascii="ＭＳ ゴシック" w:eastAsia="ＭＳ ゴシック" w:hAnsi="ＭＳ ゴシック"/>
                <w:color w:val="000000" w:themeColor="text1"/>
                <w:szCs w:val="21"/>
              </w:rPr>
            </w:pPr>
            <w:r w:rsidRPr="007E58B5">
              <w:rPr>
                <w:rFonts w:ascii="ＭＳ ゴシック" w:eastAsia="ＭＳ ゴシック" w:hAnsi="ＭＳ ゴシック" w:hint="eastAsia"/>
                <w:color w:val="000000" w:themeColor="text1"/>
                <w:szCs w:val="21"/>
              </w:rPr>
              <w:t>直近３年間の府の法人事業税決算額（R2</w:t>
            </w:r>
            <w:r w:rsidRPr="007E58B5">
              <w:rPr>
                <w:rFonts w:ascii="ＭＳ ゴシック" w:eastAsia="ＭＳ ゴシック" w:hAnsi="ＭＳ ゴシック"/>
                <w:color w:val="000000" w:themeColor="text1"/>
                <w:szCs w:val="21"/>
              </w:rPr>
              <w:t>～R</w:t>
            </w:r>
            <w:r w:rsidRPr="007E58B5">
              <w:rPr>
                <w:rFonts w:ascii="ＭＳ ゴシック" w:eastAsia="ＭＳ ゴシック" w:hAnsi="ＭＳ ゴシック" w:hint="eastAsia"/>
                <w:color w:val="000000" w:themeColor="text1"/>
                <w:szCs w:val="21"/>
              </w:rPr>
              <w:t>4</w:t>
            </w:r>
            <w:r w:rsidRPr="007E58B5">
              <w:rPr>
                <w:rFonts w:ascii="ＭＳ ゴシック" w:eastAsia="ＭＳ ゴシック" w:hAnsi="ＭＳ ゴシック"/>
                <w:color w:val="000000" w:themeColor="text1"/>
                <w:szCs w:val="21"/>
              </w:rPr>
              <w:t>、標準税率相当分のみ）の平均値をR</w:t>
            </w:r>
            <w:r w:rsidRPr="007E58B5">
              <w:rPr>
                <w:rFonts w:ascii="ＭＳ ゴシック" w:eastAsia="ＭＳ ゴシック" w:hAnsi="ＭＳ ゴシック" w:hint="eastAsia"/>
                <w:color w:val="000000" w:themeColor="text1"/>
                <w:szCs w:val="21"/>
              </w:rPr>
              <w:t>5</w:t>
            </w:r>
            <w:r w:rsidRPr="007E58B5">
              <w:rPr>
                <w:rFonts w:ascii="ＭＳ ゴシック" w:eastAsia="ＭＳ ゴシック" w:hAnsi="ＭＳ ゴシック"/>
                <w:color w:val="000000" w:themeColor="text1"/>
                <w:szCs w:val="21"/>
              </w:rPr>
              <w:t>以降横置きする。</w:t>
            </w:r>
          </w:p>
          <w:p w14:paraId="2A96B783" w14:textId="77777777" w:rsidR="006212A4" w:rsidRPr="007E58B5" w:rsidRDefault="006212A4" w:rsidP="007E58B5">
            <w:pPr>
              <w:spacing w:line="300" w:lineRule="exact"/>
              <w:rPr>
                <w:rFonts w:ascii="ＭＳ ゴシック" w:eastAsia="ＭＳ ゴシック" w:hAnsi="ＭＳ ゴシック"/>
                <w:color w:val="000000" w:themeColor="text1"/>
                <w:szCs w:val="21"/>
              </w:rPr>
            </w:pPr>
            <w:r w:rsidRPr="007E58B5">
              <w:rPr>
                <w:rFonts w:ascii="ＭＳ ゴシック" w:eastAsia="ＭＳ ゴシック" w:hAnsi="ＭＳ ゴシック"/>
                <w:color w:val="000000" w:themeColor="text1"/>
                <w:szCs w:val="21"/>
              </w:rPr>
              <w:t>■交付額</w:t>
            </w:r>
          </w:p>
          <w:p w14:paraId="730AE7E4" w14:textId="77777777" w:rsidR="006212A4" w:rsidRPr="007E58B5" w:rsidRDefault="006212A4" w:rsidP="007E58B5">
            <w:pPr>
              <w:spacing w:line="300" w:lineRule="exact"/>
              <w:rPr>
                <w:rFonts w:ascii="ＭＳ ゴシック" w:eastAsia="ＭＳ ゴシック" w:hAnsi="ＭＳ ゴシック"/>
                <w:bCs/>
                <w:color w:val="000000" w:themeColor="text1"/>
                <w:szCs w:val="21"/>
              </w:rPr>
            </w:pPr>
            <w:r w:rsidRPr="007E58B5">
              <w:rPr>
                <w:rFonts w:ascii="ＭＳ ゴシック" w:eastAsia="ＭＳ ゴシック" w:hAnsi="ＭＳ ゴシック" w:hint="eastAsia"/>
                <w:bCs/>
                <w:color w:val="000000" w:themeColor="text1"/>
                <w:szCs w:val="21"/>
              </w:rPr>
              <w:t>上記により算出した総枠を従業員数により各年度按分する。</w:t>
            </w:r>
          </w:p>
          <w:p w14:paraId="5C1CA6F2" w14:textId="046F04BA" w:rsidR="006212A4" w:rsidRPr="002C3C0F" w:rsidRDefault="006212A4" w:rsidP="007E58B5">
            <w:pPr>
              <w:spacing w:line="300" w:lineRule="exact"/>
              <w:rPr>
                <w:rFonts w:ascii="ＭＳ ゴシック" w:eastAsia="ＭＳ ゴシック" w:hAnsi="ＭＳ ゴシック"/>
                <w:color w:val="000000" w:themeColor="text1"/>
                <w:szCs w:val="21"/>
              </w:rPr>
            </w:pPr>
            <w:r w:rsidRPr="005A0072">
              <w:rPr>
                <w:rFonts w:ascii="ＭＳ ゴシック" w:eastAsia="ＭＳ ゴシック" w:hAnsi="ＭＳ ゴシック" w:hint="eastAsia"/>
                <w:bCs/>
                <w:color w:val="000000" w:themeColor="text1"/>
                <w:szCs w:val="21"/>
              </w:rPr>
              <w:t>各年度の従業員数は、経済センサス活動調査（R3</w:t>
            </w:r>
            <w:r w:rsidRPr="005A0072">
              <w:rPr>
                <w:rFonts w:ascii="ＭＳ ゴシック" w:eastAsia="ＭＳ ゴシック" w:hAnsi="ＭＳ ゴシック"/>
                <w:bCs/>
                <w:color w:val="000000" w:themeColor="text1"/>
                <w:szCs w:val="21"/>
              </w:rPr>
              <w:t>）をベースに</w:t>
            </w:r>
            <w:r w:rsidRPr="005A0072">
              <w:rPr>
                <w:rFonts w:ascii="ＭＳ ゴシック" w:eastAsia="ＭＳ ゴシック" w:hAnsi="ＭＳ ゴシック" w:hint="eastAsia"/>
                <w:bCs/>
                <w:color w:val="000000" w:themeColor="text1"/>
                <w:szCs w:val="21"/>
              </w:rPr>
              <w:t>、</w:t>
            </w:r>
            <w:r w:rsidRPr="005A0072">
              <w:rPr>
                <w:rFonts w:ascii="ＭＳ ゴシック" w:eastAsia="ＭＳ ゴシック" w:hAnsi="ＭＳ ゴシック"/>
                <w:bCs/>
                <w:color w:val="000000" w:themeColor="text1"/>
                <w:szCs w:val="21"/>
              </w:rPr>
              <w:t>20歳以上の人口の変動率を乗じて算出する。</w:t>
            </w:r>
          </w:p>
        </w:tc>
      </w:tr>
      <w:tr w:rsidR="006212A4" w:rsidRPr="002C3C0F" w14:paraId="10687CAF" w14:textId="77777777" w:rsidTr="006212A4">
        <w:tc>
          <w:tcPr>
            <w:tcW w:w="522" w:type="dxa"/>
            <w:vMerge/>
          </w:tcPr>
          <w:p w14:paraId="7BABB02B" w14:textId="77777777" w:rsidR="006212A4" w:rsidRPr="002C3C0F" w:rsidRDefault="006212A4" w:rsidP="00164230">
            <w:pPr>
              <w:spacing w:line="300" w:lineRule="exact"/>
              <w:rPr>
                <w:rFonts w:ascii="ＭＳ ゴシック" w:eastAsia="ＭＳ ゴシック" w:hAnsi="ＭＳ ゴシック"/>
                <w:color w:val="000000" w:themeColor="text1"/>
                <w:szCs w:val="21"/>
              </w:rPr>
            </w:pPr>
          </w:p>
        </w:tc>
        <w:tc>
          <w:tcPr>
            <w:tcW w:w="2025" w:type="dxa"/>
          </w:tcPr>
          <w:p w14:paraId="04925BC2"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その他</w:t>
            </w:r>
          </w:p>
        </w:tc>
        <w:tc>
          <w:tcPr>
            <w:tcW w:w="7654" w:type="dxa"/>
          </w:tcPr>
          <w:p w14:paraId="09E35B42" w14:textId="5EFC554B" w:rsidR="006212A4" w:rsidRPr="002C3C0F" w:rsidRDefault="006212A4" w:rsidP="004163BF">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color w:val="000000" w:themeColor="text1"/>
                <w:szCs w:val="21"/>
              </w:rPr>
              <w:t>各</w:t>
            </w:r>
            <w:r w:rsidRPr="002C3C0F">
              <w:rPr>
                <w:rFonts w:ascii="ＭＳ ゴシック" w:eastAsia="ＭＳ ゴシック" w:hAnsi="ＭＳ ゴシック" w:hint="eastAsia"/>
                <w:color w:val="000000" w:themeColor="text1"/>
                <w:szCs w:val="21"/>
              </w:rPr>
              <w:t>税目</w:t>
            </w:r>
            <w:r w:rsidRPr="002C3C0F">
              <w:rPr>
                <w:rFonts w:ascii="ＭＳ ゴシック" w:eastAsia="ＭＳ ゴシック" w:hAnsi="ＭＳ ゴシック"/>
                <w:color w:val="000000" w:themeColor="text1"/>
                <w:szCs w:val="21"/>
              </w:rPr>
              <w:t>合計の</w:t>
            </w:r>
            <w:r w:rsidRPr="002C3C0F">
              <w:rPr>
                <w:rFonts w:ascii="ＭＳ ゴシック" w:eastAsia="ＭＳ ゴシック" w:hAnsi="ＭＳ ゴシック" w:hint="eastAsia"/>
                <w:color w:val="000000" w:themeColor="text1"/>
                <w:szCs w:val="21"/>
              </w:rPr>
              <w:t>直近の決算額</w:t>
            </w:r>
            <w:r w:rsidRPr="002C3C0F">
              <w:rPr>
                <w:rFonts w:ascii="ＭＳ ゴシック" w:eastAsia="ＭＳ ゴシック" w:hAnsi="ＭＳ ゴシック"/>
                <w:color w:val="000000" w:themeColor="text1"/>
                <w:szCs w:val="21"/>
              </w:rPr>
              <w:t>を</w:t>
            </w:r>
            <w:r w:rsidRPr="002C3C0F">
              <w:rPr>
                <w:rFonts w:ascii="ＭＳ ゴシック" w:eastAsia="ＭＳ ゴシック" w:hAnsi="ＭＳ ゴシック" w:hint="eastAsia"/>
                <w:color w:val="000000" w:themeColor="text1"/>
                <w:szCs w:val="21"/>
              </w:rPr>
              <w:t>R</w:t>
            </w:r>
            <w:r w:rsidRPr="002C3C0F">
              <w:rPr>
                <w:rFonts w:ascii="ＭＳ ゴシック" w:eastAsia="ＭＳ ゴシック" w:hAnsi="ＭＳ ゴシック"/>
                <w:color w:val="000000" w:themeColor="text1"/>
                <w:szCs w:val="21"/>
              </w:rPr>
              <w:t>5</w:t>
            </w:r>
            <w:r w:rsidRPr="002C3C0F">
              <w:rPr>
                <w:rFonts w:ascii="ＭＳ ゴシック" w:eastAsia="ＭＳ ゴシック" w:hAnsi="ＭＳ ゴシック" w:hint="eastAsia"/>
                <w:color w:val="000000" w:themeColor="text1"/>
                <w:szCs w:val="21"/>
              </w:rPr>
              <w:t>以降</w:t>
            </w:r>
            <w:r w:rsidRPr="002C3C0F">
              <w:rPr>
                <w:rFonts w:ascii="ＭＳ ゴシック" w:eastAsia="ＭＳ ゴシック" w:hAnsi="ＭＳ ゴシック"/>
                <w:color w:val="000000" w:themeColor="text1"/>
                <w:szCs w:val="21"/>
              </w:rPr>
              <w:t>横置き。</w:t>
            </w:r>
          </w:p>
          <w:p w14:paraId="36276124"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ただし、地方譲与税のうち森林環境譲与税については、将来の予算規模をベースに、交付基準に従って</w:t>
            </w:r>
            <w:r w:rsidRPr="002C3C0F">
              <w:rPr>
                <w:rFonts w:ascii="ＭＳ ゴシック" w:eastAsia="ＭＳ ゴシック" w:hAnsi="ＭＳ ゴシック" w:hint="eastAsia"/>
                <w:bCs/>
                <w:color w:val="000000" w:themeColor="text1"/>
                <w:szCs w:val="21"/>
              </w:rPr>
              <w:t>各年度</w:t>
            </w:r>
            <w:r w:rsidRPr="002C3C0F">
              <w:rPr>
                <w:rFonts w:ascii="ＭＳ ゴシック" w:eastAsia="ＭＳ ゴシック" w:hAnsi="ＭＳ ゴシック" w:hint="eastAsia"/>
                <w:color w:val="000000" w:themeColor="text1"/>
                <w:szCs w:val="21"/>
              </w:rPr>
              <w:t>按分する。交付基準のうち、人口については推計人口を用いることとし、私有林人工林面積及び「林業就業者数については一定と仮定する。</w:t>
            </w:r>
          </w:p>
          <w:p w14:paraId="1FC6703B"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【該当税目】</w:t>
            </w:r>
          </w:p>
          <w:p w14:paraId="1ACC4C38" w14:textId="5E667786" w:rsidR="006212A4" w:rsidRPr="002C3C0F" w:rsidRDefault="006212A4" w:rsidP="00D531A1">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地方譲与税、利子割交付金、配当割交付金、株式等譲渡所得割交付金、分離課税所得割交付金、ゴルフ場利用税交付金、特別地方消費税交付金、自動車取得税交付金、軽油引取税交付金、自動車税環境性能割交付金、地方特例交付金等、交通安全対策特別交付金、国有提供施設等所在市町村助成交付金</w:t>
            </w:r>
          </w:p>
        </w:tc>
      </w:tr>
      <w:tr w:rsidR="006212A4" w:rsidRPr="002C3C0F" w14:paraId="0A760975" w14:textId="77777777" w:rsidTr="006212A4">
        <w:tc>
          <w:tcPr>
            <w:tcW w:w="2547" w:type="dxa"/>
            <w:gridSpan w:val="2"/>
          </w:tcPr>
          <w:p w14:paraId="1383F2C2" w14:textId="77777777" w:rsidR="006212A4" w:rsidRPr="002C3C0F" w:rsidRDefault="006212A4" w:rsidP="00164230">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普通交付税</w:t>
            </w:r>
          </w:p>
          <w:p w14:paraId="4804C442"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(臨財債を含む)</w:t>
            </w:r>
          </w:p>
        </w:tc>
        <w:tc>
          <w:tcPr>
            <w:tcW w:w="7654" w:type="dxa"/>
            <w:shd w:val="clear" w:color="auto" w:fill="auto"/>
            <w:vAlign w:val="center"/>
          </w:tcPr>
          <w:p w14:paraId="79E9F243" w14:textId="0C2F9B7D"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直近の決算額(普通交付税額＋臨財債発行実績額)をR5以降横置きとする。</w:t>
            </w:r>
          </w:p>
          <w:p w14:paraId="1EFFEFD3" w14:textId="77777777" w:rsidR="006212A4" w:rsidRPr="002C3C0F" w:rsidRDefault="006212A4" w:rsidP="00164230">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【考え方】</w:t>
            </w:r>
          </w:p>
          <w:p w14:paraId="2BB71DE6" w14:textId="3FB31E0A" w:rsidR="006212A4" w:rsidRPr="002C3C0F" w:rsidRDefault="006212A4" w:rsidP="00C1084F">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・R5以降は全額普通交付税で措置されると仮定する。</w:t>
            </w:r>
          </w:p>
        </w:tc>
      </w:tr>
      <w:tr w:rsidR="006212A4" w:rsidRPr="002C3C0F" w14:paraId="3E742E1D" w14:textId="77777777" w:rsidTr="006212A4">
        <w:tc>
          <w:tcPr>
            <w:tcW w:w="2547" w:type="dxa"/>
            <w:gridSpan w:val="2"/>
            <w:vAlign w:val="center"/>
          </w:tcPr>
          <w:p w14:paraId="6D557C08"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特別交付税</w:t>
            </w:r>
          </w:p>
        </w:tc>
        <w:tc>
          <w:tcPr>
            <w:tcW w:w="7654" w:type="dxa"/>
            <w:shd w:val="clear" w:color="auto" w:fill="auto"/>
            <w:vAlign w:val="center"/>
          </w:tcPr>
          <w:p w14:paraId="1B79888E" w14:textId="04EBA1F3" w:rsidR="006212A4" w:rsidRPr="002C3C0F" w:rsidRDefault="006212A4" w:rsidP="00840B3F">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color w:val="000000" w:themeColor="text1"/>
                <w:szCs w:val="21"/>
              </w:rPr>
              <w:t>直近の決算額</w:t>
            </w:r>
            <w:r w:rsidRPr="002C3C0F">
              <w:rPr>
                <w:rFonts w:ascii="ＭＳ ゴシック" w:eastAsia="ＭＳ ゴシック" w:hAnsi="ＭＳ ゴシック" w:hint="eastAsia"/>
                <w:bCs/>
                <w:color w:val="000000" w:themeColor="text1"/>
                <w:szCs w:val="21"/>
              </w:rPr>
              <w:t>を</w:t>
            </w:r>
            <w:r w:rsidRPr="002C3C0F">
              <w:rPr>
                <w:rFonts w:ascii="ＭＳ ゴシック" w:eastAsia="ＭＳ ゴシック" w:hAnsi="ＭＳ ゴシック" w:hint="eastAsia"/>
                <w:color w:val="000000" w:themeColor="text1"/>
                <w:szCs w:val="21"/>
              </w:rPr>
              <w:t>R5以降横置きとする。</w:t>
            </w:r>
          </w:p>
        </w:tc>
      </w:tr>
      <w:tr w:rsidR="006212A4" w:rsidRPr="002C3C0F" w14:paraId="522D49E0" w14:textId="77777777" w:rsidTr="006212A4">
        <w:tc>
          <w:tcPr>
            <w:tcW w:w="2547" w:type="dxa"/>
            <w:gridSpan w:val="2"/>
            <w:vAlign w:val="center"/>
          </w:tcPr>
          <w:p w14:paraId="0A19D831"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分担金</w:t>
            </w:r>
          </w:p>
          <w:p w14:paraId="1C87987C"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及び負担金</w:t>
            </w:r>
          </w:p>
        </w:tc>
        <w:tc>
          <w:tcPr>
            <w:tcW w:w="7654" w:type="dxa"/>
            <w:shd w:val="clear" w:color="auto" w:fill="auto"/>
            <w:vAlign w:val="center"/>
          </w:tcPr>
          <w:p w14:paraId="18F187DE" w14:textId="63EEB207" w:rsidR="006212A4" w:rsidRPr="002C3C0F" w:rsidRDefault="006212A4" w:rsidP="00164230">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color w:val="000000" w:themeColor="text1"/>
                <w:szCs w:val="21"/>
              </w:rPr>
              <w:t>直近の</w:t>
            </w:r>
            <w:r w:rsidRPr="002C3C0F">
              <w:rPr>
                <w:rFonts w:ascii="ＭＳ ゴシック" w:eastAsia="ＭＳ ゴシック" w:hAnsi="ＭＳ ゴシック"/>
                <w:bCs/>
                <w:color w:val="000000" w:themeColor="text1"/>
                <w:szCs w:val="21"/>
              </w:rPr>
              <w:t>決算額を</w:t>
            </w:r>
            <w:r w:rsidRPr="002C3C0F">
              <w:rPr>
                <w:rFonts w:ascii="ＭＳ ゴシック" w:eastAsia="ＭＳ ゴシック" w:hAnsi="ＭＳ ゴシック" w:hint="eastAsia"/>
                <w:color w:val="000000" w:themeColor="text1"/>
                <w:szCs w:val="21"/>
              </w:rPr>
              <w:t>R5以降</w:t>
            </w:r>
            <w:r w:rsidRPr="002C3C0F">
              <w:rPr>
                <w:rFonts w:ascii="ＭＳ ゴシック" w:eastAsia="ＭＳ ゴシック" w:hAnsi="ＭＳ ゴシック"/>
                <w:bCs/>
                <w:color w:val="000000" w:themeColor="text1"/>
                <w:szCs w:val="21"/>
              </w:rPr>
              <w:t>横置き</w:t>
            </w:r>
            <w:r w:rsidRPr="002C3C0F">
              <w:rPr>
                <w:rFonts w:ascii="ＭＳ ゴシック" w:eastAsia="ＭＳ ゴシック" w:hAnsi="ＭＳ ゴシック" w:hint="eastAsia"/>
                <w:bCs/>
                <w:color w:val="000000" w:themeColor="text1"/>
                <w:szCs w:val="21"/>
              </w:rPr>
              <w:t>とする。</w:t>
            </w:r>
          </w:p>
          <w:p w14:paraId="04F619AE" w14:textId="77777777" w:rsidR="006212A4" w:rsidRPr="002C3C0F" w:rsidRDefault="006212A4" w:rsidP="00164230">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w:t>
            </w:r>
            <w:r w:rsidRPr="002C3C0F">
              <w:rPr>
                <w:rFonts w:ascii="ＭＳ ゴシック" w:eastAsia="ＭＳ ゴシック" w:hAnsi="ＭＳ ゴシック"/>
                <w:bCs/>
                <w:color w:val="000000" w:themeColor="text1"/>
                <w:szCs w:val="21"/>
              </w:rPr>
              <w:t>考え方</w:t>
            </w:r>
            <w:r w:rsidRPr="002C3C0F">
              <w:rPr>
                <w:rFonts w:ascii="ＭＳ ゴシック" w:eastAsia="ＭＳ ゴシック" w:hAnsi="ＭＳ ゴシック" w:hint="eastAsia"/>
                <w:bCs/>
                <w:color w:val="000000" w:themeColor="text1"/>
                <w:szCs w:val="21"/>
              </w:rPr>
              <w:t>】</w:t>
            </w:r>
          </w:p>
          <w:p w14:paraId="7043ED5E" w14:textId="7C4944FA" w:rsidR="006212A4" w:rsidRPr="002C3C0F" w:rsidRDefault="006212A4" w:rsidP="00164230">
            <w:pPr>
              <w:spacing w:line="300" w:lineRule="exact"/>
              <w:ind w:left="210" w:hangingChars="100" w:hanging="210"/>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・臨時的かつ大規模な収入の取扱いは個別に判断する。</w:t>
            </w:r>
          </w:p>
          <w:p w14:paraId="78F62216" w14:textId="41D1EC1A" w:rsidR="006212A4" w:rsidRPr="002C3C0F" w:rsidRDefault="006212A4" w:rsidP="00164230">
            <w:pPr>
              <w:spacing w:line="300" w:lineRule="exact"/>
              <w:ind w:left="210" w:hangingChars="100" w:hanging="210"/>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・R5以降に実施する大規模事業分</w:t>
            </w:r>
            <w:r>
              <w:rPr>
                <w:rFonts w:ascii="ＭＳ ゴシック" w:eastAsia="ＭＳ ゴシック" w:hAnsi="ＭＳ ゴシック" w:hint="eastAsia"/>
                <w:bCs/>
                <w:color w:val="000000" w:themeColor="text1"/>
                <w:szCs w:val="21"/>
              </w:rPr>
              <w:t>等</w:t>
            </w:r>
            <w:r w:rsidRPr="002C3C0F">
              <w:rPr>
                <w:rFonts w:ascii="ＭＳ ゴシック" w:eastAsia="ＭＳ ゴシック" w:hAnsi="ＭＳ ゴシック" w:hint="eastAsia"/>
                <w:bCs/>
                <w:color w:val="000000" w:themeColor="text1"/>
                <w:szCs w:val="21"/>
              </w:rPr>
              <w:t>は個別に加算する。</w:t>
            </w:r>
          </w:p>
        </w:tc>
      </w:tr>
      <w:tr w:rsidR="006212A4" w:rsidRPr="002C3C0F" w14:paraId="6342BEB0" w14:textId="77777777" w:rsidTr="006212A4">
        <w:tc>
          <w:tcPr>
            <w:tcW w:w="2547" w:type="dxa"/>
            <w:gridSpan w:val="2"/>
            <w:vAlign w:val="center"/>
          </w:tcPr>
          <w:p w14:paraId="2E78099E"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使用料・手数料</w:t>
            </w:r>
          </w:p>
        </w:tc>
        <w:tc>
          <w:tcPr>
            <w:tcW w:w="7654" w:type="dxa"/>
            <w:shd w:val="clear" w:color="auto" w:fill="auto"/>
            <w:vAlign w:val="center"/>
          </w:tcPr>
          <w:p w14:paraId="7D52A844" w14:textId="5067E177" w:rsidR="006212A4" w:rsidRPr="002C3C0F" w:rsidRDefault="006212A4" w:rsidP="00164230">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color w:val="000000" w:themeColor="text1"/>
                <w:szCs w:val="21"/>
              </w:rPr>
              <w:t>直近の</w:t>
            </w:r>
            <w:r w:rsidRPr="002C3C0F">
              <w:rPr>
                <w:rFonts w:ascii="ＭＳ ゴシック" w:eastAsia="ＭＳ ゴシック" w:hAnsi="ＭＳ ゴシック"/>
                <w:bCs/>
                <w:color w:val="000000" w:themeColor="text1"/>
                <w:szCs w:val="21"/>
              </w:rPr>
              <w:t>決算額を</w:t>
            </w:r>
            <w:r w:rsidRPr="002C3C0F">
              <w:rPr>
                <w:rFonts w:ascii="ＭＳ ゴシック" w:eastAsia="ＭＳ ゴシック" w:hAnsi="ＭＳ ゴシック" w:hint="eastAsia"/>
                <w:color w:val="000000" w:themeColor="text1"/>
                <w:szCs w:val="21"/>
              </w:rPr>
              <w:t>R5以降</w:t>
            </w:r>
            <w:r w:rsidRPr="002C3C0F">
              <w:rPr>
                <w:rFonts w:ascii="ＭＳ ゴシック" w:eastAsia="ＭＳ ゴシック" w:hAnsi="ＭＳ ゴシック"/>
                <w:bCs/>
                <w:color w:val="000000" w:themeColor="text1"/>
                <w:szCs w:val="21"/>
              </w:rPr>
              <w:t>横置き</w:t>
            </w:r>
            <w:r w:rsidRPr="002C3C0F">
              <w:rPr>
                <w:rFonts w:ascii="ＭＳ ゴシック" w:eastAsia="ＭＳ ゴシック" w:hAnsi="ＭＳ ゴシック" w:hint="eastAsia"/>
                <w:bCs/>
                <w:color w:val="000000" w:themeColor="text1"/>
                <w:szCs w:val="21"/>
              </w:rPr>
              <w:t>とする。</w:t>
            </w:r>
          </w:p>
          <w:p w14:paraId="670E31B6" w14:textId="77777777" w:rsidR="006212A4" w:rsidRPr="002C3C0F" w:rsidRDefault="006212A4" w:rsidP="00752C38">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bCs/>
                <w:color w:val="000000" w:themeColor="text1"/>
                <w:szCs w:val="21"/>
              </w:rPr>
              <w:t>【考え方】</w:t>
            </w:r>
          </w:p>
          <w:p w14:paraId="4E15B3CF" w14:textId="45254766" w:rsidR="006212A4" w:rsidRPr="002C3C0F" w:rsidRDefault="006212A4" w:rsidP="00752C38">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bCs/>
                <w:color w:val="000000" w:themeColor="text1"/>
                <w:szCs w:val="21"/>
              </w:rPr>
              <w:t>・</w:t>
            </w:r>
            <w:r w:rsidRPr="002C3C0F">
              <w:rPr>
                <w:rFonts w:ascii="ＭＳ ゴシック" w:eastAsia="ＭＳ ゴシック" w:hAnsi="ＭＳ ゴシック" w:hint="eastAsia"/>
                <w:bCs/>
                <w:color w:val="000000" w:themeColor="text1"/>
                <w:szCs w:val="21"/>
              </w:rPr>
              <w:t>臨時的かつ大規模な収入の取扱いは個別に判断する。</w:t>
            </w:r>
          </w:p>
        </w:tc>
      </w:tr>
      <w:tr w:rsidR="006212A4" w:rsidRPr="002C3C0F" w14:paraId="50592495" w14:textId="77777777" w:rsidTr="006212A4">
        <w:tc>
          <w:tcPr>
            <w:tcW w:w="2547" w:type="dxa"/>
            <w:gridSpan w:val="2"/>
            <w:vAlign w:val="center"/>
          </w:tcPr>
          <w:p w14:paraId="129A5536"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国・府支出金</w:t>
            </w:r>
          </w:p>
        </w:tc>
        <w:tc>
          <w:tcPr>
            <w:tcW w:w="7654" w:type="dxa"/>
            <w:shd w:val="clear" w:color="auto" w:fill="auto"/>
            <w:vAlign w:val="center"/>
          </w:tcPr>
          <w:p w14:paraId="45C3A1FA" w14:textId="38653765" w:rsidR="006212A4" w:rsidRPr="002C3C0F" w:rsidRDefault="006212A4" w:rsidP="00164230">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シミュレーションに基づく各年度の費目別歳出額に、直近の決算額から算出した国・府支出金割合を乗じ、その合計額を算出する。</w:t>
            </w:r>
          </w:p>
          <w:p w14:paraId="2458C6ED" w14:textId="1B2AE21C" w:rsidR="006212A4" w:rsidRPr="002C3C0F" w:rsidRDefault="006212A4" w:rsidP="00164230">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【考え方】</w:t>
            </w:r>
          </w:p>
          <w:p w14:paraId="1F85A339" w14:textId="1752744D" w:rsidR="006212A4" w:rsidRPr="002C3C0F" w:rsidRDefault="006212A4" w:rsidP="00BF2426">
            <w:pPr>
              <w:spacing w:line="300" w:lineRule="exact"/>
              <w:ind w:left="210" w:hangingChars="100" w:hanging="210"/>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・普通建設事業費の推計に団体の計画値を用いる場合は、国・府支出金（普通建設事業費分）についても、団体の計画値に置き換えることを可能とする。</w:t>
            </w:r>
          </w:p>
        </w:tc>
      </w:tr>
      <w:tr w:rsidR="006212A4" w:rsidRPr="002C3C0F" w14:paraId="724EBA98" w14:textId="77777777" w:rsidTr="006212A4">
        <w:tc>
          <w:tcPr>
            <w:tcW w:w="2547" w:type="dxa"/>
            <w:gridSpan w:val="2"/>
            <w:vAlign w:val="center"/>
          </w:tcPr>
          <w:p w14:paraId="06DD53F4"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財産収入</w:t>
            </w:r>
          </w:p>
        </w:tc>
        <w:tc>
          <w:tcPr>
            <w:tcW w:w="7654" w:type="dxa"/>
            <w:shd w:val="clear" w:color="auto" w:fill="auto"/>
            <w:vAlign w:val="center"/>
          </w:tcPr>
          <w:p w14:paraId="60E97686" w14:textId="488BFCBE" w:rsidR="006212A4" w:rsidRPr="002C3C0F" w:rsidRDefault="006212A4" w:rsidP="00164230">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color w:val="000000" w:themeColor="text1"/>
                <w:szCs w:val="21"/>
              </w:rPr>
              <w:t>直近の</w:t>
            </w:r>
            <w:r w:rsidRPr="002C3C0F">
              <w:rPr>
                <w:rFonts w:ascii="ＭＳ ゴシック" w:eastAsia="ＭＳ ゴシック" w:hAnsi="ＭＳ ゴシック"/>
                <w:bCs/>
                <w:color w:val="000000" w:themeColor="text1"/>
                <w:szCs w:val="21"/>
              </w:rPr>
              <w:t>決算額を</w:t>
            </w:r>
            <w:r w:rsidRPr="002C3C0F">
              <w:rPr>
                <w:rFonts w:ascii="ＭＳ ゴシック" w:eastAsia="ＭＳ ゴシック" w:hAnsi="ＭＳ ゴシック" w:hint="eastAsia"/>
                <w:color w:val="000000" w:themeColor="text1"/>
                <w:szCs w:val="21"/>
              </w:rPr>
              <w:t>R5以降</w:t>
            </w:r>
            <w:r w:rsidRPr="002C3C0F">
              <w:rPr>
                <w:rFonts w:ascii="ＭＳ ゴシック" w:eastAsia="ＭＳ ゴシック" w:hAnsi="ＭＳ ゴシック"/>
                <w:bCs/>
                <w:color w:val="000000" w:themeColor="text1"/>
                <w:szCs w:val="21"/>
              </w:rPr>
              <w:t>横置き</w:t>
            </w:r>
            <w:r w:rsidRPr="002C3C0F">
              <w:rPr>
                <w:rFonts w:ascii="ＭＳ ゴシック" w:eastAsia="ＭＳ ゴシック" w:hAnsi="ＭＳ ゴシック" w:hint="eastAsia"/>
                <w:bCs/>
                <w:color w:val="000000" w:themeColor="text1"/>
                <w:szCs w:val="21"/>
              </w:rPr>
              <w:t>とする。</w:t>
            </w:r>
          </w:p>
          <w:p w14:paraId="6FF724A0" w14:textId="77777777" w:rsidR="006212A4" w:rsidRPr="002C3C0F" w:rsidRDefault="006212A4" w:rsidP="00164230">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【考え方】</w:t>
            </w:r>
          </w:p>
          <w:p w14:paraId="73EA79B9" w14:textId="1249F66A" w:rsidR="006212A4" w:rsidRPr="002C3C0F" w:rsidRDefault="006212A4" w:rsidP="00752C38">
            <w:pPr>
              <w:spacing w:line="300" w:lineRule="exact"/>
              <w:ind w:left="210" w:hangingChars="100" w:hanging="210"/>
              <w:rPr>
                <w:rFonts w:ascii="ＭＳ ゴシック" w:eastAsia="ＭＳ ゴシック" w:hAnsi="ＭＳ ゴシック"/>
                <w:bCs/>
                <w:color w:val="000000" w:themeColor="text1"/>
                <w:szCs w:val="21"/>
              </w:rPr>
            </w:pPr>
            <w:r w:rsidRPr="002C3C0F">
              <w:rPr>
                <w:rFonts w:ascii="ＭＳ ゴシック" w:eastAsia="ＭＳ ゴシック" w:hAnsi="ＭＳ ゴシック"/>
                <w:bCs/>
                <w:color w:val="000000" w:themeColor="text1"/>
                <w:szCs w:val="21"/>
              </w:rPr>
              <w:t>・</w:t>
            </w:r>
            <w:r w:rsidRPr="002C3C0F">
              <w:rPr>
                <w:rFonts w:ascii="ＭＳ ゴシック" w:eastAsia="ＭＳ ゴシック" w:hAnsi="ＭＳ ゴシック" w:hint="eastAsia"/>
                <w:bCs/>
                <w:color w:val="000000" w:themeColor="text1"/>
                <w:szCs w:val="21"/>
              </w:rPr>
              <w:t>臨時的かつ大規模な収入の取扱いは個別に判断する。</w:t>
            </w:r>
          </w:p>
        </w:tc>
      </w:tr>
      <w:tr w:rsidR="006212A4" w:rsidRPr="002C3C0F" w14:paraId="3426A90B" w14:textId="77777777" w:rsidTr="006212A4">
        <w:tc>
          <w:tcPr>
            <w:tcW w:w="2547" w:type="dxa"/>
            <w:gridSpan w:val="2"/>
            <w:vAlign w:val="center"/>
          </w:tcPr>
          <w:p w14:paraId="51594B09"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繰入金</w:t>
            </w:r>
          </w:p>
          <w:p w14:paraId="69A06ECF"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（財調除く）</w:t>
            </w:r>
          </w:p>
        </w:tc>
        <w:tc>
          <w:tcPr>
            <w:tcW w:w="7654" w:type="dxa"/>
            <w:shd w:val="clear" w:color="auto" w:fill="auto"/>
            <w:vAlign w:val="center"/>
          </w:tcPr>
          <w:p w14:paraId="3CC059A0" w14:textId="1A940282" w:rsidR="006212A4" w:rsidRDefault="006212A4" w:rsidP="00752C38">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原則計上しない。</w:t>
            </w:r>
          </w:p>
          <w:p w14:paraId="3B3100D4" w14:textId="18386350" w:rsidR="00BC065E" w:rsidRPr="00F520F7" w:rsidRDefault="00BC065E" w:rsidP="00752C38">
            <w:pPr>
              <w:spacing w:line="30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【考え方】</w:t>
            </w:r>
          </w:p>
          <w:p w14:paraId="73D69DAB" w14:textId="6520A2A5" w:rsidR="006212A4" w:rsidRPr="002C3C0F" w:rsidRDefault="006212A4" w:rsidP="00752C38">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大規模事業等により多額の特定目的基金の取崩しを行う場合、個別</w:t>
            </w:r>
            <w:r w:rsidR="00BC065E">
              <w:rPr>
                <w:rFonts w:ascii="ＭＳ ゴシック" w:eastAsia="ＭＳ ゴシック" w:hAnsi="ＭＳ ゴシック" w:hint="eastAsia"/>
                <w:bCs/>
                <w:color w:val="000000" w:themeColor="text1"/>
                <w:szCs w:val="21"/>
              </w:rPr>
              <w:t>に判断する</w:t>
            </w:r>
            <w:r w:rsidRPr="002C3C0F">
              <w:rPr>
                <w:rFonts w:ascii="ＭＳ ゴシック" w:eastAsia="ＭＳ ゴシック" w:hAnsi="ＭＳ ゴシック" w:hint="eastAsia"/>
                <w:bCs/>
                <w:color w:val="000000" w:themeColor="text1"/>
                <w:szCs w:val="21"/>
              </w:rPr>
              <w:t>。</w:t>
            </w:r>
          </w:p>
        </w:tc>
      </w:tr>
      <w:tr w:rsidR="006212A4" w:rsidRPr="002C3C0F" w14:paraId="038F600E" w14:textId="77777777" w:rsidTr="006212A4">
        <w:tc>
          <w:tcPr>
            <w:tcW w:w="2547" w:type="dxa"/>
            <w:gridSpan w:val="2"/>
            <w:vAlign w:val="center"/>
          </w:tcPr>
          <w:p w14:paraId="4A2FE62F"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繰入金（財調）</w:t>
            </w:r>
          </w:p>
        </w:tc>
        <w:tc>
          <w:tcPr>
            <w:tcW w:w="7654" w:type="dxa"/>
            <w:shd w:val="clear" w:color="auto" w:fill="auto"/>
            <w:vAlign w:val="center"/>
          </w:tcPr>
          <w:p w14:paraId="2A9E7516" w14:textId="77777777" w:rsidR="006212A4" w:rsidRPr="002C3C0F" w:rsidRDefault="006212A4" w:rsidP="00164230">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シミュレーションに基づく各年度の収支差額を計上する（赤字の場合のみ）。</w:t>
            </w:r>
          </w:p>
        </w:tc>
      </w:tr>
      <w:tr w:rsidR="006212A4" w:rsidRPr="002C3C0F" w14:paraId="788681B9" w14:textId="77777777" w:rsidTr="006212A4">
        <w:tc>
          <w:tcPr>
            <w:tcW w:w="2547" w:type="dxa"/>
            <w:gridSpan w:val="2"/>
            <w:vAlign w:val="center"/>
          </w:tcPr>
          <w:p w14:paraId="2E64AB70"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繰越金</w:t>
            </w:r>
          </w:p>
        </w:tc>
        <w:tc>
          <w:tcPr>
            <w:tcW w:w="7654" w:type="dxa"/>
            <w:shd w:val="clear" w:color="auto" w:fill="auto"/>
            <w:vAlign w:val="center"/>
          </w:tcPr>
          <w:p w14:paraId="6711C3EC" w14:textId="77777777" w:rsidR="006212A4" w:rsidRPr="002C3C0F" w:rsidRDefault="006212A4" w:rsidP="00164230">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シミュレーションに基づく前年度の収支差額を計上する(黒字の場合のみ)。</w:t>
            </w:r>
          </w:p>
        </w:tc>
      </w:tr>
      <w:tr w:rsidR="006212A4" w:rsidRPr="002C3C0F" w14:paraId="6B576C0F" w14:textId="77777777" w:rsidTr="006212A4">
        <w:tc>
          <w:tcPr>
            <w:tcW w:w="2547" w:type="dxa"/>
            <w:gridSpan w:val="2"/>
            <w:vAlign w:val="center"/>
          </w:tcPr>
          <w:p w14:paraId="5B2B8AB8"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lastRenderedPageBreak/>
              <w:t>諸収入</w:t>
            </w:r>
          </w:p>
        </w:tc>
        <w:tc>
          <w:tcPr>
            <w:tcW w:w="7654" w:type="dxa"/>
            <w:shd w:val="clear" w:color="auto" w:fill="auto"/>
            <w:vAlign w:val="center"/>
          </w:tcPr>
          <w:p w14:paraId="6A6C9B67" w14:textId="0C7BFC73" w:rsidR="006212A4" w:rsidRPr="002C3C0F" w:rsidRDefault="006212A4" w:rsidP="00164230">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color w:val="000000" w:themeColor="text1"/>
                <w:szCs w:val="21"/>
              </w:rPr>
              <w:t>直近の</w:t>
            </w:r>
            <w:r w:rsidRPr="002C3C0F">
              <w:rPr>
                <w:rFonts w:ascii="ＭＳ ゴシック" w:eastAsia="ＭＳ ゴシック" w:hAnsi="ＭＳ ゴシック"/>
                <w:bCs/>
                <w:color w:val="000000" w:themeColor="text1"/>
                <w:szCs w:val="21"/>
              </w:rPr>
              <w:t>決算額を</w:t>
            </w:r>
            <w:r w:rsidRPr="002C3C0F">
              <w:rPr>
                <w:rFonts w:ascii="ＭＳ ゴシック" w:eastAsia="ＭＳ ゴシック" w:hAnsi="ＭＳ ゴシック" w:hint="eastAsia"/>
                <w:color w:val="000000" w:themeColor="text1"/>
                <w:szCs w:val="21"/>
              </w:rPr>
              <w:t>R5以降</w:t>
            </w:r>
            <w:r w:rsidRPr="002C3C0F">
              <w:rPr>
                <w:rFonts w:ascii="ＭＳ ゴシック" w:eastAsia="ＭＳ ゴシック" w:hAnsi="ＭＳ ゴシック"/>
                <w:bCs/>
                <w:color w:val="000000" w:themeColor="text1"/>
                <w:szCs w:val="21"/>
              </w:rPr>
              <w:t>横置き</w:t>
            </w:r>
            <w:r w:rsidRPr="002C3C0F">
              <w:rPr>
                <w:rFonts w:ascii="ＭＳ ゴシック" w:eastAsia="ＭＳ ゴシック" w:hAnsi="ＭＳ ゴシック" w:hint="eastAsia"/>
                <w:bCs/>
                <w:color w:val="000000" w:themeColor="text1"/>
                <w:szCs w:val="21"/>
              </w:rPr>
              <w:t>とする。</w:t>
            </w:r>
          </w:p>
          <w:p w14:paraId="63929E2D" w14:textId="77777777" w:rsidR="006212A4" w:rsidRPr="002C3C0F" w:rsidRDefault="006212A4" w:rsidP="00752C38">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【考え方】</w:t>
            </w:r>
          </w:p>
          <w:p w14:paraId="3075A011" w14:textId="2D3FED7E" w:rsidR="006212A4" w:rsidRPr="002C3C0F" w:rsidRDefault="006212A4" w:rsidP="00752C38">
            <w:pPr>
              <w:spacing w:line="300" w:lineRule="exact"/>
              <w:ind w:left="210" w:hangingChars="100" w:hanging="210"/>
              <w:rPr>
                <w:rFonts w:ascii="ＭＳ ゴシック" w:eastAsia="ＭＳ ゴシック" w:hAnsi="ＭＳ ゴシック"/>
                <w:bCs/>
                <w:color w:val="000000" w:themeColor="text1"/>
                <w:szCs w:val="21"/>
              </w:rPr>
            </w:pPr>
            <w:r w:rsidRPr="002C3C0F">
              <w:rPr>
                <w:rFonts w:ascii="ＭＳ ゴシック" w:eastAsia="ＭＳ ゴシック" w:hAnsi="ＭＳ ゴシック"/>
                <w:bCs/>
                <w:color w:val="000000" w:themeColor="text1"/>
                <w:szCs w:val="21"/>
              </w:rPr>
              <w:t>・</w:t>
            </w:r>
            <w:r w:rsidRPr="002C3C0F">
              <w:rPr>
                <w:rFonts w:ascii="ＭＳ ゴシック" w:eastAsia="ＭＳ ゴシック" w:hAnsi="ＭＳ ゴシック" w:hint="eastAsia"/>
                <w:bCs/>
                <w:color w:val="000000" w:themeColor="text1"/>
                <w:szCs w:val="21"/>
              </w:rPr>
              <w:t>臨時的かつ大規模な収入の取扱いは個別に判断する。</w:t>
            </w:r>
          </w:p>
        </w:tc>
      </w:tr>
      <w:tr w:rsidR="006212A4" w:rsidRPr="002C3C0F" w14:paraId="45D40DCA" w14:textId="77777777" w:rsidTr="006212A4">
        <w:tc>
          <w:tcPr>
            <w:tcW w:w="2547" w:type="dxa"/>
            <w:gridSpan w:val="2"/>
            <w:vAlign w:val="center"/>
          </w:tcPr>
          <w:p w14:paraId="13D9622E"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地方債</w:t>
            </w:r>
          </w:p>
          <w:p w14:paraId="15983363"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（臨財債除く）</w:t>
            </w:r>
          </w:p>
        </w:tc>
        <w:tc>
          <w:tcPr>
            <w:tcW w:w="7654" w:type="dxa"/>
            <w:tcBorders>
              <w:bottom w:val="single" w:sz="4" w:space="0" w:color="auto"/>
            </w:tcBorders>
            <w:shd w:val="clear" w:color="auto" w:fill="auto"/>
            <w:vAlign w:val="center"/>
          </w:tcPr>
          <w:p w14:paraId="2AD8FF50" w14:textId="3AD2B39C" w:rsidR="006212A4" w:rsidRPr="002C3C0F" w:rsidRDefault="006212A4" w:rsidP="00164230">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シミュレーションに基づく各年度の普通建設事業費等に、</w:t>
            </w:r>
            <w:r w:rsidRPr="002C3C0F">
              <w:rPr>
                <w:rFonts w:ascii="ＭＳ ゴシック" w:eastAsia="ＭＳ ゴシック" w:hAnsi="ＭＳ ゴシック" w:hint="eastAsia"/>
                <w:color w:val="000000" w:themeColor="text1"/>
                <w:szCs w:val="21"/>
              </w:rPr>
              <w:t>直近の決算額から</w:t>
            </w:r>
            <w:r w:rsidRPr="002C3C0F">
              <w:rPr>
                <w:rFonts w:ascii="ＭＳ ゴシック" w:eastAsia="ＭＳ ゴシック" w:hAnsi="ＭＳ ゴシック" w:hint="eastAsia"/>
                <w:bCs/>
                <w:color w:val="000000" w:themeColor="text1"/>
                <w:szCs w:val="21"/>
              </w:rPr>
              <w:t>算出した地方債割合</w:t>
            </w:r>
            <w:r w:rsidRPr="002C3C0F">
              <w:rPr>
                <w:rFonts w:ascii="ＭＳ ゴシック" w:eastAsia="ＭＳ ゴシック" w:hAnsi="ＭＳ ゴシック"/>
                <w:bCs/>
                <w:color w:val="000000" w:themeColor="text1"/>
                <w:szCs w:val="21"/>
              </w:rPr>
              <w:t>を乗じ</w:t>
            </w:r>
            <w:r w:rsidRPr="002C3C0F">
              <w:rPr>
                <w:rFonts w:ascii="ＭＳ ゴシック" w:eastAsia="ＭＳ ゴシック" w:hAnsi="ＭＳ ゴシック" w:hint="eastAsia"/>
                <w:color w:val="000000" w:themeColor="text1"/>
                <w:szCs w:val="21"/>
              </w:rPr>
              <w:t>て算出する</w:t>
            </w:r>
            <w:r w:rsidRPr="002C3C0F">
              <w:rPr>
                <w:rFonts w:ascii="ＭＳ ゴシック" w:eastAsia="ＭＳ ゴシック" w:hAnsi="ＭＳ ゴシック"/>
                <w:bCs/>
                <w:color w:val="000000" w:themeColor="text1"/>
                <w:szCs w:val="21"/>
              </w:rPr>
              <w:t>。</w:t>
            </w:r>
          </w:p>
          <w:p w14:paraId="0AF82B0B" w14:textId="1F54C0B2" w:rsidR="006212A4" w:rsidRPr="002C3C0F" w:rsidRDefault="006212A4" w:rsidP="00164230">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ただし</w:t>
            </w:r>
            <w:r w:rsidRPr="002C3C0F">
              <w:rPr>
                <w:rFonts w:ascii="ＭＳ ゴシック" w:eastAsia="ＭＳ ゴシック" w:hAnsi="ＭＳ ゴシック"/>
                <w:bCs/>
                <w:color w:val="000000" w:themeColor="text1"/>
                <w:szCs w:val="21"/>
              </w:rPr>
              <w:t>普通建設事業費</w:t>
            </w:r>
            <w:r w:rsidRPr="002C3C0F">
              <w:rPr>
                <w:rFonts w:ascii="ＭＳ ゴシック" w:eastAsia="ＭＳ ゴシック" w:hAnsi="ＭＳ ゴシック" w:hint="eastAsia"/>
                <w:bCs/>
                <w:color w:val="000000" w:themeColor="text1"/>
                <w:szCs w:val="21"/>
              </w:rPr>
              <w:t>の推計に団体の計画値を用いる場合は、地方債についても、団体の計画値に置き換えることを可能とする。</w:t>
            </w:r>
          </w:p>
        </w:tc>
      </w:tr>
      <w:tr w:rsidR="006212A4" w:rsidRPr="002C3C0F" w14:paraId="3432E25A" w14:textId="77777777" w:rsidTr="006212A4">
        <w:tc>
          <w:tcPr>
            <w:tcW w:w="2547" w:type="dxa"/>
            <w:gridSpan w:val="2"/>
            <w:vAlign w:val="center"/>
          </w:tcPr>
          <w:p w14:paraId="7321DA04"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寄附金</w:t>
            </w:r>
          </w:p>
          <w:p w14:paraId="74B5D146"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（ふるさと納税）</w:t>
            </w:r>
          </w:p>
        </w:tc>
        <w:tc>
          <w:tcPr>
            <w:tcW w:w="7654" w:type="dxa"/>
            <w:tcBorders>
              <w:tr2bl w:val="nil"/>
            </w:tcBorders>
            <w:shd w:val="clear" w:color="auto" w:fill="auto"/>
            <w:vAlign w:val="center"/>
          </w:tcPr>
          <w:p w14:paraId="7E2A5426" w14:textId="731D435C" w:rsidR="006212A4" w:rsidRPr="002C3C0F" w:rsidRDefault="006212A4" w:rsidP="00164230">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直近の決算額をR5以降横置きとする。</w:t>
            </w:r>
          </w:p>
        </w:tc>
      </w:tr>
      <w:tr w:rsidR="006212A4" w:rsidRPr="002C3C0F" w14:paraId="11E374B2" w14:textId="77777777" w:rsidTr="006212A4">
        <w:tc>
          <w:tcPr>
            <w:tcW w:w="2547" w:type="dxa"/>
            <w:gridSpan w:val="2"/>
            <w:vAlign w:val="center"/>
          </w:tcPr>
          <w:p w14:paraId="1F2264B3"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寄附金</w:t>
            </w:r>
          </w:p>
          <w:p w14:paraId="057DDDE1" w14:textId="77777777" w:rsidR="006212A4" w:rsidRPr="002C3C0F" w:rsidRDefault="006212A4" w:rsidP="00164230">
            <w:pPr>
              <w:spacing w:line="30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kern w:val="0"/>
                <w:szCs w:val="21"/>
              </w:rPr>
              <w:t>（ふるさと以外）</w:t>
            </w:r>
          </w:p>
        </w:tc>
        <w:tc>
          <w:tcPr>
            <w:tcW w:w="7654" w:type="dxa"/>
            <w:tcBorders>
              <w:tr2bl w:val="nil"/>
            </w:tcBorders>
            <w:shd w:val="clear" w:color="auto" w:fill="auto"/>
            <w:vAlign w:val="center"/>
          </w:tcPr>
          <w:p w14:paraId="48B5B2B7" w14:textId="7B26BD4D" w:rsidR="006212A4" w:rsidRPr="002C3C0F" w:rsidRDefault="006212A4" w:rsidP="00164230">
            <w:pPr>
              <w:spacing w:line="30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color w:val="000000" w:themeColor="text1"/>
                <w:szCs w:val="21"/>
              </w:rPr>
              <w:t>直近の</w:t>
            </w:r>
            <w:r w:rsidRPr="002C3C0F">
              <w:rPr>
                <w:rFonts w:ascii="ＭＳ ゴシック" w:eastAsia="ＭＳ ゴシック" w:hAnsi="ＭＳ ゴシック"/>
                <w:bCs/>
                <w:color w:val="000000" w:themeColor="text1"/>
                <w:szCs w:val="21"/>
              </w:rPr>
              <w:t>決算額を</w:t>
            </w:r>
            <w:r w:rsidRPr="002C3C0F">
              <w:rPr>
                <w:rFonts w:ascii="ＭＳ ゴシック" w:eastAsia="ＭＳ ゴシック" w:hAnsi="ＭＳ ゴシック" w:hint="eastAsia"/>
                <w:color w:val="000000" w:themeColor="text1"/>
                <w:szCs w:val="21"/>
              </w:rPr>
              <w:t>R5以降</w:t>
            </w:r>
            <w:r w:rsidRPr="002C3C0F">
              <w:rPr>
                <w:rFonts w:ascii="ＭＳ ゴシック" w:eastAsia="ＭＳ ゴシック" w:hAnsi="ＭＳ ゴシック"/>
                <w:bCs/>
                <w:color w:val="000000" w:themeColor="text1"/>
                <w:szCs w:val="21"/>
              </w:rPr>
              <w:t>横置き</w:t>
            </w:r>
            <w:r w:rsidRPr="002C3C0F">
              <w:rPr>
                <w:rFonts w:ascii="ＭＳ ゴシック" w:eastAsia="ＭＳ ゴシック" w:hAnsi="ＭＳ ゴシック" w:hint="eastAsia"/>
                <w:bCs/>
                <w:color w:val="000000" w:themeColor="text1"/>
                <w:szCs w:val="21"/>
              </w:rPr>
              <w:t>とする。</w:t>
            </w:r>
          </w:p>
        </w:tc>
      </w:tr>
    </w:tbl>
    <w:p w14:paraId="6DF844EF" w14:textId="77777777" w:rsidR="00813D05" w:rsidRPr="002C3C0F" w:rsidRDefault="00813D05" w:rsidP="006B44A8">
      <w:pPr>
        <w:spacing w:line="300" w:lineRule="exact"/>
        <w:rPr>
          <w:rFonts w:ascii="ＭＳ ゴシック" w:eastAsia="ＭＳ ゴシック" w:hAnsi="ＭＳ ゴシック"/>
          <w:color w:val="000000" w:themeColor="text1"/>
          <w:sz w:val="24"/>
          <w:szCs w:val="24"/>
        </w:rPr>
      </w:pPr>
    </w:p>
    <w:p w14:paraId="5E009D2A" w14:textId="730BEF4C" w:rsidR="004A3C85" w:rsidRPr="00C1084F" w:rsidRDefault="00C1084F" w:rsidP="006B44A8">
      <w:pPr>
        <w:spacing w:line="30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005A6A00" w:rsidRPr="00C1084F">
        <w:rPr>
          <w:rFonts w:ascii="ＭＳ ゴシック" w:eastAsia="ＭＳ ゴシック" w:hAnsi="ＭＳ ゴシック" w:hint="eastAsia"/>
          <w:color w:val="000000" w:themeColor="text1"/>
          <w:sz w:val="24"/>
          <w:szCs w:val="24"/>
        </w:rPr>
        <w:t>歳出</w:t>
      </w:r>
      <w:r>
        <w:rPr>
          <w:rFonts w:ascii="ＭＳ ゴシック" w:eastAsia="ＭＳ ゴシック" w:hAnsi="ＭＳ ゴシック" w:hint="eastAsia"/>
          <w:color w:val="000000" w:themeColor="text1"/>
          <w:sz w:val="24"/>
          <w:szCs w:val="24"/>
        </w:rPr>
        <w:t>】</w:t>
      </w:r>
    </w:p>
    <w:tbl>
      <w:tblPr>
        <w:tblStyle w:val="a3"/>
        <w:tblW w:w="10485" w:type="dxa"/>
        <w:tblLook w:val="04A0" w:firstRow="1" w:lastRow="0" w:firstColumn="1" w:lastColumn="0" w:noHBand="0" w:noVBand="1"/>
      </w:tblPr>
      <w:tblGrid>
        <w:gridCol w:w="2547"/>
        <w:gridCol w:w="7938"/>
      </w:tblGrid>
      <w:tr w:rsidR="006212A4" w:rsidRPr="002C3C0F" w14:paraId="2EC40529" w14:textId="77777777" w:rsidTr="0056721A">
        <w:tc>
          <w:tcPr>
            <w:tcW w:w="2547" w:type="dxa"/>
            <w:shd w:val="clear" w:color="auto" w:fill="FFFF00"/>
          </w:tcPr>
          <w:p w14:paraId="589A3F8E" w14:textId="77777777" w:rsidR="006212A4" w:rsidRPr="002C3C0F" w:rsidRDefault="006212A4" w:rsidP="003171FB">
            <w:pPr>
              <w:spacing w:line="280" w:lineRule="exact"/>
              <w:jc w:val="center"/>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項目</w:t>
            </w:r>
          </w:p>
        </w:tc>
        <w:tc>
          <w:tcPr>
            <w:tcW w:w="7938" w:type="dxa"/>
            <w:shd w:val="clear" w:color="auto" w:fill="FFFF00"/>
          </w:tcPr>
          <w:p w14:paraId="3085089F" w14:textId="4FD4C1CF" w:rsidR="006212A4" w:rsidRPr="002C3C0F" w:rsidRDefault="006212A4" w:rsidP="003171FB">
            <w:pPr>
              <w:spacing w:line="280" w:lineRule="exact"/>
              <w:jc w:val="center"/>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R5（新）</w:t>
            </w:r>
          </w:p>
        </w:tc>
      </w:tr>
      <w:tr w:rsidR="006212A4" w:rsidRPr="002C3C0F" w14:paraId="7E9AEBEA" w14:textId="77777777" w:rsidTr="0056721A">
        <w:tc>
          <w:tcPr>
            <w:tcW w:w="2547" w:type="dxa"/>
            <w:shd w:val="clear" w:color="auto" w:fill="auto"/>
            <w:vAlign w:val="center"/>
          </w:tcPr>
          <w:p w14:paraId="3106C339" w14:textId="77777777" w:rsidR="006212A4" w:rsidRPr="002C3C0F" w:rsidRDefault="006212A4" w:rsidP="003171FB">
            <w:pPr>
              <w:spacing w:line="280" w:lineRule="exact"/>
              <w:rPr>
                <w:rFonts w:ascii="ＭＳ ゴシック" w:eastAsia="ＭＳ ゴシック" w:hAnsi="ＭＳ ゴシック"/>
                <w:color w:val="000000" w:themeColor="text1"/>
                <w:sz w:val="22"/>
              </w:rPr>
            </w:pPr>
            <w:r w:rsidRPr="002C3C0F">
              <w:rPr>
                <w:rFonts w:ascii="ＭＳ ゴシック" w:eastAsia="ＭＳ ゴシック" w:hAnsi="ＭＳ ゴシック" w:hint="eastAsia"/>
                <w:color w:val="000000" w:themeColor="text1"/>
                <w:sz w:val="22"/>
              </w:rPr>
              <w:t>人件費</w:t>
            </w:r>
          </w:p>
        </w:tc>
        <w:tc>
          <w:tcPr>
            <w:tcW w:w="7938" w:type="dxa"/>
            <w:shd w:val="clear" w:color="auto" w:fill="auto"/>
            <w:vAlign w:val="center"/>
          </w:tcPr>
          <w:p w14:paraId="284BD45D" w14:textId="77777777" w:rsidR="006212A4" w:rsidRPr="002C3C0F" w:rsidRDefault="006212A4" w:rsidP="0034327F">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■退職手当</w:t>
            </w:r>
          </w:p>
          <w:p w14:paraId="001EAF6F" w14:textId="231AF962" w:rsidR="006212A4" w:rsidRPr="002C3C0F" w:rsidRDefault="006212A4" w:rsidP="0034327F">
            <w:pPr>
              <w:spacing w:line="280" w:lineRule="exact"/>
              <w:ind w:left="210" w:hangingChars="100" w:hanging="210"/>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w:t>
            </w:r>
            <w:r w:rsidRPr="002C3C0F">
              <w:rPr>
                <w:rFonts w:ascii="ＭＳ ゴシック" w:eastAsia="ＭＳ ゴシック" w:hAnsi="ＭＳ ゴシック"/>
                <w:bCs/>
                <w:color w:val="000000" w:themeColor="text1"/>
                <w:szCs w:val="21"/>
              </w:rPr>
              <w:t>1人あたりの退職金額</w:t>
            </w:r>
            <w:r w:rsidRPr="002C3C0F">
              <w:rPr>
                <w:rFonts w:ascii="ＭＳ ゴシック" w:eastAsia="ＭＳ ゴシック" w:hAnsi="ＭＳ ゴシック" w:hint="eastAsia"/>
                <w:bCs/>
                <w:color w:val="000000" w:themeColor="text1"/>
                <w:szCs w:val="21"/>
              </w:rPr>
              <w:t>（</w:t>
            </w:r>
            <w:r w:rsidRPr="002C3C0F">
              <w:rPr>
                <w:rFonts w:ascii="ＭＳ ゴシック" w:eastAsia="ＭＳ ゴシック" w:hAnsi="ＭＳ ゴシック" w:hint="eastAsia"/>
                <w:color w:val="000000" w:themeColor="text1"/>
                <w:szCs w:val="21"/>
              </w:rPr>
              <w:t>直近の実績値</w:t>
            </w:r>
            <w:r w:rsidRPr="002C3C0F">
              <w:rPr>
                <w:rFonts w:ascii="ＭＳ ゴシック" w:eastAsia="ＭＳ ゴシック" w:hAnsi="ＭＳ ゴシック" w:hint="eastAsia"/>
                <w:bCs/>
                <w:color w:val="000000" w:themeColor="text1"/>
                <w:szCs w:val="21"/>
              </w:rPr>
              <w:t>をR</w:t>
            </w:r>
            <w:r w:rsidRPr="002C3C0F">
              <w:rPr>
                <w:rFonts w:ascii="ＭＳ ゴシック" w:eastAsia="ＭＳ ゴシック" w:hAnsi="ＭＳ ゴシック"/>
                <w:bCs/>
                <w:color w:val="000000" w:themeColor="text1"/>
                <w:szCs w:val="21"/>
              </w:rPr>
              <w:t>5</w:t>
            </w:r>
            <w:r w:rsidRPr="002C3C0F">
              <w:rPr>
                <w:rFonts w:ascii="ＭＳ ゴシック" w:eastAsia="ＭＳ ゴシック" w:hAnsi="ＭＳ ゴシック" w:hint="eastAsia"/>
                <w:bCs/>
                <w:color w:val="000000" w:themeColor="text1"/>
                <w:szCs w:val="21"/>
              </w:rPr>
              <w:t>以降横置き</w:t>
            </w:r>
            <w:r w:rsidRPr="002C3C0F">
              <w:rPr>
                <w:rFonts w:ascii="ＭＳ ゴシック" w:eastAsia="ＭＳ ゴシック" w:hAnsi="ＭＳ ゴシック"/>
                <w:bCs/>
                <w:color w:val="000000" w:themeColor="text1"/>
                <w:szCs w:val="21"/>
              </w:rPr>
              <w:t>）</w:t>
            </w:r>
            <w:r w:rsidRPr="002C3C0F">
              <w:rPr>
                <w:rFonts w:ascii="ＭＳ ゴシック" w:eastAsia="ＭＳ ゴシック" w:hAnsi="ＭＳ ゴシック" w:hint="eastAsia"/>
                <w:bCs/>
                <w:color w:val="000000" w:themeColor="text1"/>
                <w:szCs w:val="21"/>
              </w:rPr>
              <w:t>に各年度の定年退職者見込数を乗じる。</w:t>
            </w:r>
          </w:p>
          <w:p w14:paraId="343CD8EB" w14:textId="77777777" w:rsidR="006212A4" w:rsidRPr="002C3C0F" w:rsidRDefault="006212A4" w:rsidP="0034327F">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w:t>
            </w:r>
            <w:r w:rsidRPr="002C3C0F">
              <w:rPr>
                <w:rFonts w:ascii="ＭＳ ゴシック" w:eastAsia="ＭＳ ゴシック" w:hAnsi="ＭＳ ゴシック"/>
                <w:bCs/>
                <w:color w:val="000000" w:themeColor="text1"/>
                <w:szCs w:val="21"/>
              </w:rPr>
              <w:t>定年延長の要素も加味</w:t>
            </w:r>
            <w:r w:rsidRPr="002C3C0F">
              <w:rPr>
                <w:rFonts w:ascii="ＭＳ ゴシック" w:eastAsia="ＭＳ ゴシック" w:hAnsi="ＭＳ ゴシック" w:hint="eastAsia"/>
                <w:bCs/>
                <w:color w:val="000000" w:themeColor="text1"/>
                <w:szCs w:val="21"/>
              </w:rPr>
              <w:t>する。</w:t>
            </w:r>
          </w:p>
          <w:p w14:paraId="312A0C66" w14:textId="705DDA3A" w:rsidR="006212A4" w:rsidRPr="002C3C0F" w:rsidRDefault="006212A4" w:rsidP="0034327F">
            <w:pPr>
              <w:spacing w:line="280" w:lineRule="exact"/>
              <w:ind w:left="210" w:hangingChars="100" w:hanging="210"/>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color w:val="000000" w:themeColor="text1"/>
                <w:szCs w:val="21"/>
              </w:rPr>
              <w:t>・会計年度任用職員については、直近の決算額をR</w:t>
            </w:r>
            <w:r w:rsidRPr="002C3C0F">
              <w:rPr>
                <w:rFonts w:ascii="ＭＳ ゴシック" w:eastAsia="ＭＳ ゴシック" w:hAnsi="ＭＳ ゴシック"/>
                <w:color w:val="000000" w:themeColor="text1"/>
                <w:szCs w:val="21"/>
              </w:rPr>
              <w:t>5</w:t>
            </w:r>
            <w:r w:rsidRPr="002C3C0F">
              <w:rPr>
                <w:rFonts w:ascii="ＭＳ ゴシック" w:eastAsia="ＭＳ ゴシック" w:hAnsi="ＭＳ ゴシック" w:hint="eastAsia"/>
                <w:color w:val="000000" w:themeColor="text1"/>
                <w:szCs w:val="21"/>
              </w:rPr>
              <w:t>以降横置きする。</w:t>
            </w:r>
          </w:p>
          <w:p w14:paraId="352A6BCA" w14:textId="77777777" w:rsidR="006212A4" w:rsidRPr="002C3C0F" w:rsidRDefault="006212A4" w:rsidP="0034327F">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■給与等</w:t>
            </w:r>
          </w:p>
          <w:p w14:paraId="3775E9D8" w14:textId="1EEBEC9B" w:rsidR="006212A4" w:rsidRPr="002C3C0F" w:rsidRDefault="006212A4" w:rsidP="0034327F">
            <w:pPr>
              <w:spacing w:line="280" w:lineRule="exact"/>
              <w:ind w:left="210" w:hangingChars="100" w:hanging="210"/>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w:t>
            </w:r>
            <w:r w:rsidRPr="002C3C0F">
              <w:rPr>
                <w:rFonts w:ascii="ＭＳ ゴシック" w:eastAsia="ＭＳ ゴシック" w:hAnsi="ＭＳ ゴシック"/>
                <w:bCs/>
                <w:color w:val="000000" w:themeColor="text1"/>
                <w:szCs w:val="21"/>
              </w:rPr>
              <w:t>1人あたり</w:t>
            </w:r>
            <w:r w:rsidRPr="002C3C0F">
              <w:rPr>
                <w:rFonts w:ascii="ＭＳ ゴシック" w:eastAsia="ＭＳ ゴシック" w:hAnsi="ＭＳ ゴシック" w:hint="eastAsia"/>
                <w:bCs/>
                <w:color w:val="000000" w:themeColor="text1"/>
                <w:szCs w:val="21"/>
              </w:rPr>
              <w:t>の</w:t>
            </w:r>
            <w:r w:rsidRPr="002C3C0F">
              <w:rPr>
                <w:rFonts w:ascii="ＭＳ ゴシック" w:eastAsia="ＭＳ ゴシック" w:hAnsi="ＭＳ ゴシック"/>
                <w:bCs/>
                <w:color w:val="000000" w:themeColor="text1"/>
                <w:szCs w:val="21"/>
              </w:rPr>
              <w:t>職員単価</w:t>
            </w:r>
            <w:r w:rsidRPr="002C3C0F">
              <w:rPr>
                <w:rFonts w:ascii="ＭＳ ゴシック" w:eastAsia="ＭＳ ゴシック" w:hAnsi="ＭＳ ゴシック" w:hint="eastAsia"/>
                <w:bCs/>
                <w:color w:val="000000" w:themeColor="text1"/>
                <w:szCs w:val="21"/>
              </w:rPr>
              <w:t>（</w:t>
            </w:r>
            <w:r w:rsidRPr="002C3C0F">
              <w:rPr>
                <w:rFonts w:ascii="ＭＳ ゴシック" w:eastAsia="ＭＳ ゴシック" w:hAnsi="ＭＳ ゴシック" w:hint="eastAsia"/>
                <w:color w:val="000000" w:themeColor="text1"/>
                <w:szCs w:val="21"/>
              </w:rPr>
              <w:t>直近の実績値</w:t>
            </w:r>
            <w:r w:rsidRPr="002C3C0F">
              <w:rPr>
                <w:rFonts w:ascii="ＭＳ ゴシック" w:eastAsia="ＭＳ ゴシック" w:hAnsi="ＭＳ ゴシック" w:hint="eastAsia"/>
                <w:bCs/>
                <w:color w:val="000000" w:themeColor="text1"/>
                <w:szCs w:val="21"/>
              </w:rPr>
              <w:t>をR</w:t>
            </w:r>
            <w:r w:rsidRPr="002C3C0F">
              <w:rPr>
                <w:rFonts w:ascii="ＭＳ ゴシック" w:eastAsia="ＭＳ ゴシック" w:hAnsi="ＭＳ ゴシック"/>
                <w:bCs/>
                <w:color w:val="000000" w:themeColor="text1"/>
                <w:szCs w:val="21"/>
              </w:rPr>
              <w:t>5</w:t>
            </w:r>
            <w:r w:rsidRPr="002C3C0F">
              <w:rPr>
                <w:rFonts w:ascii="ＭＳ ゴシック" w:eastAsia="ＭＳ ゴシック" w:hAnsi="ＭＳ ゴシック" w:hint="eastAsia"/>
                <w:bCs/>
                <w:color w:val="000000" w:themeColor="text1"/>
                <w:szCs w:val="21"/>
              </w:rPr>
              <w:t>以降横置き</w:t>
            </w:r>
            <w:r w:rsidRPr="002C3C0F">
              <w:rPr>
                <w:rFonts w:ascii="ＭＳ ゴシック" w:eastAsia="ＭＳ ゴシック" w:hAnsi="ＭＳ ゴシック"/>
                <w:bCs/>
                <w:color w:val="000000" w:themeColor="text1"/>
                <w:szCs w:val="21"/>
              </w:rPr>
              <w:t>）</w:t>
            </w:r>
            <w:r w:rsidRPr="002C3C0F">
              <w:rPr>
                <w:rFonts w:ascii="ＭＳ ゴシック" w:eastAsia="ＭＳ ゴシック" w:hAnsi="ＭＳ ゴシック" w:hint="eastAsia"/>
                <w:bCs/>
                <w:color w:val="000000" w:themeColor="text1"/>
                <w:szCs w:val="21"/>
              </w:rPr>
              <w:t>に各年度の職員数（</w:t>
            </w:r>
            <w:r w:rsidRPr="002C3C0F">
              <w:rPr>
                <w:rFonts w:ascii="ＭＳ ゴシック" w:eastAsia="ＭＳ ゴシック" w:hAnsi="ＭＳ ゴシック"/>
                <w:bCs/>
                <w:color w:val="000000" w:themeColor="text1"/>
                <w:szCs w:val="21"/>
              </w:rPr>
              <w:t>R</w:t>
            </w:r>
            <w:r w:rsidRPr="002C3C0F">
              <w:rPr>
                <w:rFonts w:ascii="ＭＳ ゴシック" w:eastAsia="ＭＳ ゴシック" w:hAnsi="ＭＳ ゴシック" w:hint="eastAsia"/>
                <w:bCs/>
                <w:color w:val="000000" w:themeColor="text1"/>
                <w:szCs w:val="21"/>
              </w:rPr>
              <w:t>4</w:t>
            </w:r>
            <w:r w:rsidRPr="002C3C0F">
              <w:rPr>
                <w:rFonts w:ascii="ＭＳ ゴシック" w:eastAsia="ＭＳ ゴシック" w:hAnsi="ＭＳ ゴシック"/>
                <w:bCs/>
                <w:color w:val="000000" w:themeColor="text1"/>
                <w:szCs w:val="21"/>
              </w:rPr>
              <w:t>職員数を</w:t>
            </w:r>
            <w:r w:rsidRPr="002C3C0F">
              <w:rPr>
                <w:rFonts w:ascii="ＭＳ ゴシック" w:eastAsia="ＭＳ ゴシック" w:hAnsi="ＭＳ ゴシック" w:hint="eastAsia"/>
                <w:bCs/>
                <w:color w:val="000000" w:themeColor="text1"/>
                <w:szCs w:val="21"/>
              </w:rPr>
              <w:t>R</w:t>
            </w:r>
            <w:r w:rsidRPr="002C3C0F">
              <w:rPr>
                <w:rFonts w:ascii="ＭＳ ゴシック" w:eastAsia="ＭＳ ゴシック" w:hAnsi="ＭＳ ゴシック"/>
                <w:bCs/>
                <w:color w:val="000000" w:themeColor="text1"/>
                <w:szCs w:val="21"/>
              </w:rPr>
              <w:t>5</w:t>
            </w:r>
            <w:r w:rsidRPr="002C3C0F">
              <w:rPr>
                <w:rFonts w:ascii="ＭＳ ゴシック" w:eastAsia="ＭＳ ゴシック" w:hAnsi="ＭＳ ゴシック" w:hint="eastAsia"/>
                <w:bCs/>
                <w:color w:val="000000" w:themeColor="text1"/>
                <w:szCs w:val="21"/>
              </w:rPr>
              <w:t>以降</w:t>
            </w:r>
            <w:r w:rsidRPr="002C3C0F">
              <w:rPr>
                <w:rFonts w:ascii="ＭＳ ゴシック" w:eastAsia="ＭＳ ゴシック" w:hAnsi="ＭＳ ゴシック"/>
                <w:bCs/>
                <w:color w:val="000000" w:themeColor="text1"/>
                <w:szCs w:val="21"/>
              </w:rPr>
              <w:t>横置き</w:t>
            </w:r>
            <w:r w:rsidRPr="002C3C0F">
              <w:rPr>
                <w:rFonts w:ascii="ＭＳ ゴシック" w:eastAsia="ＭＳ ゴシック" w:hAnsi="ＭＳ ゴシック" w:hint="eastAsia"/>
                <w:bCs/>
                <w:color w:val="000000" w:themeColor="text1"/>
                <w:szCs w:val="21"/>
              </w:rPr>
              <w:t>※）を乗じる。</w:t>
            </w:r>
          </w:p>
          <w:p w14:paraId="4198C58E" w14:textId="77777777" w:rsidR="006212A4" w:rsidRPr="002C3C0F" w:rsidRDefault="006212A4" w:rsidP="0034327F">
            <w:pPr>
              <w:spacing w:line="280" w:lineRule="exact"/>
              <w:ind w:left="210" w:hangingChars="100" w:hanging="210"/>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※ただし、現</w:t>
            </w:r>
            <w:r w:rsidRPr="002C3C0F">
              <w:rPr>
                <w:rFonts w:ascii="ＭＳ ゴシック" w:eastAsia="ＭＳ ゴシック" w:hAnsi="ＭＳ ゴシック"/>
                <w:bCs/>
                <w:color w:val="000000" w:themeColor="text1"/>
                <w:szCs w:val="21"/>
              </w:rPr>
              <w:t>時点で計画を上回る職員数があり、今後退職不補充で</w:t>
            </w:r>
            <w:r w:rsidRPr="002C3C0F">
              <w:rPr>
                <w:rFonts w:ascii="ＭＳ ゴシック" w:eastAsia="ＭＳ ゴシック" w:hAnsi="ＭＳ ゴシック" w:hint="eastAsia"/>
                <w:bCs/>
                <w:color w:val="000000" w:themeColor="text1"/>
                <w:szCs w:val="21"/>
              </w:rPr>
              <w:t>調整していくことが予想される団体については、職員数の見通しを反映する。</w:t>
            </w:r>
          </w:p>
          <w:p w14:paraId="5EE90EFF" w14:textId="0F776CA0" w:rsidR="006212A4" w:rsidRPr="002C3C0F" w:rsidRDefault="006212A4" w:rsidP="0034327F">
            <w:pPr>
              <w:spacing w:line="280" w:lineRule="exact"/>
              <w:ind w:left="210" w:hangingChars="100" w:hanging="210"/>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・会計年度任用職員については、直近の決算額をR</w:t>
            </w:r>
            <w:r w:rsidRPr="002C3C0F">
              <w:rPr>
                <w:rFonts w:ascii="ＭＳ ゴシック" w:eastAsia="ＭＳ ゴシック" w:hAnsi="ＭＳ ゴシック"/>
                <w:color w:val="000000" w:themeColor="text1"/>
                <w:szCs w:val="21"/>
              </w:rPr>
              <w:t>5</w:t>
            </w:r>
            <w:r w:rsidRPr="002C3C0F">
              <w:rPr>
                <w:rFonts w:ascii="ＭＳ ゴシック" w:eastAsia="ＭＳ ゴシック" w:hAnsi="ＭＳ ゴシック" w:hint="eastAsia"/>
                <w:color w:val="000000" w:themeColor="text1"/>
                <w:szCs w:val="21"/>
              </w:rPr>
              <w:t>以降横置きする。</w:t>
            </w:r>
          </w:p>
        </w:tc>
      </w:tr>
      <w:tr w:rsidR="006212A4" w:rsidRPr="002C3C0F" w14:paraId="2B3D4A78" w14:textId="77777777" w:rsidTr="0056721A">
        <w:tc>
          <w:tcPr>
            <w:tcW w:w="2547" w:type="dxa"/>
            <w:vAlign w:val="center"/>
          </w:tcPr>
          <w:p w14:paraId="18595C35" w14:textId="77777777" w:rsidR="006212A4" w:rsidRPr="002C3C0F" w:rsidRDefault="006212A4" w:rsidP="003171FB">
            <w:pPr>
              <w:spacing w:line="280" w:lineRule="exact"/>
              <w:rPr>
                <w:rFonts w:ascii="ＭＳ ゴシック" w:eastAsia="ＭＳ ゴシック" w:hAnsi="ＭＳ ゴシック"/>
                <w:color w:val="000000" w:themeColor="text1"/>
                <w:sz w:val="22"/>
              </w:rPr>
            </w:pPr>
            <w:r w:rsidRPr="002C3C0F">
              <w:rPr>
                <w:rFonts w:ascii="ＭＳ ゴシック" w:eastAsia="ＭＳ ゴシック" w:hAnsi="ＭＳ ゴシック" w:hint="eastAsia"/>
                <w:color w:val="000000" w:themeColor="text1"/>
                <w:sz w:val="22"/>
              </w:rPr>
              <w:t>物件費</w:t>
            </w:r>
          </w:p>
        </w:tc>
        <w:tc>
          <w:tcPr>
            <w:tcW w:w="7938" w:type="dxa"/>
            <w:shd w:val="clear" w:color="auto" w:fill="auto"/>
            <w:vAlign w:val="center"/>
          </w:tcPr>
          <w:p w14:paraId="37331BD2" w14:textId="7A649E04" w:rsidR="006212A4" w:rsidRPr="002C3C0F" w:rsidRDefault="006212A4" w:rsidP="003171FB">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直近の決算額（ふるさと寄附に係る返礼品相当額を除く）に物価指数を</w:t>
            </w:r>
            <w:r w:rsidRPr="002C3C0F">
              <w:rPr>
                <w:rFonts w:ascii="ＭＳ ゴシック" w:eastAsia="ＭＳ ゴシック" w:hAnsi="ＭＳ ゴシック"/>
                <w:bCs/>
                <w:color w:val="000000" w:themeColor="text1"/>
                <w:szCs w:val="21"/>
              </w:rPr>
              <w:t>乗じる</w:t>
            </w:r>
            <w:r w:rsidRPr="002C3C0F">
              <w:rPr>
                <w:rFonts w:ascii="ＭＳ ゴシック" w:eastAsia="ＭＳ ゴシック" w:hAnsi="ＭＳ ゴシック" w:hint="eastAsia"/>
                <w:bCs/>
                <w:color w:val="000000" w:themeColor="text1"/>
                <w:szCs w:val="21"/>
              </w:rPr>
              <w:t>。</w:t>
            </w:r>
          </w:p>
          <w:p w14:paraId="3EBF1477" w14:textId="44FAC924" w:rsidR="006212A4" w:rsidRPr="002C3C0F" w:rsidRDefault="006212A4" w:rsidP="003171FB">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【考え方】</w:t>
            </w:r>
          </w:p>
          <w:p w14:paraId="6A8DB15D" w14:textId="06F9E22C" w:rsidR="006212A4" w:rsidRPr="002C3C0F" w:rsidRDefault="006212A4" w:rsidP="001E3F4C">
            <w:pPr>
              <w:spacing w:line="280" w:lineRule="exact"/>
              <w:ind w:left="210" w:hangingChars="100" w:hanging="210"/>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・ふるさと寄附収入は、横置きとしているため、返礼品相当額に物価指数は乗じない。</w:t>
            </w:r>
          </w:p>
        </w:tc>
      </w:tr>
      <w:tr w:rsidR="006212A4" w:rsidRPr="002C3C0F" w14:paraId="182D19D4" w14:textId="77777777" w:rsidTr="0056721A">
        <w:tc>
          <w:tcPr>
            <w:tcW w:w="2547" w:type="dxa"/>
            <w:vAlign w:val="center"/>
          </w:tcPr>
          <w:p w14:paraId="695E9CC2" w14:textId="77777777" w:rsidR="006212A4" w:rsidRPr="002C3C0F" w:rsidRDefault="006212A4" w:rsidP="003171FB">
            <w:pPr>
              <w:spacing w:line="280" w:lineRule="exact"/>
              <w:rPr>
                <w:rFonts w:ascii="ＭＳ ゴシック" w:eastAsia="ＭＳ ゴシック" w:hAnsi="ＭＳ ゴシック"/>
                <w:color w:val="000000" w:themeColor="text1"/>
                <w:sz w:val="22"/>
              </w:rPr>
            </w:pPr>
            <w:r w:rsidRPr="002C3C0F">
              <w:rPr>
                <w:rFonts w:ascii="ＭＳ ゴシック" w:eastAsia="ＭＳ ゴシック" w:hAnsi="ＭＳ ゴシック" w:hint="eastAsia"/>
                <w:color w:val="000000" w:themeColor="text1"/>
                <w:sz w:val="22"/>
              </w:rPr>
              <w:t>維持補修費</w:t>
            </w:r>
          </w:p>
        </w:tc>
        <w:tc>
          <w:tcPr>
            <w:tcW w:w="7938" w:type="dxa"/>
            <w:shd w:val="clear" w:color="auto" w:fill="auto"/>
            <w:vAlign w:val="center"/>
          </w:tcPr>
          <w:p w14:paraId="6DB09D09" w14:textId="4F7E654A" w:rsidR="006212A4" w:rsidRPr="002C3C0F" w:rsidRDefault="006212A4" w:rsidP="003171FB">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color w:val="000000" w:themeColor="text1"/>
                <w:szCs w:val="21"/>
              </w:rPr>
              <w:t>直近の</w:t>
            </w:r>
            <w:r w:rsidRPr="002C3C0F">
              <w:rPr>
                <w:rFonts w:ascii="ＭＳ ゴシック" w:eastAsia="ＭＳ ゴシック" w:hAnsi="ＭＳ ゴシック" w:hint="eastAsia"/>
                <w:bCs/>
                <w:color w:val="000000" w:themeColor="text1"/>
                <w:szCs w:val="21"/>
              </w:rPr>
              <w:t>決算額</w:t>
            </w:r>
            <w:r>
              <w:rPr>
                <w:rFonts w:ascii="ＭＳ ゴシック" w:eastAsia="ＭＳ ゴシック" w:hAnsi="ＭＳ ゴシック" w:hint="eastAsia"/>
                <w:bCs/>
                <w:color w:val="000000" w:themeColor="text1"/>
                <w:szCs w:val="21"/>
              </w:rPr>
              <w:t>に物価指数を乗じる</w:t>
            </w:r>
            <w:r w:rsidRPr="002C3C0F">
              <w:rPr>
                <w:rFonts w:ascii="ＭＳ ゴシック" w:eastAsia="ＭＳ ゴシック" w:hAnsi="ＭＳ ゴシック" w:hint="eastAsia"/>
                <w:bCs/>
                <w:color w:val="000000" w:themeColor="text1"/>
                <w:szCs w:val="21"/>
              </w:rPr>
              <w:t>。</w:t>
            </w:r>
          </w:p>
        </w:tc>
      </w:tr>
      <w:tr w:rsidR="006212A4" w:rsidRPr="002C3C0F" w14:paraId="698D2454" w14:textId="77777777" w:rsidTr="0056721A">
        <w:tc>
          <w:tcPr>
            <w:tcW w:w="2547" w:type="dxa"/>
            <w:vAlign w:val="center"/>
          </w:tcPr>
          <w:p w14:paraId="1544A9F8" w14:textId="77777777" w:rsidR="006212A4" w:rsidRPr="002C3C0F" w:rsidRDefault="006212A4" w:rsidP="003171FB">
            <w:pPr>
              <w:spacing w:line="280" w:lineRule="exact"/>
              <w:rPr>
                <w:rFonts w:ascii="ＭＳ ゴシック" w:eastAsia="ＭＳ ゴシック" w:hAnsi="ＭＳ ゴシック"/>
                <w:bCs/>
                <w:color w:val="000000" w:themeColor="text1"/>
                <w:sz w:val="22"/>
              </w:rPr>
            </w:pPr>
            <w:r w:rsidRPr="002C3C0F">
              <w:rPr>
                <w:rFonts w:ascii="ＭＳ ゴシック" w:eastAsia="ＭＳ ゴシック" w:hAnsi="ＭＳ ゴシック" w:hint="eastAsia"/>
                <w:bCs/>
                <w:color w:val="000000" w:themeColor="text1"/>
                <w:sz w:val="22"/>
              </w:rPr>
              <w:t>扶助費</w:t>
            </w:r>
          </w:p>
        </w:tc>
        <w:tc>
          <w:tcPr>
            <w:tcW w:w="7938" w:type="dxa"/>
            <w:shd w:val="clear" w:color="auto" w:fill="auto"/>
            <w:vAlign w:val="center"/>
          </w:tcPr>
          <w:p w14:paraId="06393B4E" w14:textId="45EA2093" w:rsidR="006212A4" w:rsidRPr="002C3C0F" w:rsidRDefault="006212A4" w:rsidP="003171FB">
            <w:pPr>
              <w:spacing w:line="28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bCs/>
                <w:color w:val="000000" w:themeColor="text1"/>
                <w:szCs w:val="21"/>
              </w:rPr>
              <w:t>直近の決算額に直近３年間の決算額から算出した</w:t>
            </w:r>
            <w:r w:rsidRPr="002C3C0F">
              <w:rPr>
                <w:rFonts w:ascii="ＭＳ ゴシック" w:eastAsia="ＭＳ ゴシック" w:hAnsi="ＭＳ ゴシック"/>
                <w:bCs/>
                <w:color w:val="000000" w:themeColor="text1"/>
                <w:szCs w:val="21"/>
              </w:rPr>
              <w:t>伸び率</w:t>
            </w:r>
            <w:r w:rsidRPr="002C3C0F">
              <w:rPr>
                <w:rFonts w:ascii="ＭＳ ゴシック" w:eastAsia="ＭＳ ゴシック" w:hAnsi="ＭＳ ゴシック" w:hint="eastAsia"/>
                <w:bCs/>
                <w:color w:val="000000" w:themeColor="text1"/>
                <w:szCs w:val="21"/>
              </w:rPr>
              <w:t>をR8まで</w:t>
            </w:r>
            <w:r w:rsidRPr="002C3C0F">
              <w:rPr>
                <w:rFonts w:ascii="ＭＳ ゴシック" w:eastAsia="ＭＳ ゴシック" w:hAnsi="ＭＳ ゴシック"/>
                <w:bCs/>
                <w:color w:val="000000" w:themeColor="text1"/>
                <w:szCs w:val="21"/>
              </w:rPr>
              <w:t>乗じ</w:t>
            </w:r>
            <w:r w:rsidRPr="002C3C0F">
              <w:rPr>
                <w:rFonts w:ascii="ＭＳ ゴシック" w:eastAsia="ＭＳ ゴシック" w:hAnsi="ＭＳ ゴシック" w:hint="eastAsia"/>
                <w:bCs/>
                <w:color w:val="000000" w:themeColor="text1"/>
                <w:szCs w:val="21"/>
              </w:rPr>
              <w:t>、R9以降は横置きとする</w:t>
            </w:r>
            <w:r w:rsidRPr="002C3C0F">
              <w:rPr>
                <w:rFonts w:ascii="ＭＳ ゴシック" w:eastAsia="ＭＳ ゴシック" w:hAnsi="ＭＳ ゴシック"/>
                <w:color w:val="000000" w:themeColor="text1"/>
                <w:szCs w:val="21"/>
              </w:rPr>
              <w:t>。</w:t>
            </w:r>
            <w:r w:rsidRPr="002C3C0F">
              <w:rPr>
                <w:rFonts w:ascii="ＭＳ ゴシック" w:eastAsia="ＭＳ ゴシック" w:hAnsi="ＭＳ ゴシック" w:hint="eastAsia"/>
                <w:color w:val="000000" w:themeColor="text1"/>
                <w:szCs w:val="21"/>
              </w:rPr>
              <w:t>ただし、衛生費については、直近の決算額を横置きとする。</w:t>
            </w:r>
          </w:p>
          <w:p w14:paraId="5CA4D941" w14:textId="2B019525" w:rsidR="006212A4" w:rsidRPr="002C3C0F" w:rsidRDefault="006212A4" w:rsidP="003171FB">
            <w:pPr>
              <w:spacing w:line="28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【推計単位】</w:t>
            </w:r>
          </w:p>
          <w:p w14:paraId="423D2BD7" w14:textId="363F0A6C" w:rsidR="006212A4" w:rsidRPr="002C3C0F" w:rsidRDefault="006212A4" w:rsidP="0022194C">
            <w:pPr>
              <w:spacing w:line="280" w:lineRule="exact"/>
              <w:ind w:left="210" w:hangingChars="100" w:hanging="210"/>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・社会福祉費及び老人福祉費、児童福祉費及び教育費、生活保護費、衛生費、その他に区分し、それぞれを補助事業・単独事業に区分する。</w:t>
            </w:r>
          </w:p>
        </w:tc>
      </w:tr>
      <w:tr w:rsidR="006212A4" w:rsidRPr="002C3C0F" w14:paraId="26510C01" w14:textId="77777777" w:rsidTr="0056721A">
        <w:tc>
          <w:tcPr>
            <w:tcW w:w="2547" w:type="dxa"/>
            <w:vAlign w:val="center"/>
          </w:tcPr>
          <w:p w14:paraId="66B78B2C" w14:textId="7BFE584F" w:rsidR="006212A4" w:rsidRPr="002C3C0F" w:rsidRDefault="006212A4" w:rsidP="003171FB">
            <w:pPr>
              <w:spacing w:line="280" w:lineRule="exact"/>
              <w:rPr>
                <w:rFonts w:ascii="ＭＳ ゴシック" w:eastAsia="ＭＳ ゴシック" w:hAnsi="ＭＳ ゴシック"/>
                <w:color w:val="000000" w:themeColor="text1"/>
                <w:sz w:val="22"/>
              </w:rPr>
            </w:pPr>
            <w:r w:rsidRPr="002C3C0F">
              <w:rPr>
                <w:rFonts w:ascii="ＭＳ ゴシック" w:eastAsia="ＭＳ ゴシック" w:hAnsi="ＭＳ ゴシック" w:hint="eastAsia"/>
                <w:color w:val="000000" w:themeColor="text1"/>
                <w:sz w:val="22"/>
              </w:rPr>
              <w:t>補助費等</w:t>
            </w:r>
          </w:p>
        </w:tc>
        <w:tc>
          <w:tcPr>
            <w:tcW w:w="7938" w:type="dxa"/>
            <w:shd w:val="clear" w:color="auto" w:fill="auto"/>
            <w:vAlign w:val="center"/>
          </w:tcPr>
          <w:p w14:paraId="6D09CE5E" w14:textId="66719371" w:rsidR="006212A4" w:rsidRPr="002C3C0F" w:rsidRDefault="006212A4" w:rsidP="00825158">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直近の決算額（ふるさと寄附に係る返礼品相当額を除く）に直近３年間の決算額から算出した</w:t>
            </w:r>
            <w:r w:rsidRPr="002C3C0F">
              <w:rPr>
                <w:rFonts w:ascii="ＭＳ ゴシック" w:eastAsia="ＭＳ ゴシック" w:hAnsi="ＭＳ ゴシック"/>
                <w:bCs/>
                <w:color w:val="000000" w:themeColor="text1"/>
                <w:szCs w:val="21"/>
              </w:rPr>
              <w:t>伸び率</w:t>
            </w:r>
            <w:r w:rsidRPr="002C3C0F">
              <w:rPr>
                <w:rFonts w:ascii="ＭＳ ゴシック" w:eastAsia="ＭＳ ゴシック" w:hAnsi="ＭＳ ゴシック" w:hint="eastAsia"/>
                <w:bCs/>
                <w:color w:val="000000" w:themeColor="text1"/>
                <w:szCs w:val="21"/>
              </w:rPr>
              <w:t>を</w:t>
            </w:r>
            <w:r w:rsidRPr="002C3C0F">
              <w:rPr>
                <w:rFonts w:ascii="ＭＳ ゴシック" w:eastAsia="ＭＳ ゴシック" w:hAnsi="ＭＳ ゴシック"/>
                <w:bCs/>
                <w:color w:val="000000" w:themeColor="text1"/>
                <w:szCs w:val="21"/>
              </w:rPr>
              <w:t>乗じる</w:t>
            </w:r>
            <w:r w:rsidRPr="002C3C0F">
              <w:rPr>
                <w:rFonts w:ascii="ＭＳ ゴシック" w:eastAsia="ＭＳ ゴシック" w:hAnsi="ＭＳ ゴシック" w:hint="eastAsia"/>
                <w:bCs/>
                <w:color w:val="000000" w:themeColor="text1"/>
                <w:szCs w:val="21"/>
              </w:rPr>
              <w:t>。</w:t>
            </w:r>
          </w:p>
          <w:p w14:paraId="2C3EE2FC" w14:textId="77777777" w:rsidR="006212A4" w:rsidRPr="002C3C0F" w:rsidRDefault="006212A4" w:rsidP="00825158">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【考え方】</w:t>
            </w:r>
          </w:p>
          <w:p w14:paraId="3B5CB77F" w14:textId="77777777" w:rsidR="006212A4" w:rsidRPr="002C3C0F" w:rsidRDefault="006212A4" w:rsidP="001E3F4C">
            <w:pPr>
              <w:spacing w:line="280" w:lineRule="exact"/>
              <w:ind w:left="210" w:hangingChars="100" w:hanging="210"/>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・一部事務組合において大規模事業を予定している場合は個別に判断する。</w:t>
            </w:r>
          </w:p>
          <w:p w14:paraId="52D9B1C4" w14:textId="77777777" w:rsidR="006212A4" w:rsidRPr="002C3C0F" w:rsidRDefault="006212A4" w:rsidP="001E3F4C">
            <w:pPr>
              <w:spacing w:line="280" w:lineRule="exact"/>
              <w:ind w:left="210" w:hangingChars="100" w:hanging="210"/>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・法適用の公営企業会計分は控除し、繰出金として計上する。</w:t>
            </w:r>
          </w:p>
          <w:p w14:paraId="7F10E325" w14:textId="655DCAF4" w:rsidR="006212A4" w:rsidRPr="002C3C0F" w:rsidRDefault="006212A4" w:rsidP="001E3F4C">
            <w:pPr>
              <w:spacing w:line="280" w:lineRule="exact"/>
              <w:ind w:left="210" w:hangingChars="100" w:hanging="210"/>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・ふるさと寄附収入は、横置きとしているため、返礼品相当額に伸び率は乗じない。</w:t>
            </w:r>
          </w:p>
        </w:tc>
      </w:tr>
      <w:tr w:rsidR="006212A4" w:rsidRPr="002C3C0F" w14:paraId="6CCED3C1" w14:textId="77777777" w:rsidTr="0056721A">
        <w:tc>
          <w:tcPr>
            <w:tcW w:w="2547" w:type="dxa"/>
            <w:vAlign w:val="center"/>
          </w:tcPr>
          <w:p w14:paraId="0E464CEC" w14:textId="77777777" w:rsidR="006212A4" w:rsidRPr="002C3C0F" w:rsidRDefault="006212A4" w:rsidP="009F5CD4">
            <w:pPr>
              <w:spacing w:line="280" w:lineRule="exact"/>
              <w:rPr>
                <w:rFonts w:ascii="ＭＳ ゴシック" w:eastAsia="ＭＳ ゴシック" w:hAnsi="ＭＳ ゴシック"/>
                <w:bCs/>
                <w:color w:val="000000" w:themeColor="text1"/>
                <w:sz w:val="22"/>
              </w:rPr>
            </w:pPr>
            <w:r w:rsidRPr="002C3C0F">
              <w:rPr>
                <w:rFonts w:ascii="ＭＳ ゴシック" w:eastAsia="ＭＳ ゴシック" w:hAnsi="ＭＳ ゴシック" w:hint="eastAsia"/>
                <w:bCs/>
                <w:color w:val="000000" w:themeColor="text1"/>
                <w:sz w:val="22"/>
              </w:rPr>
              <w:t>普通建設事業費</w:t>
            </w:r>
          </w:p>
        </w:tc>
        <w:tc>
          <w:tcPr>
            <w:tcW w:w="7938" w:type="dxa"/>
            <w:shd w:val="clear" w:color="auto" w:fill="auto"/>
            <w:vAlign w:val="center"/>
          </w:tcPr>
          <w:p w14:paraId="6A025B35" w14:textId="2B957C89" w:rsidR="006212A4" w:rsidRPr="002C3C0F" w:rsidRDefault="006212A4" w:rsidP="00EB1C86">
            <w:pPr>
              <w:spacing w:line="28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公共施設再編計画を策定済みの団体はア、未策定の団体はイによることを基本とし、それにより難い場合はウによることとする。</w:t>
            </w:r>
          </w:p>
          <w:p w14:paraId="7771FEA8" w14:textId="69ACF73B" w:rsidR="006212A4" w:rsidRPr="002C3C0F" w:rsidRDefault="006212A4" w:rsidP="00EB1C86">
            <w:pPr>
              <w:spacing w:line="28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ア）「公共施設再編計画」のコスト（年割）を用いる　※インフラ含む</w:t>
            </w:r>
          </w:p>
          <w:p w14:paraId="6B435D47" w14:textId="2CE7E538" w:rsidR="006212A4" w:rsidRPr="002C3C0F" w:rsidRDefault="006212A4" w:rsidP="00EB1C86">
            <w:pPr>
              <w:spacing w:line="28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イ）財政計画等に基づく、各年度の建設事業に係る執行予定額等の計画額を用いる</w:t>
            </w:r>
          </w:p>
          <w:p w14:paraId="125E5C84" w14:textId="656578D4" w:rsidR="006212A4" w:rsidRPr="002C3C0F" w:rsidRDefault="006212A4" w:rsidP="00EB1C86">
            <w:pPr>
              <w:spacing w:line="280" w:lineRule="exact"/>
              <w:rPr>
                <w:rFonts w:ascii="ＭＳ ゴシック" w:eastAsia="ＭＳ ゴシック" w:hAnsi="ＭＳ ゴシック"/>
                <w:color w:val="000000" w:themeColor="text1"/>
                <w:szCs w:val="21"/>
              </w:rPr>
            </w:pPr>
            <w:r w:rsidRPr="002C3C0F">
              <w:rPr>
                <w:rFonts w:ascii="ＭＳ ゴシック" w:eastAsia="ＭＳ ゴシック" w:hAnsi="ＭＳ ゴシック" w:hint="eastAsia"/>
                <w:color w:val="000000" w:themeColor="text1"/>
                <w:szCs w:val="21"/>
              </w:rPr>
              <w:t>ウ）直近の決算額をベースに</w:t>
            </w:r>
            <w:r w:rsidRPr="002C3C0F">
              <w:rPr>
                <w:rFonts w:ascii="ＭＳ ゴシック" w:eastAsia="ＭＳ ゴシック" w:hAnsi="ＭＳ ゴシック" w:hint="eastAsia"/>
                <w:bCs/>
                <w:color w:val="000000" w:themeColor="text1"/>
                <w:szCs w:val="21"/>
              </w:rPr>
              <w:t>物価指数を</w:t>
            </w:r>
            <w:r w:rsidRPr="002C3C0F">
              <w:rPr>
                <w:rFonts w:ascii="ＭＳ ゴシック" w:eastAsia="ＭＳ ゴシック" w:hAnsi="ＭＳ ゴシック"/>
                <w:bCs/>
                <w:color w:val="000000" w:themeColor="text1"/>
                <w:szCs w:val="21"/>
              </w:rPr>
              <w:t>乗じ</w:t>
            </w:r>
            <w:r w:rsidRPr="002C3C0F">
              <w:rPr>
                <w:rFonts w:ascii="ＭＳ ゴシック" w:eastAsia="ＭＳ ゴシック" w:hAnsi="ＭＳ ゴシック" w:hint="eastAsia"/>
                <w:color w:val="000000" w:themeColor="text1"/>
                <w:szCs w:val="21"/>
              </w:rPr>
              <w:t>、大規模事業分を別途上積みする。</w:t>
            </w:r>
          </w:p>
          <w:p w14:paraId="706BB635" w14:textId="632697E7" w:rsidR="006212A4" w:rsidRPr="002C3C0F" w:rsidRDefault="006212A4" w:rsidP="00825158">
            <w:pPr>
              <w:spacing w:line="280" w:lineRule="exact"/>
              <w:ind w:left="210" w:hangingChars="100" w:hanging="210"/>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【考え方】</w:t>
            </w:r>
          </w:p>
          <w:p w14:paraId="245A96FD" w14:textId="75A38385" w:rsidR="006212A4" w:rsidRPr="002C3C0F" w:rsidRDefault="00BF2426" w:rsidP="00BF2426">
            <w:pPr>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r w:rsidR="006212A4" w:rsidRPr="002C3C0F">
              <w:rPr>
                <w:rFonts w:ascii="ＭＳ ゴシック" w:eastAsia="ＭＳ ゴシック" w:hAnsi="ＭＳ ゴシック" w:hint="eastAsia"/>
                <w:bCs/>
                <w:color w:val="000000" w:themeColor="text1"/>
                <w:szCs w:val="21"/>
              </w:rPr>
              <w:t>「ウ」について、臨時的かつ大規模な支出の取扱いは個別に判断する。</w:t>
            </w:r>
          </w:p>
          <w:p w14:paraId="6E10303B" w14:textId="57515050" w:rsidR="006212A4" w:rsidRPr="002C3C0F" w:rsidRDefault="00BF2426" w:rsidP="00BF2426">
            <w:pPr>
              <w:spacing w:line="280" w:lineRule="exact"/>
              <w:ind w:firstLineChars="100" w:firstLine="210"/>
              <w:rPr>
                <w:rFonts w:ascii="ＭＳ ゴシック" w:eastAsia="ＭＳ ゴシック" w:hAnsi="ＭＳ ゴシック"/>
                <w:bCs/>
                <w:color w:val="000000" w:themeColor="text1"/>
                <w:szCs w:val="21"/>
              </w:rPr>
            </w:pPr>
            <w:r>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60288" behindDoc="0" locked="0" layoutInCell="1" allowOverlap="1" wp14:anchorId="18D96C11" wp14:editId="307B3235">
                      <wp:simplePos x="0" y="0"/>
                      <wp:positionH relativeFrom="column">
                        <wp:posOffset>41910</wp:posOffset>
                      </wp:positionH>
                      <wp:positionV relativeFrom="paragraph">
                        <wp:posOffset>12065</wp:posOffset>
                      </wp:positionV>
                      <wp:extent cx="2240280" cy="396240"/>
                      <wp:effectExtent l="0" t="0" r="26670" b="22860"/>
                      <wp:wrapNone/>
                      <wp:docPr id="14" name="大かっこ 14"/>
                      <wp:cNvGraphicFramePr/>
                      <a:graphic xmlns:a="http://schemas.openxmlformats.org/drawingml/2006/main">
                        <a:graphicData uri="http://schemas.microsoft.com/office/word/2010/wordprocessingShape">
                          <wps:wsp>
                            <wps:cNvSpPr/>
                            <wps:spPr>
                              <a:xfrm>
                                <a:off x="0" y="0"/>
                                <a:ext cx="2240280" cy="39624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8A2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3.3pt;margin-top:.95pt;width:176.4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" strokecolor="#5b9bd5 [3204]" strokeweight=".5pt">
                      <v:stroke joinstyle="miter"/>
                    </v:shape>
                  </w:pict>
                </mc:Fallback>
              </mc:AlternateContent>
            </w:r>
            <w:r w:rsidR="006212A4" w:rsidRPr="002C3C0F">
              <w:rPr>
                <w:rFonts w:ascii="ＭＳ ゴシック" w:eastAsia="ＭＳ ゴシック" w:hAnsi="ＭＳ ゴシック" w:hint="eastAsia"/>
                <w:bCs/>
                <w:color w:val="000000" w:themeColor="text1"/>
                <w:szCs w:val="21"/>
              </w:rPr>
              <w:t>過年度分は横置き額から控除する。</w:t>
            </w:r>
          </w:p>
          <w:p w14:paraId="2AA5AD4D" w14:textId="61CA4BB4" w:rsidR="006212A4" w:rsidRPr="002C3C0F" w:rsidRDefault="006212A4" w:rsidP="00BF2426">
            <w:pPr>
              <w:spacing w:line="280" w:lineRule="exact"/>
              <w:ind w:firstLineChars="100" w:firstLine="210"/>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R5以降発生分は推計に加算する。</w:t>
            </w:r>
          </w:p>
          <w:p w14:paraId="7E1729D0" w14:textId="7BD74FAA" w:rsidR="006212A4" w:rsidRPr="002C3C0F" w:rsidRDefault="006212A4" w:rsidP="004A26EE">
            <w:pPr>
              <w:spacing w:line="280" w:lineRule="exact"/>
              <w:rPr>
                <w:rFonts w:ascii="ＭＳ ゴシック" w:eastAsia="ＭＳ ゴシック" w:hAnsi="ＭＳ ゴシック"/>
                <w:bCs/>
                <w:color w:val="000000" w:themeColor="text1"/>
                <w:szCs w:val="21"/>
              </w:rPr>
            </w:pPr>
          </w:p>
        </w:tc>
      </w:tr>
      <w:tr w:rsidR="006212A4" w:rsidRPr="002C3C0F" w14:paraId="532C8B17" w14:textId="77777777" w:rsidTr="0056721A">
        <w:tc>
          <w:tcPr>
            <w:tcW w:w="2547" w:type="dxa"/>
            <w:vAlign w:val="center"/>
          </w:tcPr>
          <w:p w14:paraId="559E7C03" w14:textId="77777777" w:rsidR="006212A4" w:rsidRPr="002C3C0F" w:rsidRDefault="006212A4" w:rsidP="009F5CD4">
            <w:pPr>
              <w:spacing w:line="280" w:lineRule="exact"/>
              <w:rPr>
                <w:rFonts w:ascii="ＭＳ ゴシック" w:eastAsia="ＭＳ ゴシック" w:hAnsi="ＭＳ ゴシック"/>
                <w:color w:val="000000" w:themeColor="text1"/>
                <w:sz w:val="22"/>
              </w:rPr>
            </w:pPr>
            <w:r w:rsidRPr="002C3C0F">
              <w:rPr>
                <w:rFonts w:ascii="ＭＳ ゴシック" w:eastAsia="ＭＳ ゴシック" w:hAnsi="ＭＳ ゴシック" w:hint="eastAsia"/>
                <w:color w:val="000000" w:themeColor="text1"/>
                <w:sz w:val="22"/>
              </w:rPr>
              <w:lastRenderedPageBreak/>
              <w:t>災害復旧事業費</w:t>
            </w:r>
          </w:p>
        </w:tc>
        <w:tc>
          <w:tcPr>
            <w:tcW w:w="7938" w:type="dxa"/>
            <w:shd w:val="clear" w:color="auto" w:fill="auto"/>
            <w:vAlign w:val="center"/>
          </w:tcPr>
          <w:p w14:paraId="28FD607A" w14:textId="71DFDE64" w:rsidR="006212A4" w:rsidRPr="002C3C0F" w:rsidRDefault="006212A4" w:rsidP="009F5CD4">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事業費が推計困難であり、見込まない。</w:t>
            </w:r>
          </w:p>
        </w:tc>
      </w:tr>
      <w:tr w:rsidR="006212A4" w:rsidRPr="002C3C0F" w14:paraId="50FFD354" w14:textId="77777777" w:rsidTr="0056721A">
        <w:tc>
          <w:tcPr>
            <w:tcW w:w="2547" w:type="dxa"/>
            <w:vAlign w:val="center"/>
          </w:tcPr>
          <w:p w14:paraId="6EE0CB31" w14:textId="77777777" w:rsidR="006212A4" w:rsidRPr="002C3C0F" w:rsidRDefault="006212A4" w:rsidP="009F5CD4">
            <w:pPr>
              <w:spacing w:line="280" w:lineRule="exact"/>
              <w:rPr>
                <w:rFonts w:ascii="ＭＳ ゴシック" w:eastAsia="ＭＳ ゴシック" w:hAnsi="ＭＳ ゴシック"/>
                <w:color w:val="000000" w:themeColor="text1"/>
                <w:sz w:val="22"/>
              </w:rPr>
            </w:pPr>
            <w:r w:rsidRPr="002C3C0F">
              <w:rPr>
                <w:rFonts w:ascii="ＭＳ ゴシック" w:eastAsia="ＭＳ ゴシック" w:hAnsi="ＭＳ ゴシック" w:hint="eastAsia"/>
                <w:color w:val="000000" w:themeColor="text1"/>
                <w:sz w:val="22"/>
              </w:rPr>
              <w:t>公債費</w:t>
            </w:r>
          </w:p>
        </w:tc>
        <w:tc>
          <w:tcPr>
            <w:tcW w:w="7938" w:type="dxa"/>
            <w:shd w:val="clear" w:color="auto" w:fill="auto"/>
            <w:vAlign w:val="center"/>
          </w:tcPr>
          <w:p w14:paraId="40E00ED6" w14:textId="77777777" w:rsidR="006212A4" w:rsidRPr="002C3C0F" w:rsidRDefault="006212A4" w:rsidP="009F5CD4">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■新発債</w:t>
            </w:r>
          </w:p>
          <w:p w14:paraId="6EA60147" w14:textId="77777777" w:rsidR="006212A4" w:rsidRPr="002C3C0F" w:rsidRDefault="006212A4" w:rsidP="009F5CD4">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シミュレーションにおける歳入の地方債に対して20年定時償還(元利均等)と仮定して各年度に計上する。</w:t>
            </w:r>
          </w:p>
          <w:p w14:paraId="23682474" w14:textId="0141ECA1" w:rsidR="006212A4" w:rsidRPr="002C3C0F" w:rsidRDefault="006212A4" w:rsidP="009F5CD4">
            <w:pPr>
              <w:spacing w:line="280" w:lineRule="exact"/>
              <w:rPr>
                <w:rFonts w:ascii="ＭＳ ゴシック" w:eastAsia="ＭＳ ゴシック" w:hAnsi="ＭＳ ゴシック" w:hint="eastAsia"/>
                <w:bCs/>
                <w:color w:val="000000" w:themeColor="text1"/>
                <w:szCs w:val="21"/>
              </w:rPr>
            </w:pPr>
            <w:r w:rsidRPr="002C3C0F">
              <w:rPr>
                <w:rFonts w:ascii="ＭＳ ゴシック" w:eastAsia="ＭＳ ゴシック" w:hAnsi="ＭＳ ゴシック" w:hint="eastAsia"/>
                <w:bCs/>
                <w:color w:val="000000" w:themeColor="text1"/>
                <w:szCs w:val="21"/>
              </w:rPr>
              <w:t>利率はR5</w:t>
            </w:r>
            <w:r w:rsidRPr="002C3C0F">
              <w:rPr>
                <w:rFonts w:ascii="ＭＳ ゴシック" w:eastAsia="ＭＳ ゴシック" w:hAnsi="ＭＳ ゴシック"/>
                <w:bCs/>
                <w:color w:val="000000" w:themeColor="text1"/>
                <w:szCs w:val="21"/>
              </w:rPr>
              <w:t>.</w:t>
            </w:r>
            <w:r w:rsidRPr="002C3C0F">
              <w:rPr>
                <w:rFonts w:ascii="ＭＳ ゴシック" w:eastAsia="ＭＳ ゴシック" w:hAnsi="ＭＳ ゴシック" w:hint="eastAsia"/>
                <w:bCs/>
                <w:color w:val="000000" w:themeColor="text1"/>
                <w:szCs w:val="21"/>
              </w:rPr>
              <w:t>7月の財政融資資金貸付金利による</w:t>
            </w:r>
            <w:r w:rsidRPr="002C3C0F">
              <w:rPr>
                <w:rFonts w:ascii="ＭＳ ゴシック" w:eastAsia="ＭＳ ゴシック" w:hAnsi="ＭＳ ゴシック"/>
                <w:bCs/>
                <w:color w:val="000000" w:themeColor="text1"/>
                <w:szCs w:val="21"/>
              </w:rPr>
              <w:t>。</w:t>
            </w:r>
          </w:p>
          <w:p w14:paraId="6D4B2A83" w14:textId="77777777" w:rsidR="006212A4" w:rsidRPr="002C3C0F" w:rsidRDefault="006212A4" w:rsidP="009F5CD4">
            <w:pPr>
              <w:spacing w:line="280" w:lineRule="exact"/>
              <w:ind w:left="1050" w:hangingChars="500" w:hanging="1050"/>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■既発債</w:t>
            </w:r>
          </w:p>
          <w:p w14:paraId="77AAE284" w14:textId="77777777" w:rsidR="006212A4" w:rsidRPr="002C3C0F" w:rsidRDefault="006212A4" w:rsidP="009F5CD4">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各団体の公債管理台帳から導かれる各年度の償還額を反映する。</w:t>
            </w:r>
          </w:p>
        </w:tc>
      </w:tr>
      <w:tr w:rsidR="006212A4" w:rsidRPr="002C3C0F" w14:paraId="740D243E" w14:textId="77777777" w:rsidTr="0056721A">
        <w:tc>
          <w:tcPr>
            <w:tcW w:w="2547" w:type="dxa"/>
            <w:vAlign w:val="center"/>
          </w:tcPr>
          <w:p w14:paraId="015B0B98" w14:textId="77777777" w:rsidR="006212A4" w:rsidRPr="002C3C0F" w:rsidRDefault="006212A4" w:rsidP="009F5CD4">
            <w:pPr>
              <w:spacing w:line="280" w:lineRule="exact"/>
              <w:rPr>
                <w:rFonts w:ascii="ＭＳ ゴシック" w:eastAsia="ＭＳ ゴシック" w:hAnsi="ＭＳ ゴシック"/>
                <w:color w:val="000000" w:themeColor="text1"/>
                <w:sz w:val="22"/>
              </w:rPr>
            </w:pPr>
            <w:r w:rsidRPr="002C3C0F">
              <w:rPr>
                <w:rFonts w:ascii="ＭＳ ゴシック" w:eastAsia="ＭＳ ゴシック" w:hAnsi="ＭＳ ゴシック" w:hint="eastAsia"/>
                <w:color w:val="000000" w:themeColor="text1"/>
                <w:sz w:val="22"/>
              </w:rPr>
              <w:t>積立金</w:t>
            </w:r>
          </w:p>
        </w:tc>
        <w:tc>
          <w:tcPr>
            <w:tcW w:w="7938" w:type="dxa"/>
            <w:shd w:val="clear" w:color="auto" w:fill="auto"/>
            <w:vAlign w:val="center"/>
          </w:tcPr>
          <w:p w14:paraId="1CD88409" w14:textId="77777777" w:rsidR="006212A4" w:rsidRPr="002C3C0F" w:rsidRDefault="006212A4" w:rsidP="009F5CD4">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シミュレーションに基づく収支差額の1/2を計上する（前年度が黒字の場合）。</w:t>
            </w:r>
          </w:p>
        </w:tc>
      </w:tr>
      <w:tr w:rsidR="006212A4" w:rsidRPr="002C3C0F" w14:paraId="48C71157" w14:textId="77777777" w:rsidTr="0056721A">
        <w:tc>
          <w:tcPr>
            <w:tcW w:w="2547" w:type="dxa"/>
            <w:vAlign w:val="center"/>
          </w:tcPr>
          <w:p w14:paraId="37344E18" w14:textId="77777777" w:rsidR="006212A4" w:rsidRPr="002C3C0F" w:rsidRDefault="006212A4" w:rsidP="009F5CD4">
            <w:pPr>
              <w:spacing w:line="280" w:lineRule="exact"/>
              <w:rPr>
                <w:rFonts w:ascii="ＭＳ ゴシック" w:eastAsia="ＭＳ ゴシック" w:hAnsi="ＭＳ ゴシック"/>
                <w:color w:val="000000" w:themeColor="text1"/>
                <w:sz w:val="22"/>
              </w:rPr>
            </w:pPr>
            <w:r w:rsidRPr="002C3C0F">
              <w:rPr>
                <w:rFonts w:ascii="ＭＳ ゴシック" w:eastAsia="ＭＳ ゴシック" w:hAnsi="ＭＳ ゴシック" w:hint="eastAsia"/>
                <w:color w:val="000000" w:themeColor="text1"/>
                <w:sz w:val="22"/>
              </w:rPr>
              <w:t>投資及び出資金</w:t>
            </w:r>
          </w:p>
          <w:p w14:paraId="6CA4B406" w14:textId="77777777" w:rsidR="006212A4" w:rsidRPr="002C3C0F" w:rsidRDefault="006212A4" w:rsidP="009F5CD4">
            <w:pPr>
              <w:spacing w:line="280" w:lineRule="exact"/>
              <w:rPr>
                <w:rFonts w:ascii="ＭＳ ゴシック" w:eastAsia="ＭＳ ゴシック" w:hAnsi="ＭＳ ゴシック"/>
                <w:color w:val="000000" w:themeColor="text1"/>
                <w:sz w:val="22"/>
              </w:rPr>
            </w:pPr>
            <w:r w:rsidRPr="002C3C0F">
              <w:rPr>
                <w:rFonts w:ascii="ＭＳ ゴシック" w:eastAsia="ＭＳ ゴシック" w:hAnsi="ＭＳ ゴシック" w:hint="eastAsia"/>
                <w:color w:val="000000" w:themeColor="text1"/>
                <w:sz w:val="22"/>
              </w:rPr>
              <w:t>貸付金</w:t>
            </w:r>
          </w:p>
        </w:tc>
        <w:tc>
          <w:tcPr>
            <w:tcW w:w="7938" w:type="dxa"/>
            <w:shd w:val="clear" w:color="auto" w:fill="auto"/>
            <w:vAlign w:val="center"/>
          </w:tcPr>
          <w:p w14:paraId="059B4B0F" w14:textId="42D88D0A" w:rsidR="006212A4" w:rsidRPr="002C3C0F" w:rsidRDefault="006212A4" w:rsidP="009F5CD4">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color w:val="000000" w:themeColor="text1"/>
                <w:szCs w:val="21"/>
              </w:rPr>
              <w:t>直近の</w:t>
            </w:r>
            <w:r w:rsidRPr="002C3C0F">
              <w:rPr>
                <w:rFonts w:ascii="ＭＳ ゴシック" w:eastAsia="ＭＳ ゴシック" w:hAnsi="ＭＳ ゴシック" w:hint="eastAsia"/>
                <w:bCs/>
                <w:color w:val="000000" w:themeColor="text1"/>
                <w:szCs w:val="21"/>
              </w:rPr>
              <w:t>決算額を</w:t>
            </w:r>
            <w:r w:rsidRPr="002C3C0F">
              <w:rPr>
                <w:rFonts w:ascii="ＭＳ ゴシック" w:eastAsia="ＭＳ ゴシック" w:hAnsi="ＭＳ ゴシック"/>
                <w:bCs/>
                <w:color w:val="000000" w:themeColor="text1"/>
                <w:szCs w:val="21"/>
              </w:rPr>
              <w:t>R</w:t>
            </w:r>
            <w:r w:rsidRPr="002C3C0F">
              <w:rPr>
                <w:rFonts w:ascii="ＭＳ ゴシック" w:eastAsia="ＭＳ ゴシック" w:hAnsi="ＭＳ ゴシック" w:hint="eastAsia"/>
                <w:bCs/>
                <w:color w:val="000000" w:themeColor="text1"/>
                <w:szCs w:val="21"/>
              </w:rPr>
              <w:t>5以降横置きとする。</w:t>
            </w:r>
          </w:p>
        </w:tc>
      </w:tr>
      <w:tr w:rsidR="006212A4" w:rsidRPr="002C3C0F" w14:paraId="21E13FD5" w14:textId="77777777" w:rsidTr="0056721A">
        <w:tc>
          <w:tcPr>
            <w:tcW w:w="2547" w:type="dxa"/>
            <w:vAlign w:val="center"/>
          </w:tcPr>
          <w:p w14:paraId="52CD56F9" w14:textId="0102FB5C" w:rsidR="006212A4" w:rsidRPr="002C3C0F" w:rsidRDefault="006212A4" w:rsidP="009F5CD4">
            <w:pPr>
              <w:spacing w:line="280" w:lineRule="exact"/>
              <w:rPr>
                <w:rFonts w:ascii="ＭＳ ゴシック" w:eastAsia="ＭＳ ゴシック" w:hAnsi="ＭＳ ゴシック"/>
                <w:color w:val="000000" w:themeColor="text1"/>
                <w:sz w:val="22"/>
              </w:rPr>
            </w:pPr>
            <w:r w:rsidRPr="002C3C0F">
              <w:rPr>
                <w:rFonts w:ascii="ＭＳ ゴシック" w:eastAsia="ＭＳ ゴシック" w:hAnsi="ＭＳ ゴシック" w:hint="eastAsia"/>
                <w:color w:val="000000" w:themeColor="text1"/>
                <w:sz w:val="22"/>
              </w:rPr>
              <w:t>繰出金</w:t>
            </w:r>
          </w:p>
        </w:tc>
        <w:tc>
          <w:tcPr>
            <w:tcW w:w="7938" w:type="dxa"/>
            <w:shd w:val="clear" w:color="auto" w:fill="auto"/>
            <w:vAlign w:val="center"/>
          </w:tcPr>
          <w:p w14:paraId="4B501FA8" w14:textId="77777777" w:rsidR="006212A4" w:rsidRPr="002C3C0F" w:rsidRDefault="006212A4" w:rsidP="001E3F4C">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■国保特会への繰出</w:t>
            </w:r>
          </w:p>
          <w:p w14:paraId="5BDB5914" w14:textId="6A6CDECB" w:rsidR="006212A4" w:rsidRPr="002C3C0F" w:rsidRDefault="006212A4" w:rsidP="001E3F4C">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直近の決算額に基づく1人あたり費用に7</w:t>
            </w:r>
            <w:r w:rsidRPr="002C3C0F">
              <w:rPr>
                <w:rFonts w:ascii="ＭＳ ゴシック" w:eastAsia="ＭＳ ゴシック" w:hAnsi="ＭＳ ゴシック"/>
                <w:bCs/>
                <w:color w:val="000000" w:themeColor="text1"/>
                <w:szCs w:val="21"/>
              </w:rPr>
              <w:t>5</w:t>
            </w:r>
            <w:r w:rsidRPr="002C3C0F">
              <w:rPr>
                <w:rFonts w:ascii="ＭＳ ゴシック" w:eastAsia="ＭＳ ゴシック" w:hAnsi="ＭＳ ゴシック" w:hint="eastAsia"/>
                <w:bCs/>
                <w:color w:val="000000" w:themeColor="text1"/>
                <w:szCs w:val="21"/>
              </w:rPr>
              <w:t>歳未満の推計人口を乗じて各年度算出する。</w:t>
            </w:r>
          </w:p>
          <w:p w14:paraId="08F5476F" w14:textId="77777777" w:rsidR="006212A4" w:rsidRPr="002C3C0F" w:rsidRDefault="006212A4" w:rsidP="001E3F4C">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【考え方】</w:t>
            </w:r>
          </w:p>
          <w:p w14:paraId="18AB3D12" w14:textId="77777777" w:rsidR="00BF2426" w:rsidRDefault="006212A4" w:rsidP="001E3F4C">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直近決算額を厚労省「医療給付実態調査」に基づき、</w:t>
            </w:r>
            <w:r w:rsidRPr="002C3C0F">
              <w:rPr>
                <w:rFonts w:ascii="ＭＳ ゴシック" w:eastAsia="ＭＳ ゴシック" w:hAnsi="ＭＳ ゴシック"/>
                <w:bCs/>
                <w:color w:val="000000" w:themeColor="text1"/>
                <w:szCs w:val="21"/>
              </w:rPr>
              <w:t>0</w:t>
            </w:r>
            <w:r w:rsidRPr="002C3C0F">
              <w:rPr>
                <w:rFonts w:ascii="ＭＳ ゴシック" w:eastAsia="ＭＳ ゴシック" w:hAnsi="ＭＳ ゴシック" w:hint="eastAsia"/>
                <w:bCs/>
                <w:color w:val="000000" w:themeColor="text1"/>
                <w:szCs w:val="21"/>
              </w:rPr>
              <w:t>～39才、4</w:t>
            </w:r>
            <w:r w:rsidRPr="002C3C0F">
              <w:rPr>
                <w:rFonts w:ascii="ＭＳ ゴシック" w:eastAsia="ＭＳ ゴシック" w:hAnsi="ＭＳ ゴシック"/>
                <w:bCs/>
                <w:color w:val="000000" w:themeColor="text1"/>
                <w:szCs w:val="21"/>
              </w:rPr>
              <w:t>0</w:t>
            </w:r>
            <w:r w:rsidRPr="002C3C0F">
              <w:rPr>
                <w:rFonts w:ascii="ＭＳ ゴシック" w:eastAsia="ＭＳ ゴシック" w:hAnsi="ＭＳ ゴシック" w:hint="eastAsia"/>
                <w:bCs/>
                <w:color w:val="000000" w:themeColor="text1"/>
                <w:szCs w:val="21"/>
              </w:rPr>
              <w:t>才～64才、</w:t>
            </w:r>
          </w:p>
          <w:p w14:paraId="44C227C5" w14:textId="3482CACF" w:rsidR="006212A4" w:rsidRPr="002C3C0F" w:rsidRDefault="006212A4" w:rsidP="001E3F4C">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65才～の３区分で按分する。</w:t>
            </w:r>
          </w:p>
          <w:p w14:paraId="677C7E1D" w14:textId="77777777" w:rsidR="006212A4" w:rsidRPr="002C3C0F" w:rsidRDefault="006212A4" w:rsidP="001E3F4C">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■後期高齢特会への繰出</w:t>
            </w:r>
          </w:p>
          <w:p w14:paraId="2DFF1EAA" w14:textId="4907AE1D" w:rsidR="006212A4" w:rsidRPr="002C3C0F" w:rsidRDefault="006212A4" w:rsidP="001E3F4C">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直近の決算額に基づく1人あたり費用に7</w:t>
            </w:r>
            <w:r w:rsidRPr="002C3C0F">
              <w:rPr>
                <w:rFonts w:ascii="ＭＳ ゴシック" w:eastAsia="ＭＳ ゴシック" w:hAnsi="ＭＳ ゴシック"/>
                <w:bCs/>
                <w:color w:val="000000" w:themeColor="text1"/>
                <w:szCs w:val="21"/>
              </w:rPr>
              <w:t>5</w:t>
            </w:r>
            <w:r w:rsidRPr="002C3C0F">
              <w:rPr>
                <w:rFonts w:ascii="ＭＳ ゴシック" w:eastAsia="ＭＳ ゴシック" w:hAnsi="ＭＳ ゴシック" w:hint="eastAsia"/>
                <w:bCs/>
                <w:color w:val="000000" w:themeColor="text1"/>
                <w:szCs w:val="21"/>
              </w:rPr>
              <w:t>歳以上の推計人口を乗じて各年度算出する。</w:t>
            </w:r>
          </w:p>
          <w:p w14:paraId="2F482A76" w14:textId="77777777" w:rsidR="006212A4" w:rsidRPr="002C3C0F" w:rsidRDefault="006212A4" w:rsidP="001E3F4C">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■介護特会への繰出</w:t>
            </w:r>
          </w:p>
          <w:p w14:paraId="7E91CE60" w14:textId="165521AA" w:rsidR="006212A4" w:rsidRPr="002C3C0F" w:rsidRDefault="006212A4" w:rsidP="001E3F4C">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直近の</w:t>
            </w:r>
            <w:r w:rsidRPr="002C3C0F">
              <w:rPr>
                <w:rFonts w:ascii="ＭＳ ゴシック" w:eastAsia="ＭＳ ゴシック" w:hAnsi="ＭＳ ゴシック"/>
                <w:bCs/>
                <w:color w:val="000000" w:themeColor="text1"/>
                <w:szCs w:val="21"/>
              </w:rPr>
              <w:t>決算額</w:t>
            </w:r>
            <w:r w:rsidRPr="002C3C0F">
              <w:rPr>
                <w:rFonts w:ascii="ＭＳ ゴシック" w:eastAsia="ＭＳ ゴシック" w:hAnsi="ＭＳ ゴシック" w:hint="eastAsia"/>
                <w:bCs/>
                <w:color w:val="000000" w:themeColor="text1"/>
                <w:szCs w:val="21"/>
              </w:rPr>
              <w:t>をベースに、府が作成した</w:t>
            </w:r>
            <w:r w:rsidRPr="002C3C0F">
              <w:rPr>
                <w:rFonts w:ascii="ＭＳ ゴシック" w:eastAsia="ＭＳ ゴシック" w:hAnsi="ＭＳ ゴシック"/>
                <w:bCs/>
                <w:color w:val="000000" w:themeColor="text1"/>
                <w:szCs w:val="21"/>
              </w:rPr>
              <w:t>府内全体の介護給付費総額の推計値</w:t>
            </w:r>
            <w:r w:rsidRPr="002C3C0F">
              <w:rPr>
                <w:rFonts w:ascii="ＭＳ ゴシック" w:eastAsia="ＭＳ ゴシック" w:hAnsi="ＭＳ ゴシック" w:hint="eastAsia"/>
                <w:bCs/>
                <w:color w:val="000000" w:themeColor="text1"/>
                <w:szCs w:val="21"/>
              </w:rPr>
              <w:t>の変動率を乗じて各年度算出する。</w:t>
            </w:r>
          </w:p>
          <w:p w14:paraId="3AA72D17" w14:textId="77777777" w:rsidR="006212A4" w:rsidRPr="002C3C0F" w:rsidRDefault="006212A4" w:rsidP="001E3F4C">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■企業会計(水道・下水・病院)への繰出</w:t>
            </w:r>
          </w:p>
          <w:p w14:paraId="3A799AB5" w14:textId="489DCC49" w:rsidR="006212A4" w:rsidRPr="002C3C0F" w:rsidRDefault="006212A4" w:rsidP="001E3F4C">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直近の決算額を</w:t>
            </w:r>
            <w:r w:rsidRPr="002C3C0F">
              <w:rPr>
                <w:rFonts w:ascii="ＭＳ ゴシック" w:eastAsia="ＭＳ ゴシック" w:hAnsi="ＭＳ ゴシック"/>
                <w:bCs/>
                <w:color w:val="000000" w:themeColor="text1"/>
                <w:szCs w:val="21"/>
              </w:rPr>
              <w:t>R</w:t>
            </w:r>
            <w:r w:rsidRPr="002C3C0F">
              <w:rPr>
                <w:rFonts w:ascii="ＭＳ ゴシック" w:eastAsia="ＭＳ ゴシック" w:hAnsi="ＭＳ ゴシック" w:hint="eastAsia"/>
                <w:bCs/>
                <w:color w:val="000000" w:themeColor="text1"/>
                <w:szCs w:val="21"/>
              </w:rPr>
              <w:t>5以降横置きとする。</w:t>
            </w:r>
          </w:p>
          <w:p w14:paraId="6630D2F1" w14:textId="77777777" w:rsidR="006212A4" w:rsidRPr="002C3C0F" w:rsidRDefault="006212A4" w:rsidP="001E3F4C">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ただし、経営戦略上の推計値を使用する（期間後は期間内平均値を横置きとする）ことも可能とする。</w:t>
            </w:r>
          </w:p>
          <w:p w14:paraId="7A194270" w14:textId="77777777" w:rsidR="006212A4" w:rsidRPr="002C3C0F" w:rsidRDefault="006212A4" w:rsidP="001E3F4C">
            <w:pPr>
              <w:spacing w:line="280" w:lineRule="exact"/>
              <w:rPr>
                <w:rFonts w:ascii="ＭＳ ゴシック" w:eastAsia="ＭＳ ゴシック" w:hAnsi="ＭＳ ゴシック"/>
                <w:bCs/>
                <w:color w:val="000000" w:themeColor="text1"/>
                <w:szCs w:val="21"/>
              </w:rPr>
            </w:pPr>
            <w:r w:rsidRPr="002C3C0F">
              <w:rPr>
                <w:rFonts w:ascii="ＭＳ ゴシック" w:eastAsia="ＭＳ ゴシック" w:hAnsi="ＭＳ ゴシック" w:hint="eastAsia"/>
                <w:bCs/>
                <w:color w:val="000000" w:themeColor="text1"/>
                <w:szCs w:val="21"/>
              </w:rPr>
              <w:t>【考え方】</w:t>
            </w:r>
          </w:p>
          <w:p w14:paraId="2A8E6C45" w14:textId="120A69A0" w:rsidR="006212A4" w:rsidRPr="002C3C0F" w:rsidRDefault="00BF2426" w:rsidP="001E3F4C">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bCs/>
                <w:color w:val="000000" w:themeColor="text1"/>
                <w:szCs w:val="21"/>
              </w:rPr>
              <w:t>・</w:t>
            </w:r>
            <w:r w:rsidR="006212A4" w:rsidRPr="002C3C0F">
              <w:rPr>
                <w:rFonts w:ascii="ＭＳ ゴシック" w:eastAsia="ＭＳ ゴシック" w:hAnsi="ＭＳ ゴシック" w:hint="eastAsia"/>
                <w:bCs/>
                <w:color w:val="000000" w:themeColor="text1"/>
                <w:szCs w:val="21"/>
              </w:rPr>
              <w:t>法適用の公営企業会計への繰出しも、補助費等ではなく繰出金として計上する。</w:t>
            </w:r>
          </w:p>
        </w:tc>
      </w:tr>
    </w:tbl>
    <w:p w14:paraId="17F10908" w14:textId="25D37D6E" w:rsidR="00C1084F" w:rsidRDefault="00C1084F" w:rsidP="006B44A8">
      <w:pPr>
        <w:spacing w:line="300" w:lineRule="exact"/>
        <w:rPr>
          <w:rFonts w:ascii="ＭＳ ゴシック" w:eastAsia="ＭＳ ゴシック" w:hAnsi="ＭＳ ゴシック"/>
          <w:color w:val="000000" w:themeColor="text1"/>
          <w:szCs w:val="21"/>
        </w:rPr>
      </w:pPr>
    </w:p>
    <w:p w14:paraId="1A788DA2" w14:textId="77777777" w:rsidR="00ED3884" w:rsidRDefault="00ED3884" w:rsidP="00ED3884">
      <w:pPr>
        <w:rPr>
          <w:rFonts w:ascii="ＭＳ ゴシック" w:eastAsia="ＭＳ ゴシック" w:hAnsi="ＭＳ ゴシック"/>
          <w:color w:val="000000" w:themeColor="text1"/>
          <w:sz w:val="24"/>
          <w:szCs w:val="24"/>
        </w:rPr>
      </w:pPr>
    </w:p>
    <w:sectPr w:rsidR="00ED3884" w:rsidSect="00AF01B7">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4F5B" w14:textId="77777777" w:rsidR="00EA10BA" w:rsidRDefault="00EA10BA" w:rsidP="00396312">
      <w:r>
        <w:separator/>
      </w:r>
    </w:p>
  </w:endnote>
  <w:endnote w:type="continuationSeparator" w:id="0">
    <w:p w14:paraId="361C54FC" w14:textId="77777777" w:rsidR="00EA10BA" w:rsidRDefault="00EA10BA" w:rsidP="0039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8BF6" w14:textId="77777777" w:rsidR="00EA10BA" w:rsidRDefault="00EA10BA" w:rsidP="00396312">
      <w:r>
        <w:separator/>
      </w:r>
    </w:p>
  </w:footnote>
  <w:footnote w:type="continuationSeparator" w:id="0">
    <w:p w14:paraId="004DCFEA" w14:textId="77777777" w:rsidR="00EA10BA" w:rsidRDefault="00EA10BA" w:rsidP="0039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57547"/>
    <w:multiLevelType w:val="hybridMultilevel"/>
    <w:tmpl w:val="2124D778"/>
    <w:lvl w:ilvl="0" w:tplc="32241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A51CA2"/>
    <w:multiLevelType w:val="hybridMultilevel"/>
    <w:tmpl w:val="9BA80C7C"/>
    <w:lvl w:ilvl="0" w:tplc="04DE2A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4F34A2"/>
    <w:multiLevelType w:val="hybridMultilevel"/>
    <w:tmpl w:val="E80CB7C2"/>
    <w:lvl w:ilvl="0" w:tplc="AED4AE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0B1"/>
    <w:rsid w:val="00002A26"/>
    <w:rsid w:val="000068C3"/>
    <w:rsid w:val="000120DD"/>
    <w:rsid w:val="00026836"/>
    <w:rsid w:val="00032C41"/>
    <w:rsid w:val="00036F48"/>
    <w:rsid w:val="00040221"/>
    <w:rsid w:val="000917BD"/>
    <w:rsid w:val="000A66D6"/>
    <w:rsid w:val="000B3478"/>
    <w:rsid w:val="000C5C50"/>
    <w:rsid w:val="000C681C"/>
    <w:rsid w:val="000E326A"/>
    <w:rsid w:val="000E35DB"/>
    <w:rsid w:val="000E5E7D"/>
    <w:rsid w:val="000F10B1"/>
    <w:rsid w:val="000F248B"/>
    <w:rsid w:val="000F56AC"/>
    <w:rsid w:val="000F582E"/>
    <w:rsid w:val="000F784C"/>
    <w:rsid w:val="001477A5"/>
    <w:rsid w:val="001636F9"/>
    <w:rsid w:val="00164230"/>
    <w:rsid w:val="001672FC"/>
    <w:rsid w:val="00171297"/>
    <w:rsid w:val="00175424"/>
    <w:rsid w:val="00186B27"/>
    <w:rsid w:val="00191DD9"/>
    <w:rsid w:val="001A1E39"/>
    <w:rsid w:val="001D4679"/>
    <w:rsid w:val="001E3F4C"/>
    <w:rsid w:val="001E7465"/>
    <w:rsid w:val="001F1388"/>
    <w:rsid w:val="00207FA5"/>
    <w:rsid w:val="00221740"/>
    <w:rsid w:val="0022194C"/>
    <w:rsid w:val="00236429"/>
    <w:rsid w:val="0025255C"/>
    <w:rsid w:val="00285A9C"/>
    <w:rsid w:val="00295A26"/>
    <w:rsid w:val="002A7AB6"/>
    <w:rsid w:val="002C3C0F"/>
    <w:rsid w:val="002E49A0"/>
    <w:rsid w:val="002F23D3"/>
    <w:rsid w:val="00304B53"/>
    <w:rsid w:val="003171FB"/>
    <w:rsid w:val="00323EAF"/>
    <w:rsid w:val="0034327F"/>
    <w:rsid w:val="00361EFD"/>
    <w:rsid w:val="00366C7A"/>
    <w:rsid w:val="0037040A"/>
    <w:rsid w:val="00370D06"/>
    <w:rsid w:val="00371B57"/>
    <w:rsid w:val="003728BA"/>
    <w:rsid w:val="00390578"/>
    <w:rsid w:val="00393D66"/>
    <w:rsid w:val="00396312"/>
    <w:rsid w:val="003A40CF"/>
    <w:rsid w:val="003F2A30"/>
    <w:rsid w:val="004163BF"/>
    <w:rsid w:val="00455E61"/>
    <w:rsid w:val="00461C07"/>
    <w:rsid w:val="00470B61"/>
    <w:rsid w:val="004778B2"/>
    <w:rsid w:val="004A2014"/>
    <w:rsid w:val="004A26EE"/>
    <w:rsid w:val="004A2985"/>
    <w:rsid w:val="004A3A1C"/>
    <w:rsid w:val="004A3C85"/>
    <w:rsid w:val="004A4D48"/>
    <w:rsid w:val="004A71CC"/>
    <w:rsid w:val="004B4B9D"/>
    <w:rsid w:val="004C08BF"/>
    <w:rsid w:val="004C756C"/>
    <w:rsid w:val="004C785A"/>
    <w:rsid w:val="004D2F43"/>
    <w:rsid w:val="00503D4B"/>
    <w:rsid w:val="00517750"/>
    <w:rsid w:val="00546362"/>
    <w:rsid w:val="0056024E"/>
    <w:rsid w:val="00566C20"/>
    <w:rsid w:val="0056721A"/>
    <w:rsid w:val="00570179"/>
    <w:rsid w:val="00570F5F"/>
    <w:rsid w:val="005809C1"/>
    <w:rsid w:val="005A4AA1"/>
    <w:rsid w:val="005A6A00"/>
    <w:rsid w:val="005B3D91"/>
    <w:rsid w:val="005B5A05"/>
    <w:rsid w:val="005C3041"/>
    <w:rsid w:val="005C57FF"/>
    <w:rsid w:val="005D3A9A"/>
    <w:rsid w:val="005F212B"/>
    <w:rsid w:val="006212A4"/>
    <w:rsid w:val="00622B1C"/>
    <w:rsid w:val="006268EB"/>
    <w:rsid w:val="006368A2"/>
    <w:rsid w:val="00651FDF"/>
    <w:rsid w:val="00653077"/>
    <w:rsid w:val="00661C28"/>
    <w:rsid w:val="006964C7"/>
    <w:rsid w:val="006A6878"/>
    <w:rsid w:val="006B34A5"/>
    <w:rsid w:val="006B44A8"/>
    <w:rsid w:val="006C3282"/>
    <w:rsid w:val="006C50B2"/>
    <w:rsid w:val="006D3068"/>
    <w:rsid w:val="006E59C2"/>
    <w:rsid w:val="00701902"/>
    <w:rsid w:val="0074491B"/>
    <w:rsid w:val="00747907"/>
    <w:rsid w:val="00752C38"/>
    <w:rsid w:val="00763B52"/>
    <w:rsid w:val="0079338D"/>
    <w:rsid w:val="00793F1C"/>
    <w:rsid w:val="00794655"/>
    <w:rsid w:val="007B0EF1"/>
    <w:rsid w:val="007C5A89"/>
    <w:rsid w:val="007C6112"/>
    <w:rsid w:val="007D0AB2"/>
    <w:rsid w:val="007D5049"/>
    <w:rsid w:val="007D7684"/>
    <w:rsid w:val="007E11C9"/>
    <w:rsid w:val="007E58B5"/>
    <w:rsid w:val="008065CE"/>
    <w:rsid w:val="00812DC9"/>
    <w:rsid w:val="00813D05"/>
    <w:rsid w:val="00825158"/>
    <w:rsid w:val="00825CF6"/>
    <w:rsid w:val="00833EAC"/>
    <w:rsid w:val="00840B3F"/>
    <w:rsid w:val="00851210"/>
    <w:rsid w:val="008717C8"/>
    <w:rsid w:val="00871A9E"/>
    <w:rsid w:val="0088365D"/>
    <w:rsid w:val="00886A53"/>
    <w:rsid w:val="008B167E"/>
    <w:rsid w:val="008D154E"/>
    <w:rsid w:val="008E253F"/>
    <w:rsid w:val="00914488"/>
    <w:rsid w:val="00940623"/>
    <w:rsid w:val="00950D44"/>
    <w:rsid w:val="00953AA0"/>
    <w:rsid w:val="0096505D"/>
    <w:rsid w:val="00966D76"/>
    <w:rsid w:val="00975605"/>
    <w:rsid w:val="00993DFA"/>
    <w:rsid w:val="009A4337"/>
    <w:rsid w:val="009F5CD4"/>
    <w:rsid w:val="009F7EE5"/>
    <w:rsid w:val="00A14C6F"/>
    <w:rsid w:val="00A32B68"/>
    <w:rsid w:val="00A37656"/>
    <w:rsid w:val="00A5096E"/>
    <w:rsid w:val="00A515B4"/>
    <w:rsid w:val="00A92EA7"/>
    <w:rsid w:val="00AB28F9"/>
    <w:rsid w:val="00AB427B"/>
    <w:rsid w:val="00AD423B"/>
    <w:rsid w:val="00AD43BA"/>
    <w:rsid w:val="00AE2A04"/>
    <w:rsid w:val="00AE660B"/>
    <w:rsid w:val="00AF01B7"/>
    <w:rsid w:val="00B04CA1"/>
    <w:rsid w:val="00B06F10"/>
    <w:rsid w:val="00B13AFB"/>
    <w:rsid w:val="00B15767"/>
    <w:rsid w:val="00B200F9"/>
    <w:rsid w:val="00B306A2"/>
    <w:rsid w:val="00B46630"/>
    <w:rsid w:val="00B47C3A"/>
    <w:rsid w:val="00B50F60"/>
    <w:rsid w:val="00B66496"/>
    <w:rsid w:val="00B86527"/>
    <w:rsid w:val="00B92797"/>
    <w:rsid w:val="00BA1A8B"/>
    <w:rsid w:val="00BC065E"/>
    <w:rsid w:val="00BD152C"/>
    <w:rsid w:val="00BE78E9"/>
    <w:rsid w:val="00BE7DE9"/>
    <w:rsid w:val="00BF0EAF"/>
    <w:rsid w:val="00BF2426"/>
    <w:rsid w:val="00C1084F"/>
    <w:rsid w:val="00C17533"/>
    <w:rsid w:val="00C4455E"/>
    <w:rsid w:val="00C62CB5"/>
    <w:rsid w:val="00C63AD2"/>
    <w:rsid w:val="00C81146"/>
    <w:rsid w:val="00C86806"/>
    <w:rsid w:val="00CB2BD3"/>
    <w:rsid w:val="00D005C5"/>
    <w:rsid w:val="00D41A0B"/>
    <w:rsid w:val="00D531A1"/>
    <w:rsid w:val="00D64105"/>
    <w:rsid w:val="00D848E6"/>
    <w:rsid w:val="00D914A7"/>
    <w:rsid w:val="00D9635B"/>
    <w:rsid w:val="00DA3362"/>
    <w:rsid w:val="00DB658A"/>
    <w:rsid w:val="00DC3D8D"/>
    <w:rsid w:val="00E1220B"/>
    <w:rsid w:val="00E1445D"/>
    <w:rsid w:val="00E177FE"/>
    <w:rsid w:val="00E321D8"/>
    <w:rsid w:val="00E358D6"/>
    <w:rsid w:val="00E359A6"/>
    <w:rsid w:val="00E70294"/>
    <w:rsid w:val="00E81F75"/>
    <w:rsid w:val="00E9039B"/>
    <w:rsid w:val="00EA10BA"/>
    <w:rsid w:val="00EA41A2"/>
    <w:rsid w:val="00EA5FDA"/>
    <w:rsid w:val="00EB01E6"/>
    <w:rsid w:val="00EB1C86"/>
    <w:rsid w:val="00ED3314"/>
    <w:rsid w:val="00ED387C"/>
    <w:rsid w:val="00ED3884"/>
    <w:rsid w:val="00EF1D07"/>
    <w:rsid w:val="00F061D4"/>
    <w:rsid w:val="00F161C3"/>
    <w:rsid w:val="00F46AA0"/>
    <w:rsid w:val="00F51CB6"/>
    <w:rsid w:val="00F520F7"/>
    <w:rsid w:val="00F61CD2"/>
    <w:rsid w:val="00F64D82"/>
    <w:rsid w:val="00F64F6C"/>
    <w:rsid w:val="00F7319F"/>
    <w:rsid w:val="00F821D6"/>
    <w:rsid w:val="00F9044D"/>
    <w:rsid w:val="00F90A1E"/>
    <w:rsid w:val="00FA539E"/>
    <w:rsid w:val="00FE0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0642A"/>
  <w15:chartTrackingRefBased/>
  <w15:docId w15:val="{2A38FDB8-4776-49E5-9CCC-C7DD9FCF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14C6F"/>
    <w:rPr>
      <w:sz w:val="18"/>
      <w:szCs w:val="18"/>
    </w:rPr>
  </w:style>
  <w:style w:type="paragraph" w:styleId="a5">
    <w:name w:val="annotation text"/>
    <w:basedOn w:val="a"/>
    <w:link w:val="a6"/>
    <w:uiPriority w:val="99"/>
    <w:semiHidden/>
    <w:unhideWhenUsed/>
    <w:rsid w:val="00A14C6F"/>
    <w:pPr>
      <w:jc w:val="left"/>
    </w:pPr>
  </w:style>
  <w:style w:type="character" w:customStyle="1" w:styleId="a6">
    <w:name w:val="コメント文字列 (文字)"/>
    <w:basedOn w:val="a0"/>
    <w:link w:val="a5"/>
    <w:uiPriority w:val="99"/>
    <w:semiHidden/>
    <w:rsid w:val="00A14C6F"/>
  </w:style>
  <w:style w:type="paragraph" w:styleId="a7">
    <w:name w:val="annotation subject"/>
    <w:basedOn w:val="a5"/>
    <w:next w:val="a5"/>
    <w:link w:val="a8"/>
    <w:uiPriority w:val="99"/>
    <w:semiHidden/>
    <w:unhideWhenUsed/>
    <w:rsid w:val="00A14C6F"/>
    <w:rPr>
      <w:b/>
      <w:bCs/>
    </w:rPr>
  </w:style>
  <w:style w:type="character" w:customStyle="1" w:styleId="a8">
    <w:name w:val="コメント内容 (文字)"/>
    <w:basedOn w:val="a6"/>
    <w:link w:val="a7"/>
    <w:uiPriority w:val="99"/>
    <w:semiHidden/>
    <w:rsid w:val="00A14C6F"/>
    <w:rPr>
      <w:b/>
      <w:bCs/>
    </w:rPr>
  </w:style>
  <w:style w:type="paragraph" w:styleId="a9">
    <w:name w:val="Balloon Text"/>
    <w:basedOn w:val="a"/>
    <w:link w:val="aa"/>
    <w:uiPriority w:val="99"/>
    <w:semiHidden/>
    <w:unhideWhenUsed/>
    <w:rsid w:val="00A14C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4C6F"/>
    <w:rPr>
      <w:rFonts w:asciiTheme="majorHAnsi" w:eastAsiaTheme="majorEastAsia" w:hAnsiTheme="majorHAnsi" w:cstheme="majorBidi"/>
      <w:sz w:val="18"/>
      <w:szCs w:val="18"/>
    </w:rPr>
  </w:style>
  <w:style w:type="paragraph" w:styleId="ab">
    <w:name w:val="header"/>
    <w:basedOn w:val="a"/>
    <w:link w:val="ac"/>
    <w:uiPriority w:val="99"/>
    <w:unhideWhenUsed/>
    <w:rsid w:val="00396312"/>
    <w:pPr>
      <w:tabs>
        <w:tab w:val="center" w:pos="4252"/>
        <w:tab w:val="right" w:pos="8504"/>
      </w:tabs>
      <w:snapToGrid w:val="0"/>
    </w:pPr>
  </w:style>
  <w:style w:type="character" w:customStyle="1" w:styleId="ac">
    <w:name w:val="ヘッダー (文字)"/>
    <w:basedOn w:val="a0"/>
    <w:link w:val="ab"/>
    <w:uiPriority w:val="99"/>
    <w:rsid w:val="00396312"/>
  </w:style>
  <w:style w:type="paragraph" w:styleId="ad">
    <w:name w:val="footer"/>
    <w:basedOn w:val="a"/>
    <w:link w:val="ae"/>
    <w:uiPriority w:val="99"/>
    <w:unhideWhenUsed/>
    <w:rsid w:val="00396312"/>
    <w:pPr>
      <w:tabs>
        <w:tab w:val="center" w:pos="4252"/>
        <w:tab w:val="right" w:pos="8504"/>
      </w:tabs>
      <w:snapToGrid w:val="0"/>
    </w:pPr>
  </w:style>
  <w:style w:type="character" w:customStyle="1" w:styleId="ae">
    <w:name w:val="フッター (文字)"/>
    <w:basedOn w:val="a0"/>
    <w:link w:val="ad"/>
    <w:uiPriority w:val="99"/>
    <w:rsid w:val="00396312"/>
  </w:style>
  <w:style w:type="paragraph" w:styleId="af">
    <w:name w:val="List Paragraph"/>
    <w:basedOn w:val="a"/>
    <w:uiPriority w:val="34"/>
    <w:qFormat/>
    <w:rsid w:val="00323EAF"/>
    <w:pPr>
      <w:ind w:leftChars="400" w:left="840"/>
    </w:pPr>
  </w:style>
  <w:style w:type="paragraph" w:styleId="af0">
    <w:name w:val="Revision"/>
    <w:hidden/>
    <w:uiPriority w:val="99"/>
    <w:semiHidden/>
    <w:rsid w:val="005B3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5153">
      <w:bodyDiv w:val="1"/>
      <w:marLeft w:val="0"/>
      <w:marRight w:val="0"/>
      <w:marTop w:val="0"/>
      <w:marBottom w:val="0"/>
      <w:divBdr>
        <w:top w:val="none" w:sz="0" w:space="0" w:color="auto"/>
        <w:left w:val="none" w:sz="0" w:space="0" w:color="auto"/>
        <w:bottom w:val="none" w:sz="0" w:space="0" w:color="auto"/>
        <w:right w:val="none" w:sz="0" w:space="0" w:color="auto"/>
      </w:divBdr>
    </w:div>
    <w:div w:id="11805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3B0D-09E1-4C95-B9BD-1AD52A87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636</Words>
  <Characters>3630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有佑</dc:creator>
  <cp:keywords/>
  <dc:description/>
  <cp:lastModifiedBy>中村　有佑</cp:lastModifiedBy>
  <cp:revision>5</cp:revision>
  <cp:lastPrinted>2024-02-29T06:54:00Z</cp:lastPrinted>
  <dcterms:created xsi:type="dcterms:W3CDTF">2024-03-15T04:50:00Z</dcterms:created>
  <dcterms:modified xsi:type="dcterms:W3CDTF">2024-03-15T04:56:00Z</dcterms:modified>
</cp:coreProperties>
</file>