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4010" w:rsidRPr="00854010" w:rsidRDefault="002E3163" w:rsidP="00854010">
      <w:pPr>
        <w:spacing w:line="0" w:lineRule="atLeast"/>
        <w:ind w:rightChars="187" w:right="393"/>
        <w:jc w:val="center"/>
        <w:rPr>
          <w:rFonts w:ascii="Meiryo UI" w:eastAsia="Meiryo UI" w:hAnsi="Meiryo UI"/>
          <w:b/>
          <w:sz w:val="36"/>
          <w:szCs w:val="18"/>
        </w:rPr>
      </w:pPr>
      <w:r w:rsidRPr="00854010">
        <w:rPr>
          <w:rFonts w:ascii="Meiryo UI" w:eastAsia="Meiryo UI" w:hAnsi="Meiryo UI"/>
          <w:b/>
          <w:noProof/>
          <w:sz w:val="36"/>
          <w:szCs w:val="18"/>
        </w:rPr>
        <mc:AlternateContent>
          <mc:Choice Requires="wps">
            <w:drawing>
              <wp:anchor distT="0" distB="0" distL="114300" distR="114300" simplePos="0" relativeHeight="251659264" behindDoc="0" locked="0" layoutInCell="1" allowOverlap="1">
                <wp:simplePos x="0" y="0"/>
                <wp:positionH relativeFrom="column">
                  <wp:posOffset>7454265</wp:posOffset>
                </wp:positionH>
                <wp:positionV relativeFrom="paragraph">
                  <wp:posOffset>-528320</wp:posOffset>
                </wp:positionV>
                <wp:extent cx="12287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28725" cy="4762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2E3163" w:rsidRPr="002E3163" w:rsidRDefault="002E3163" w:rsidP="002E3163">
                            <w:pPr>
                              <w:jc w:val="center"/>
                              <w:rPr>
                                <w:rFonts w:ascii="Meiryo UI" w:eastAsia="Meiryo UI" w:hAnsi="Meiryo UI"/>
                                <w:b/>
                                <w:sz w:val="32"/>
                              </w:rPr>
                            </w:pPr>
                            <w:r w:rsidRPr="002E3163">
                              <w:rPr>
                                <w:rFonts w:ascii="Meiryo UI" w:eastAsia="Meiryo UI" w:hAnsi="Meiryo UI" w:hint="eastAsia"/>
                                <w:b/>
                                <w:sz w:val="32"/>
                              </w:rPr>
                              <w:t>資料</w:t>
                            </w:r>
                            <w:r w:rsidR="00244231">
                              <w:rPr>
                                <w:rFonts w:ascii="Meiryo UI" w:eastAsia="Meiryo UI" w:hAnsi="Meiryo UI" w:hint="eastAsia"/>
                                <w:b/>
                                <w:sz w:val="32"/>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86.95pt;margin-top:-41.6pt;width:96.7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" fillcolor="#002060" strokecolor="#1f4d78 [1604]" strokeweight="1pt">
                <v:textbox>
                  <w:txbxContent>
                    <w:p w:rsidR="002E3163" w:rsidRPr="002E3163" w:rsidRDefault="002E3163" w:rsidP="002E3163">
                      <w:pPr>
                        <w:jc w:val="center"/>
                        <w:rPr>
                          <w:rFonts w:ascii="Meiryo UI" w:eastAsia="Meiryo UI" w:hAnsi="Meiryo UI" w:hint="eastAsia"/>
                          <w:b/>
                          <w:sz w:val="32"/>
                        </w:rPr>
                      </w:pPr>
                      <w:r w:rsidRPr="002E3163">
                        <w:rPr>
                          <w:rFonts w:ascii="Meiryo UI" w:eastAsia="Meiryo UI" w:hAnsi="Meiryo UI" w:hint="eastAsia"/>
                          <w:b/>
                          <w:sz w:val="32"/>
                        </w:rPr>
                        <w:t>資料</w:t>
                      </w:r>
                      <w:r w:rsidR="00244231">
                        <w:rPr>
                          <w:rFonts w:ascii="Meiryo UI" w:eastAsia="Meiryo UI" w:hAnsi="Meiryo UI" w:hint="eastAsia"/>
                          <w:b/>
                          <w:sz w:val="32"/>
                        </w:rPr>
                        <w:t>９</w:t>
                      </w:r>
                      <w:bookmarkStart w:id="1" w:name="_GoBack"/>
                      <w:bookmarkEnd w:id="1"/>
                    </w:p>
                  </w:txbxContent>
                </v:textbox>
              </v:rect>
            </w:pict>
          </mc:Fallback>
        </mc:AlternateContent>
      </w:r>
      <w:r w:rsidR="00E04A0F" w:rsidRPr="00854010">
        <w:rPr>
          <w:rFonts w:ascii="Meiryo UI" w:eastAsia="Meiryo UI" w:hAnsi="Meiryo UI"/>
          <w:b/>
          <w:sz w:val="36"/>
          <w:szCs w:val="18"/>
        </w:rPr>
        <w:t>R3経営目標にかかる委員意見</w:t>
      </w:r>
    </w:p>
    <w:tbl>
      <w:tblPr>
        <w:tblStyle w:val="a3"/>
        <w:tblW w:w="13674" w:type="dxa"/>
        <w:tblLook w:val="04A0" w:firstRow="1" w:lastRow="0" w:firstColumn="1" w:lastColumn="0" w:noHBand="0" w:noVBand="1"/>
      </w:tblPr>
      <w:tblGrid>
        <w:gridCol w:w="492"/>
        <w:gridCol w:w="1630"/>
        <w:gridCol w:w="3118"/>
        <w:gridCol w:w="8434"/>
      </w:tblGrid>
      <w:tr w:rsidR="00CB7E87" w:rsidRPr="00E04A0F" w:rsidTr="00AC67CC">
        <w:trPr>
          <w:trHeight w:val="523"/>
        </w:trPr>
        <w:tc>
          <w:tcPr>
            <w:tcW w:w="492" w:type="dxa"/>
            <w:shd w:val="clear" w:color="auto" w:fill="002060"/>
          </w:tcPr>
          <w:p w:rsidR="00CB7E87" w:rsidRPr="00E04A0F" w:rsidRDefault="00CB7E87" w:rsidP="00765D66">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right w:val="single" w:sz="4" w:space="0" w:color="FFFFFF" w:themeColor="background1"/>
            </w:tcBorders>
            <w:shd w:val="clear" w:color="auto" w:fill="002060"/>
            <w:vAlign w:val="center"/>
          </w:tcPr>
          <w:p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tcBorders>
            <w:shd w:val="clear" w:color="auto" w:fill="002060"/>
            <w:vAlign w:val="center"/>
          </w:tcPr>
          <w:p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854010" w:rsidRPr="00E04A0F" w:rsidTr="00854010">
        <w:trPr>
          <w:trHeight w:val="3326"/>
        </w:trPr>
        <w:tc>
          <w:tcPr>
            <w:tcW w:w="492" w:type="dxa"/>
            <w:vMerge w:val="restart"/>
            <w:vAlign w:val="center"/>
          </w:tcPr>
          <w:p w:rsidR="00854010" w:rsidRPr="00E04A0F" w:rsidRDefault="00854010" w:rsidP="00CB7E8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５月10日</w:t>
            </w:r>
          </w:p>
        </w:tc>
        <w:tc>
          <w:tcPr>
            <w:tcW w:w="1630" w:type="dxa"/>
            <w:vMerge w:val="restart"/>
            <w:vAlign w:val="center"/>
          </w:tcPr>
          <w:p w:rsidR="00854010" w:rsidRPr="00E04A0F" w:rsidRDefault="00854010" w:rsidP="00CB7E87">
            <w:pPr>
              <w:spacing w:line="0" w:lineRule="atLeast"/>
              <w:rPr>
                <w:rFonts w:ascii="ＭＳ ゴシック" w:eastAsia="ＭＳ ゴシック" w:hAnsi="ＭＳ ゴシック"/>
                <w:sz w:val="18"/>
                <w:szCs w:val="18"/>
              </w:rPr>
            </w:pPr>
            <w:r w:rsidRPr="00E04A0F">
              <w:rPr>
                <w:rFonts w:ascii="ＭＳ ゴシック" w:eastAsia="ＭＳ ゴシック" w:hAnsi="ＭＳ ゴシック" w:hint="eastAsia"/>
                <w:sz w:val="18"/>
                <w:szCs w:val="18"/>
              </w:rPr>
              <w:t>（公財）大阪国際平和センター</w:t>
            </w:r>
          </w:p>
        </w:tc>
        <w:tc>
          <w:tcPr>
            <w:tcW w:w="3118" w:type="dxa"/>
          </w:tcPr>
          <w:p w:rsidR="00854010" w:rsidRPr="00462117" w:rsidRDefault="00854010"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オンラインやアプリの利用について、成果測定指標とすることを検討してほしい。</w:t>
            </w:r>
          </w:p>
        </w:tc>
        <w:tc>
          <w:tcPr>
            <w:tcW w:w="8434" w:type="dxa"/>
            <w:vAlign w:val="center"/>
          </w:tcPr>
          <w:p w:rsidR="00854010" w:rsidRPr="00462117" w:rsidRDefault="00854010" w:rsidP="00854010">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ピースおおさかのミッションにも記載のとおり、戦争の悲惨さ・平和の尊さを次の世代へ伝え平和学習を推進していくためには、実際に展示されている資料や情報等の実物に触れ、自身で感じ考えることが何よりも重要であると考えている。</w:t>
            </w:r>
          </w:p>
          <w:p w:rsidR="00854010" w:rsidRPr="00462117" w:rsidRDefault="00854010" w:rsidP="00854010">
            <w:pPr>
              <w:spacing w:line="0" w:lineRule="atLeast"/>
              <w:rPr>
                <w:rFonts w:ascii="ＭＳ ゴシック" w:eastAsia="ＭＳ ゴシック" w:hAnsi="ＭＳ ゴシック"/>
                <w:sz w:val="18"/>
                <w:szCs w:val="18"/>
              </w:rPr>
            </w:pPr>
          </w:p>
          <w:p w:rsidR="00854010" w:rsidRPr="00462117" w:rsidRDefault="00854010" w:rsidP="00854010">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○一方で、現在のコロナ禍の状況を踏まえ、委員からご意見をいただいたオンライン化への対応については、平和学習を推進するための補完的な役割等としても、その必要性は財団としても認識している。</w:t>
            </w:r>
          </w:p>
          <w:p w:rsidR="00854010" w:rsidRPr="00462117" w:rsidRDefault="00854010" w:rsidP="00854010">
            <w:pPr>
              <w:spacing w:line="0" w:lineRule="atLeast"/>
              <w:rPr>
                <w:rFonts w:ascii="ＭＳ ゴシック" w:eastAsia="ＭＳ ゴシック" w:hAnsi="ＭＳ ゴシック"/>
                <w:sz w:val="18"/>
                <w:szCs w:val="18"/>
              </w:rPr>
            </w:pPr>
          </w:p>
          <w:p w:rsidR="00854010" w:rsidRPr="00462117" w:rsidRDefault="00854010" w:rsidP="00854010">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○当法人は収益事業を有していないこと、学芸員が</w:t>
            </w:r>
            <w:r w:rsidRPr="00462117">
              <w:rPr>
                <w:rFonts w:ascii="ＭＳ ゴシック" w:eastAsia="ＭＳ ゴシック" w:hAnsi="ＭＳ ゴシック"/>
                <w:sz w:val="18"/>
                <w:szCs w:val="18"/>
              </w:rPr>
              <w:t>2名しか在籍していないこと等</w:t>
            </w:r>
            <w:r w:rsidR="0050155C" w:rsidRPr="00462117">
              <w:rPr>
                <w:rFonts w:ascii="ＭＳ ゴシック" w:eastAsia="ＭＳ ゴシック" w:hAnsi="ＭＳ ゴシック" w:hint="eastAsia"/>
                <w:sz w:val="18"/>
                <w:szCs w:val="18"/>
              </w:rPr>
              <w:t>、</w:t>
            </w:r>
            <w:r w:rsidRPr="00462117">
              <w:rPr>
                <w:rFonts w:ascii="ＭＳ ゴシック" w:eastAsia="ＭＳ ゴシック" w:hAnsi="ＭＳ ゴシック"/>
                <w:sz w:val="18"/>
                <w:szCs w:val="18"/>
              </w:rPr>
              <w:t>コストやマンパワー</w:t>
            </w:r>
            <w:r w:rsidR="0050155C" w:rsidRPr="00462117">
              <w:rPr>
                <w:rFonts w:ascii="ＭＳ ゴシック" w:eastAsia="ＭＳ ゴシック" w:hAnsi="ＭＳ ゴシック" w:hint="eastAsia"/>
                <w:sz w:val="18"/>
                <w:szCs w:val="18"/>
              </w:rPr>
              <w:t>面で</w:t>
            </w:r>
            <w:r w:rsidRPr="00462117">
              <w:rPr>
                <w:rFonts w:ascii="ＭＳ ゴシック" w:eastAsia="ＭＳ ゴシック" w:hAnsi="ＭＳ ゴシック"/>
                <w:sz w:val="18"/>
                <w:szCs w:val="18"/>
              </w:rPr>
              <w:t>の制限が</w:t>
            </w:r>
            <w:r w:rsidR="00DB0B8C" w:rsidRPr="00462117">
              <w:rPr>
                <w:rFonts w:ascii="ＭＳ ゴシック" w:eastAsia="ＭＳ ゴシック" w:hAnsi="ＭＳ ゴシック"/>
                <w:sz w:val="18"/>
                <w:szCs w:val="18"/>
              </w:rPr>
              <w:t>あるが、引き続き</w:t>
            </w:r>
            <w:r w:rsidRPr="00462117">
              <w:rPr>
                <w:rFonts w:ascii="ＭＳ ゴシック" w:eastAsia="ＭＳ ゴシック" w:hAnsi="ＭＳ ゴシック"/>
                <w:sz w:val="18"/>
                <w:szCs w:val="18"/>
              </w:rPr>
              <w:t>どういったことができるか</w:t>
            </w:r>
            <w:r w:rsidR="00DB0B8C" w:rsidRPr="00462117">
              <w:rPr>
                <w:rFonts w:ascii="ＭＳ ゴシック" w:eastAsia="ＭＳ ゴシック" w:hAnsi="ＭＳ ゴシック" w:hint="eastAsia"/>
                <w:sz w:val="18"/>
                <w:szCs w:val="18"/>
              </w:rPr>
              <w:t>を</w:t>
            </w:r>
            <w:r w:rsidRPr="00462117">
              <w:rPr>
                <w:rFonts w:ascii="ＭＳ ゴシック" w:eastAsia="ＭＳ ゴシック" w:hAnsi="ＭＳ ゴシック"/>
                <w:sz w:val="18"/>
                <w:szCs w:val="18"/>
              </w:rPr>
              <w:t>含め、慎重に検討を進めていきたい。</w:t>
            </w:r>
          </w:p>
          <w:p w:rsidR="00854010" w:rsidRPr="00462117" w:rsidRDefault="00854010" w:rsidP="00854010">
            <w:pPr>
              <w:spacing w:line="0" w:lineRule="atLeast"/>
              <w:rPr>
                <w:rFonts w:ascii="ＭＳ ゴシック" w:eastAsia="ＭＳ ゴシック" w:hAnsi="ＭＳ ゴシック"/>
                <w:sz w:val="18"/>
                <w:szCs w:val="18"/>
              </w:rPr>
            </w:pPr>
          </w:p>
          <w:p w:rsidR="00854010" w:rsidRPr="00462117" w:rsidRDefault="00854010" w:rsidP="00854010">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○また、これらの状況も踏まえ、既存の成果測定指標との比較</w:t>
            </w:r>
            <w:r w:rsidR="009D52AD" w:rsidRPr="00462117">
              <w:rPr>
                <w:rFonts w:ascii="ＭＳ ゴシック" w:eastAsia="ＭＳ ゴシック" w:hAnsi="ＭＳ ゴシック" w:hint="eastAsia"/>
                <w:sz w:val="18"/>
                <w:szCs w:val="18"/>
              </w:rPr>
              <w:t>衡量</w:t>
            </w:r>
            <w:r w:rsidRPr="00462117">
              <w:rPr>
                <w:rFonts w:ascii="ＭＳ ゴシック" w:eastAsia="ＭＳ ゴシック" w:hAnsi="ＭＳ ゴシック" w:hint="eastAsia"/>
                <w:sz w:val="18"/>
                <w:szCs w:val="18"/>
              </w:rPr>
              <w:t>を行った上で次年度以降の成果測定指標への反映の適否等についても併せて検討を行っていきたい。</w:t>
            </w:r>
          </w:p>
        </w:tc>
      </w:tr>
      <w:tr w:rsidR="00854010" w:rsidRPr="00E04A0F" w:rsidTr="009D52AD">
        <w:trPr>
          <w:trHeight w:val="4887"/>
        </w:trPr>
        <w:tc>
          <w:tcPr>
            <w:tcW w:w="492" w:type="dxa"/>
            <w:vMerge/>
          </w:tcPr>
          <w:p w:rsidR="00854010" w:rsidRPr="00E04A0F" w:rsidRDefault="00854010" w:rsidP="00E04A0F">
            <w:pPr>
              <w:spacing w:line="0" w:lineRule="atLeast"/>
              <w:rPr>
                <w:rFonts w:ascii="ＭＳ ゴシック" w:eastAsia="ＭＳ ゴシック" w:hAnsi="ＭＳ ゴシック"/>
                <w:sz w:val="18"/>
                <w:szCs w:val="18"/>
              </w:rPr>
            </w:pPr>
          </w:p>
        </w:tc>
        <w:tc>
          <w:tcPr>
            <w:tcW w:w="1630" w:type="dxa"/>
            <w:vMerge/>
          </w:tcPr>
          <w:p w:rsidR="00854010" w:rsidRPr="00E04A0F" w:rsidRDefault="00854010" w:rsidP="00E04A0F">
            <w:pPr>
              <w:spacing w:line="0" w:lineRule="atLeast"/>
              <w:rPr>
                <w:rFonts w:ascii="ＭＳ ゴシック" w:eastAsia="ＭＳ ゴシック" w:hAnsi="ＭＳ ゴシック"/>
                <w:sz w:val="18"/>
                <w:szCs w:val="18"/>
              </w:rPr>
            </w:pPr>
          </w:p>
        </w:tc>
        <w:tc>
          <w:tcPr>
            <w:tcW w:w="3118" w:type="dxa"/>
          </w:tcPr>
          <w:p w:rsidR="00854010" w:rsidRPr="00462117" w:rsidRDefault="00854010"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法人が能動的に動ける部分（資料貸出など）のウエイトを上げるべきではないか。</w:t>
            </w:r>
          </w:p>
        </w:tc>
        <w:tc>
          <w:tcPr>
            <w:tcW w:w="8434" w:type="dxa"/>
          </w:tcPr>
          <w:p w:rsidR="00854010" w:rsidRPr="00462117" w:rsidRDefault="00854010" w:rsidP="009D52AD">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○能動的な指標として委員よりご意見をいただいた「貸出資料利用件数」については、学校からの貸出依頼が主となっている。</w:t>
            </w:r>
          </w:p>
          <w:p w:rsidR="00854010" w:rsidRPr="00462117" w:rsidRDefault="00854010" w:rsidP="009D52AD">
            <w:pPr>
              <w:spacing w:line="0" w:lineRule="atLeast"/>
              <w:rPr>
                <w:rFonts w:ascii="ＭＳ ゴシック" w:eastAsia="ＭＳ ゴシック" w:hAnsi="ＭＳ ゴシック"/>
                <w:sz w:val="18"/>
                <w:szCs w:val="18"/>
              </w:rPr>
            </w:pPr>
          </w:p>
          <w:p w:rsidR="00854010" w:rsidRPr="00462117" w:rsidRDefault="00854010" w:rsidP="009D52AD">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利用目的としては、修学旅行や校外学習前の事前準備の学習利用や、人権週間等の際の学校内での全体展示が多くを占めている状況にあるが、修学旅行や校外学習の中止・延期・縮小、密回避のために学校での全体展示会等の中止・縮小、学習カリキュラムの遅延による人権関係の学習時間の見直し等、法人の能動的な取り組みに関わらず、令和２年度と同様、コロナ禍の影響に左右され、件数が減少している状況である。</w:t>
            </w:r>
          </w:p>
          <w:p w:rsidR="00854010" w:rsidRPr="00462117" w:rsidRDefault="00854010" w:rsidP="009D52AD">
            <w:pPr>
              <w:spacing w:line="0" w:lineRule="atLeast"/>
              <w:rPr>
                <w:rFonts w:ascii="ＭＳ ゴシック" w:eastAsia="ＭＳ ゴシック" w:hAnsi="ＭＳ ゴシック"/>
                <w:sz w:val="18"/>
                <w:szCs w:val="18"/>
              </w:rPr>
            </w:pPr>
          </w:p>
          <w:p w:rsidR="00854010" w:rsidRPr="00462117" w:rsidRDefault="00854010" w:rsidP="009D52AD">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○また、「出かける展示」についても同様に展示自体ができなくなるケースなど、コロナ禍の影響により実施回数が左右され、法人の能動的な取り組みの成果の反映が難しい状況である。</w:t>
            </w:r>
          </w:p>
          <w:p w:rsidR="00854010" w:rsidRPr="00462117" w:rsidRDefault="00854010" w:rsidP="009D52AD">
            <w:pPr>
              <w:spacing w:line="0" w:lineRule="atLeast"/>
              <w:rPr>
                <w:rFonts w:ascii="ＭＳ ゴシック" w:eastAsia="ＭＳ ゴシック" w:hAnsi="ＭＳ ゴシック"/>
                <w:sz w:val="18"/>
                <w:szCs w:val="18"/>
              </w:rPr>
            </w:pPr>
          </w:p>
          <w:p w:rsidR="00854010" w:rsidRPr="00462117" w:rsidRDefault="00854010" w:rsidP="009D52AD">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○こうした状況を踏まえ、両指標とも、「入館者数」と同様にコロナの影響を受ける性質の目標であると考えられるため、財団及び所管課としては令和２年度と同様のウエイトの設定としたい。</w:t>
            </w:r>
          </w:p>
          <w:p w:rsidR="00854010" w:rsidRPr="00462117" w:rsidRDefault="00854010" w:rsidP="009D52AD">
            <w:pPr>
              <w:spacing w:line="0" w:lineRule="atLeast"/>
              <w:rPr>
                <w:rFonts w:ascii="ＭＳ ゴシック" w:eastAsia="ＭＳ ゴシック" w:hAnsi="ＭＳ ゴシック"/>
                <w:sz w:val="18"/>
                <w:szCs w:val="18"/>
              </w:rPr>
            </w:pPr>
          </w:p>
          <w:p w:rsidR="00854010" w:rsidRPr="00462117" w:rsidRDefault="00854010" w:rsidP="009D52AD">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なお、「入館者数」を「貸出資料利用件数」「出かける展示」よりもウエイトを高くしている理由としては、ピースおおさかのミッションでもある、戦争の悲惨さ・平和の尊さを次の世代へ伝え平和学習を推進していくためには、実際に展示されている資料や情報等の実物に触れ、自身で感じ考えることが重要であると考えており、そのため、館の利用促進を図る指標である「入館者数」のウエイトを高くしている。）</w:t>
            </w:r>
          </w:p>
        </w:tc>
      </w:tr>
      <w:tr w:rsidR="00854010" w:rsidRPr="00E04A0F" w:rsidTr="009D52AD">
        <w:trPr>
          <w:trHeight w:val="915"/>
        </w:trPr>
        <w:tc>
          <w:tcPr>
            <w:tcW w:w="492" w:type="dxa"/>
            <w:vMerge/>
            <w:tcBorders>
              <w:bottom w:val="single" w:sz="4" w:space="0" w:color="auto"/>
            </w:tcBorders>
          </w:tcPr>
          <w:p w:rsidR="00854010" w:rsidRPr="00E04A0F" w:rsidRDefault="00854010" w:rsidP="00E04A0F">
            <w:pPr>
              <w:spacing w:line="0" w:lineRule="atLeast"/>
              <w:rPr>
                <w:rFonts w:ascii="ＭＳ ゴシック" w:eastAsia="ＭＳ ゴシック" w:hAnsi="ＭＳ ゴシック"/>
                <w:sz w:val="18"/>
                <w:szCs w:val="18"/>
              </w:rPr>
            </w:pPr>
          </w:p>
        </w:tc>
        <w:tc>
          <w:tcPr>
            <w:tcW w:w="1630" w:type="dxa"/>
            <w:tcBorders>
              <w:bottom w:val="single" w:sz="4" w:space="0" w:color="auto"/>
            </w:tcBorders>
            <w:vAlign w:val="center"/>
          </w:tcPr>
          <w:p w:rsidR="00854010" w:rsidRPr="00E04A0F" w:rsidRDefault="00854010" w:rsidP="00CB7E87">
            <w:pPr>
              <w:spacing w:line="0" w:lineRule="atLeast"/>
              <w:rPr>
                <w:rFonts w:ascii="ＭＳ ゴシック" w:eastAsia="ＭＳ ゴシック" w:hAnsi="ＭＳ ゴシック"/>
                <w:sz w:val="18"/>
                <w:szCs w:val="18"/>
              </w:rPr>
            </w:pPr>
            <w:r w:rsidRPr="00CB7E87">
              <w:rPr>
                <w:rFonts w:ascii="ＭＳ ゴシック" w:eastAsia="ＭＳ ゴシック" w:hAnsi="ＭＳ ゴシック" w:hint="eastAsia"/>
                <w:sz w:val="18"/>
                <w:szCs w:val="18"/>
              </w:rPr>
              <w:t>（公財）大阪府国際交流財団</w:t>
            </w:r>
          </w:p>
        </w:tc>
        <w:tc>
          <w:tcPr>
            <w:tcW w:w="3118" w:type="dxa"/>
            <w:tcBorders>
              <w:bottom w:val="single" w:sz="4" w:space="0" w:color="auto"/>
            </w:tcBorders>
          </w:tcPr>
          <w:p w:rsidR="00854010" w:rsidRPr="00462117" w:rsidRDefault="00854010"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外国人向け相談について、相談内容などの集計データを提供してほしい。</w:t>
            </w:r>
          </w:p>
        </w:tc>
        <w:tc>
          <w:tcPr>
            <w:tcW w:w="8434" w:type="dxa"/>
            <w:tcBorders>
              <w:bottom w:val="single" w:sz="4" w:space="0" w:color="auto"/>
            </w:tcBorders>
          </w:tcPr>
          <w:p w:rsidR="00854010" w:rsidRPr="00462117" w:rsidRDefault="00854010" w:rsidP="00DB0B8C">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○別添のとおり。</w:t>
            </w:r>
            <w:r w:rsidR="004A5528" w:rsidRPr="00462117">
              <w:rPr>
                <w:rFonts w:ascii="ＭＳ ゴシック" w:eastAsia="ＭＳ ゴシック" w:hAnsi="ＭＳ ゴシック" w:hint="eastAsia"/>
                <w:sz w:val="18"/>
                <w:szCs w:val="18"/>
              </w:rPr>
              <w:t>（別紙①、②参照）</w:t>
            </w:r>
          </w:p>
        </w:tc>
      </w:tr>
      <w:tr w:rsidR="00CB7E87" w:rsidRPr="00E04A0F" w:rsidTr="00E45EBA">
        <w:trPr>
          <w:trHeight w:val="2603"/>
        </w:trPr>
        <w:tc>
          <w:tcPr>
            <w:tcW w:w="492" w:type="dxa"/>
            <w:vMerge w:val="restart"/>
            <w:vAlign w:val="center"/>
          </w:tcPr>
          <w:p w:rsidR="00CB7E87" w:rsidRPr="00E04A0F" w:rsidRDefault="00CB7E87" w:rsidP="00CB7E8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５月14日</w:t>
            </w:r>
          </w:p>
        </w:tc>
        <w:tc>
          <w:tcPr>
            <w:tcW w:w="1630" w:type="dxa"/>
            <w:vAlign w:val="center"/>
          </w:tcPr>
          <w:p w:rsidR="00CB7E87" w:rsidRPr="00E04A0F" w:rsidRDefault="00CB7E87" w:rsidP="00CB7E87">
            <w:pPr>
              <w:spacing w:line="0" w:lineRule="atLeast"/>
              <w:rPr>
                <w:rFonts w:ascii="ＭＳ ゴシック" w:eastAsia="ＭＳ ゴシック" w:hAnsi="ＭＳ ゴシック"/>
                <w:sz w:val="18"/>
                <w:szCs w:val="18"/>
              </w:rPr>
            </w:pPr>
            <w:r w:rsidRPr="00CB7E87">
              <w:rPr>
                <w:rFonts w:ascii="ＭＳ ゴシック" w:eastAsia="ＭＳ ゴシック" w:hAnsi="ＭＳ ゴシック" w:hint="eastAsia"/>
                <w:sz w:val="18"/>
                <w:szCs w:val="18"/>
              </w:rPr>
              <w:t>（公財）大阪府文化財センター</w:t>
            </w:r>
          </w:p>
        </w:tc>
        <w:tc>
          <w:tcPr>
            <w:tcW w:w="3118" w:type="dxa"/>
          </w:tcPr>
          <w:p w:rsidR="00CB7E87" w:rsidRPr="00462117" w:rsidRDefault="00CB7E87"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コロナ禍におけるオンラインを活用した事業展開を検討しているのであれば、戦略目標達成のための活動事項や、今後の改善策の中で具体的に記載してはどうか。</w:t>
            </w:r>
          </w:p>
          <w:p w:rsidR="00CB7E87" w:rsidRPr="00462117" w:rsidRDefault="00CB7E87"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また、博物館の入館者数等の増加が見込めない中、</w:t>
            </w:r>
            <w:proofErr w:type="spellStart"/>
            <w:r w:rsidRPr="00462117">
              <w:rPr>
                <w:rFonts w:ascii="ＭＳ ゴシック" w:eastAsia="ＭＳ ゴシック" w:hAnsi="ＭＳ ゴシック"/>
                <w:sz w:val="18"/>
                <w:szCs w:val="18"/>
              </w:rPr>
              <w:t>Youtube</w:t>
            </w:r>
            <w:proofErr w:type="spellEnd"/>
            <w:r w:rsidRPr="00462117">
              <w:rPr>
                <w:rFonts w:ascii="ＭＳ ゴシック" w:eastAsia="ＭＳ ゴシック" w:hAnsi="ＭＳ ゴシック"/>
                <w:sz w:val="18"/>
                <w:szCs w:val="18"/>
              </w:rPr>
              <w:t>等を活用するのであれば、動画のアップ回数等を活動指標に置いてもよいのではないか。</w:t>
            </w:r>
          </w:p>
        </w:tc>
        <w:tc>
          <w:tcPr>
            <w:tcW w:w="8434" w:type="dxa"/>
          </w:tcPr>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○委員意見を踏まえ、博物館入館者数のプロセス指標として、「オンライン動画の制作・配信数」を成果測定指標に追加。</w:t>
            </w:r>
            <w:r w:rsidR="004A5528" w:rsidRPr="00462117">
              <w:rPr>
                <w:rFonts w:ascii="ＭＳ ゴシック" w:eastAsia="ＭＳ ゴシック" w:hAnsi="ＭＳ ゴシック" w:hint="eastAsia"/>
                <w:sz w:val="18"/>
                <w:szCs w:val="18"/>
              </w:rPr>
              <w:t>（別紙③参照）</w:t>
            </w:r>
          </w:p>
          <w:p w:rsidR="00E45EBA" w:rsidRPr="00462117" w:rsidRDefault="00E45EBA" w:rsidP="00E45EBA">
            <w:pPr>
              <w:spacing w:line="0" w:lineRule="atLeast"/>
              <w:ind w:leftChars="100" w:left="21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学芸員による展示会ならびに各種行事の解説動画など、オンラインを活用して博物館の情報を効果的に発信することで、各博物館の魅力を高め、来館意欲を喚起。</w:t>
            </w: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（目標数値の考え方）</w:t>
            </w:r>
          </w:p>
          <w:p w:rsidR="00CB7E87" w:rsidRPr="00462117" w:rsidRDefault="00E45EBA" w:rsidP="00E45EBA">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令和２年度は、まずコロナ対策を最優先しての事業再開を余儀なくされたことから、弥生文化博物館、近つ飛鳥博物館の両館ともに動画制作・配信への取組みが遅くなったという状況があり、</w:t>
            </w:r>
            <w:r w:rsidRPr="00462117">
              <w:rPr>
                <w:rFonts w:ascii="ＭＳ ゴシック" w:eastAsia="ＭＳ ゴシック" w:hAnsi="ＭＳ ゴシック"/>
                <w:sz w:val="18"/>
                <w:szCs w:val="18"/>
              </w:rPr>
              <w:t>11件の配信となった。令和３年度については、取組みの開始時期を早め、さらに日本民家集落博物館においても動画配信を実施することで、24件を目指すこととしている。</w:t>
            </w:r>
          </w:p>
        </w:tc>
      </w:tr>
      <w:tr w:rsidR="00CB7E87" w:rsidRPr="00E04A0F" w:rsidTr="009D52AD">
        <w:trPr>
          <w:trHeight w:val="4691"/>
        </w:trPr>
        <w:tc>
          <w:tcPr>
            <w:tcW w:w="492" w:type="dxa"/>
            <w:vMerge/>
          </w:tcPr>
          <w:p w:rsidR="00CB7E87" w:rsidRPr="00E04A0F" w:rsidRDefault="00CB7E87" w:rsidP="00E04A0F">
            <w:pPr>
              <w:spacing w:line="0" w:lineRule="atLeast"/>
              <w:rPr>
                <w:rFonts w:ascii="ＭＳ ゴシック" w:eastAsia="ＭＳ ゴシック" w:hAnsi="ＭＳ ゴシック"/>
                <w:sz w:val="18"/>
                <w:szCs w:val="18"/>
              </w:rPr>
            </w:pPr>
          </w:p>
        </w:tc>
        <w:tc>
          <w:tcPr>
            <w:tcW w:w="1630" w:type="dxa"/>
            <w:vMerge w:val="restart"/>
            <w:vAlign w:val="center"/>
          </w:tcPr>
          <w:p w:rsidR="00CB7E87" w:rsidRPr="00E04A0F" w:rsidRDefault="00CB7E87" w:rsidP="00CB7E87">
            <w:pPr>
              <w:spacing w:line="0" w:lineRule="atLeast"/>
              <w:rPr>
                <w:rFonts w:ascii="ＭＳ ゴシック" w:eastAsia="ＭＳ ゴシック" w:hAnsi="ＭＳ ゴシック"/>
                <w:sz w:val="18"/>
                <w:szCs w:val="18"/>
              </w:rPr>
            </w:pPr>
            <w:r w:rsidRPr="00CB7E87">
              <w:rPr>
                <w:rFonts w:ascii="ＭＳ ゴシック" w:eastAsia="ＭＳ ゴシック" w:hAnsi="ＭＳ ゴシック" w:hint="eastAsia"/>
                <w:sz w:val="18"/>
                <w:szCs w:val="18"/>
              </w:rPr>
              <w:t>（公財）大阪府育英会</w:t>
            </w:r>
          </w:p>
        </w:tc>
        <w:tc>
          <w:tcPr>
            <w:tcW w:w="3118" w:type="dxa"/>
          </w:tcPr>
          <w:p w:rsidR="00CB7E87" w:rsidRPr="00462117" w:rsidRDefault="00CB7E87"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〇最重点目標「寄附金確保にかかる令和３年度目標額」について</w:t>
            </w:r>
          </w:p>
          <w:p w:rsidR="00CB7E87" w:rsidRPr="00462117" w:rsidRDefault="00CB7E87" w:rsidP="00CB7E87">
            <w:pPr>
              <w:spacing w:line="0" w:lineRule="atLeast"/>
              <w:rPr>
                <w:rFonts w:ascii="ＭＳ ゴシック" w:eastAsia="ＭＳ ゴシック" w:hAnsi="ＭＳ ゴシック"/>
                <w:sz w:val="18"/>
                <w:szCs w:val="18"/>
              </w:rPr>
            </w:pPr>
          </w:p>
          <w:p w:rsidR="00CB7E87" w:rsidRPr="00462117" w:rsidRDefault="00275F6D"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令和３年度の目標値（5,000万円）については、</w:t>
            </w:r>
            <w:r w:rsidR="00CB7E87" w:rsidRPr="00462117">
              <w:rPr>
                <w:rFonts w:ascii="ＭＳ ゴシック" w:eastAsia="ＭＳ ゴシック" w:hAnsi="ＭＳ ゴシック" w:hint="eastAsia"/>
                <w:sz w:val="18"/>
                <w:szCs w:val="18"/>
              </w:rPr>
              <w:t>コロナ禍において給付型奨学金の需要が高まることが予想され、目標達成には一定法人の努力が必要であることを踏まえ</w:t>
            </w:r>
            <w:r w:rsidRPr="00462117">
              <w:rPr>
                <w:rFonts w:ascii="ＭＳ ゴシック" w:eastAsia="ＭＳ ゴシック" w:hAnsi="ＭＳ ゴシック" w:hint="eastAsia"/>
                <w:sz w:val="18"/>
                <w:szCs w:val="18"/>
              </w:rPr>
              <w:t>れば</w:t>
            </w:r>
            <w:r w:rsidR="00CB7E87" w:rsidRPr="00462117">
              <w:rPr>
                <w:rFonts w:ascii="ＭＳ ゴシック" w:eastAsia="ＭＳ ゴシック" w:hAnsi="ＭＳ ゴシック" w:hint="eastAsia"/>
                <w:sz w:val="18"/>
                <w:szCs w:val="18"/>
              </w:rPr>
              <w:t>、令和２年度は特殊要因があったとしても、少なくとも令和元年度実績</w:t>
            </w:r>
            <w:r w:rsidRPr="00462117">
              <w:rPr>
                <w:rFonts w:ascii="ＭＳ ゴシック" w:eastAsia="ＭＳ ゴシック" w:hAnsi="ＭＳ ゴシック" w:hint="eastAsia"/>
                <w:sz w:val="18"/>
                <w:szCs w:val="18"/>
              </w:rPr>
              <w:t>（5,728万円）</w:t>
            </w:r>
            <w:r w:rsidR="00CB7E87" w:rsidRPr="00462117">
              <w:rPr>
                <w:rFonts w:ascii="ＭＳ ゴシック" w:eastAsia="ＭＳ ゴシック" w:hAnsi="ＭＳ ゴシック" w:hint="eastAsia"/>
                <w:sz w:val="18"/>
                <w:szCs w:val="18"/>
              </w:rPr>
              <w:t>を踏まえて数値を再考すべきではないか。</w:t>
            </w:r>
          </w:p>
        </w:tc>
        <w:tc>
          <w:tcPr>
            <w:tcW w:w="8434" w:type="dxa"/>
          </w:tcPr>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寄附金の確保に向け、企業、団体への訪問、ポスター・チラシの設置やホームページ等などによる広く府民への周知、夢みらい奨学生による街頭募金、大阪マラソン寄附先団体に応募し選出されるなど、鋭意努力しているところ。</w:t>
            </w: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しかしながら、企業・団体からの寄附は、相手方の意向次第であり、さらには経営状況などによって左右されるため不確定要素が多い。また、個人からの寄附も善意によるものであるうえ、相手方の事情によるところも大きい。</w:t>
            </w: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○特に、昨年から続く新型コロナウイルス感染拡大の影響により、社会・経済活動が制限され企業経営は厳しい状況が続いており、昨年度の大口寄附者からも今年度も同様に寄附を行うのは難しい状況。</w:t>
            </w: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○育英会においても寄附依頼のための企業・団体への訪問の自粛、街頭募金の中止、大阪マラソンの中止など、数々の寄附の募集活動ができなくなっている。</w:t>
            </w:r>
          </w:p>
          <w:p w:rsidR="00E45EBA" w:rsidRPr="00462117" w:rsidRDefault="00E45EBA" w:rsidP="00E45EBA">
            <w:pPr>
              <w:spacing w:line="0" w:lineRule="atLeast"/>
              <w:ind w:left="180" w:hangingChars="100" w:hanging="180"/>
              <w:rPr>
                <w:rFonts w:ascii="ＭＳ ゴシック" w:eastAsia="ＭＳ ゴシック" w:hAnsi="ＭＳ ゴシック"/>
                <w:sz w:val="18"/>
                <w:szCs w:val="18"/>
              </w:rPr>
            </w:pPr>
          </w:p>
          <w:p w:rsidR="00CB7E87" w:rsidRPr="00462117" w:rsidRDefault="00E45EBA" w:rsidP="004A5528">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以上のように新型コロナウイルス感染症の終息が見通せず、企業経営は厳しさを増し、寄附金の募集活動が制限される中で寄附金の確保は非常に厳しい状況にあるが、委員からいただいたご意見等も踏まえ、寄附目標額を現在の</w:t>
            </w:r>
            <w:r w:rsidRPr="00462117">
              <w:rPr>
                <w:rFonts w:ascii="ＭＳ ゴシック" w:eastAsia="ＭＳ ゴシック" w:hAnsi="ＭＳ ゴシック"/>
                <w:sz w:val="18"/>
                <w:szCs w:val="18"/>
              </w:rPr>
              <w:t>5,000万円から新型コロナウイルス感染拡大前の２カ年平均（令和元年度と平成30年度）である5,700万円に引き上げたい。</w:t>
            </w:r>
            <w:r w:rsidR="004A5528" w:rsidRPr="00462117">
              <w:rPr>
                <w:rFonts w:ascii="ＭＳ ゴシック" w:eastAsia="ＭＳ ゴシック" w:hAnsi="ＭＳ ゴシック" w:hint="eastAsia"/>
                <w:sz w:val="18"/>
                <w:szCs w:val="18"/>
              </w:rPr>
              <w:t>（別紙④参照）</w:t>
            </w:r>
          </w:p>
        </w:tc>
      </w:tr>
      <w:tr w:rsidR="00CB7E87" w:rsidRPr="00E04A0F" w:rsidTr="00AC67CC">
        <w:trPr>
          <w:trHeight w:val="1581"/>
        </w:trPr>
        <w:tc>
          <w:tcPr>
            <w:tcW w:w="492" w:type="dxa"/>
            <w:vMerge/>
            <w:tcBorders>
              <w:bottom w:val="single" w:sz="4" w:space="0" w:color="auto"/>
            </w:tcBorders>
          </w:tcPr>
          <w:p w:rsidR="00CB7E87" w:rsidRPr="00E04A0F" w:rsidRDefault="00CB7E87" w:rsidP="00E04A0F">
            <w:pPr>
              <w:spacing w:line="0" w:lineRule="atLeast"/>
              <w:rPr>
                <w:rFonts w:ascii="ＭＳ ゴシック" w:eastAsia="ＭＳ ゴシック" w:hAnsi="ＭＳ ゴシック"/>
                <w:sz w:val="18"/>
                <w:szCs w:val="18"/>
              </w:rPr>
            </w:pPr>
          </w:p>
        </w:tc>
        <w:tc>
          <w:tcPr>
            <w:tcW w:w="1630" w:type="dxa"/>
            <w:vMerge/>
            <w:tcBorders>
              <w:bottom w:val="single" w:sz="4" w:space="0" w:color="auto"/>
            </w:tcBorders>
          </w:tcPr>
          <w:p w:rsidR="00CB7E87" w:rsidRPr="00E04A0F" w:rsidRDefault="00CB7E87" w:rsidP="00E04A0F">
            <w:pPr>
              <w:spacing w:line="0" w:lineRule="atLeast"/>
              <w:rPr>
                <w:rFonts w:ascii="ＭＳ ゴシック" w:eastAsia="ＭＳ ゴシック" w:hAnsi="ＭＳ ゴシック"/>
                <w:sz w:val="18"/>
                <w:szCs w:val="18"/>
              </w:rPr>
            </w:pPr>
          </w:p>
        </w:tc>
        <w:tc>
          <w:tcPr>
            <w:tcW w:w="3118" w:type="dxa"/>
            <w:tcBorders>
              <w:bottom w:val="single" w:sz="4" w:space="0" w:color="auto"/>
            </w:tcBorders>
          </w:tcPr>
          <w:p w:rsidR="00CB7E87" w:rsidRPr="00462117" w:rsidRDefault="00CB7E87"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奨学金の対象は日本人のみか、もしくは在留外国人も含まれるのか。</w:t>
            </w:r>
          </w:p>
        </w:tc>
        <w:tc>
          <w:tcPr>
            <w:tcW w:w="8434" w:type="dxa"/>
            <w:tcBorders>
              <w:bottom w:val="single" w:sz="4" w:space="0" w:color="auto"/>
            </w:tcBorders>
          </w:tcPr>
          <w:p w:rsidR="00F900CB" w:rsidRPr="00462117" w:rsidRDefault="00F900CB"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w:t>
            </w:r>
            <w:r w:rsidR="00CB7E87" w:rsidRPr="00462117">
              <w:rPr>
                <w:rFonts w:ascii="ＭＳ ゴシック" w:eastAsia="ＭＳ ゴシック" w:hAnsi="ＭＳ ゴシック" w:hint="eastAsia"/>
                <w:sz w:val="18"/>
                <w:szCs w:val="18"/>
              </w:rPr>
              <w:t>生徒についての要件はありません。</w:t>
            </w:r>
          </w:p>
          <w:p w:rsidR="00CB7E87" w:rsidRPr="00462117" w:rsidRDefault="00CB7E87" w:rsidP="00F900CB">
            <w:pPr>
              <w:spacing w:line="0" w:lineRule="atLeast"/>
              <w:ind w:firstLineChars="100" w:firstLine="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保護者が外国籍の方の申込みについては、次の在留資格が必要となります。</w:t>
            </w:r>
          </w:p>
          <w:p w:rsidR="00CB7E87" w:rsidRPr="00462117" w:rsidRDefault="00CB7E87"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＜在留資格＞・永住者</w:t>
            </w:r>
            <w:r w:rsidRPr="00462117">
              <w:rPr>
                <w:rFonts w:ascii="ＭＳ ゴシック" w:eastAsia="ＭＳ ゴシック" w:hAnsi="ＭＳ ゴシック"/>
                <w:sz w:val="18"/>
                <w:szCs w:val="18"/>
              </w:rPr>
              <w:t xml:space="preserve"> ・日本人の配偶者等 ・永住者の配偶者等 ・定住者（※）</w:t>
            </w:r>
          </w:p>
          <w:p w:rsidR="00CB7E87" w:rsidRPr="00462117" w:rsidRDefault="00CB7E87" w:rsidP="00CB7E87">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（※）定住者については、将来日本に永住する意思のない方は、申し込み資格はありません。</w:t>
            </w:r>
          </w:p>
        </w:tc>
      </w:tr>
      <w:tr w:rsidR="00854010" w:rsidRPr="00E04A0F" w:rsidTr="00AC67CC">
        <w:trPr>
          <w:trHeight w:val="699"/>
        </w:trPr>
        <w:tc>
          <w:tcPr>
            <w:tcW w:w="492" w:type="dxa"/>
            <w:tcBorders>
              <w:top w:val="single" w:sz="4" w:space="0" w:color="auto"/>
              <w:left w:val="nil"/>
              <w:bottom w:val="nil"/>
              <w:right w:val="nil"/>
            </w:tcBorders>
            <w:vAlign w:val="center"/>
          </w:tcPr>
          <w:p w:rsidR="00854010" w:rsidRDefault="00854010" w:rsidP="00F900CB">
            <w:pPr>
              <w:spacing w:line="0" w:lineRule="atLeast"/>
              <w:jc w:val="center"/>
              <w:rPr>
                <w:rFonts w:ascii="ＭＳ ゴシック" w:eastAsia="ＭＳ ゴシック" w:hAnsi="ＭＳ ゴシック"/>
                <w:sz w:val="18"/>
                <w:szCs w:val="18"/>
              </w:rPr>
            </w:pPr>
          </w:p>
        </w:tc>
        <w:tc>
          <w:tcPr>
            <w:tcW w:w="1630" w:type="dxa"/>
            <w:tcBorders>
              <w:top w:val="single" w:sz="4" w:space="0" w:color="auto"/>
              <w:left w:val="nil"/>
              <w:bottom w:val="nil"/>
              <w:right w:val="nil"/>
            </w:tcBorders>
            <w:vAlign w:val="center"/>
          </w:tcPr>
          <w:p w:rsidR="00854010" w:rsidRPr="00CB7E87" w:rsidRDefault="00854010" w:rsidP="00F900CB">
            <w:pPr>
              <w:spacing w:line="0" w:lineRule="atLeast"/>
              <w:rPr>
                <w:rFonts w:ascii="ＭＳ ゴシック" w:eastAsia="ＭＳ ゴシック" w:hAnsi="ＭＳ ゴシック"/>
                <w:sz w:val="18"/>
                <w:szCs w:val="18"/>
              </w:rPr>
            </w:pPr>
          </w:p>
        </w:tc>
        <w:tc>
          <w:tcPr>
            <w:tcW w:w="3118" w:type="dxa"/>
            <w:tcBorders>
              <w:top w:val="single" w:sz="4" w:space="0" w:color="auto"/>
              <w:left w:val="nil"/>
              <w:bottom w:val="nil"/>
              <w:right w:val="nil"/>
            </w:tcBorders>
            <w:vAlign w:val="center"/>
          </w:tcPr>
          <w:p w:rsidR="00854010" w:rsidRPr="00CB7E87" w:rsidRDefault="00854010" w:rsidP="00F900CB">
            <w:pPr>
              <w:spacing w:line="0" w:lineRule="atLeast"/>
              <w:rPr>
                <w:rFonts w:ascii="ＭＳ ゴシック" w:eastAsia="ＭＳ ゴシック" w:hAnsi="ＭＳ ゴシック"/>
                <w:sz w:val="18"/>
                <w:szCs w:val="18"/>
              </w:rPr>
            </w:pPr>
          </w:p>
        </w:tc>
        <w:tc>
          <w:tcPr>
            <w:tcW w:w="8434" w:type="dxa"/>
            <w:tcBorders>
              <w:top w:val="single" w:sz="4" w:space="0" w:color="auto"/>
              <w:left w:val="nil"/>
              <w:bottom w:val="nil"/>
              <w:right w:val="nil"/>
            </w:tcBorders>
            <w:vAlign w:val="center"/>
          </w:tcPr>
          <w:p w:rsidR="00854010" w:rsidRPr="00CB7E87" w:rsidRDefault="00854010" w:rsidP="00854010">
            <w:pPr>
              <w:spacing w:line="0" w:lineRule="atLeast"/>
              <w:rPr>
                <w:rFonts w:ascii="ＭＳ ゴシック" w:eastAsia="ＭＳ ゴシック" w:hAnsi="ＭＳ ゴシック"/>
                <w:sz w:val="18"/>
                <w:szCs w:val="18"/>
              </w:rPr>
            </w:pPr>
          </w:p>
        </w:tc>
      </w:tr>
      <w:tr w:rsidR="00AC67CC" w:rsidRPr="00E04A0F" w:rsidTr="00AC67CC">
        <w:trPr>
          <w:trHeight w:val="426"/>
        </w:trPr>
        <w:tc>
          <w:tcPr>
            <w:tcW w:w="492" w:type="dxa"/>
            <w:tcBorders>
              <w:top w:val="nil"/>
              <w:left w:val="nil"/>
              <w:bottom w:val="single" w:sz="4" w:space="0" w:color="auto"/>
              <w:right w:val="nil"/>
            </w:tcBorders>
            <w:vAlign w:val="center"/>
          </w:tcPr>
          <w:p w:rsidR="00AC67CC" w:rsidRDefault="00AC67CC" w:rsidP="00F900CB">
            <w:pPr>
              <w:spacing w:line="0" w:lineRule="atLeast"/>
              <w:jc w:val="center"/>
              <w:rPr>
                <w:rFonts w:ascii="ＭＳ ゴシック" w:eastAsia="ＭＳ ゴシック" w:hAnsi="ＭＳ ゴシック"/>
                <w:sz w:val="18"/>
                <w:szCs w:val="18"/>
              </w:rPr>
            </w:pPr>
          </w:p>
        </w:tc>
        <w:tc>
          <w:tcPr>
            <w:tcW w:w="1630" w:type="dxa"/>
            <w:tcBorders>
              <w:top w:val="nil"/>
              <w:left w:val="nil"/>
              <w:bottom w:val="single" w:sz="4" w:space="0" w:color="auto"/>
              <w:right w:val="nil"/>
            </w:tcBorders>
            <w:vAlign w:val="center"/>
          </w:tcPr>
          <w:p w:rsidR="00AC67CC" w:rsidRPr="00CB7E87" w:rsidRDefault="00AC67CC" w:rsidP="00F900CB">
            <w:pPr>
              <w:spacing w:line="0" w:lineRule="atLeast"/>
              <w:rPr>
                <w:rFonts w:ascii="ＭＳ ゴシック" w:eastAsia="ＭＳ ゴシック" w:hAnsi="ＭＳ ゴシック"/>
                <w:sz w:val="18"/>
                <w:szCs w:val="18"/>
              </w:rPr>
            </w:pPr>
          </w:p>
        </w:tc>
        <w:tc>
          <w:tcPr>
            <w:tcW w:w="3118" w:type="dxa"/>
            <w:tcBorders>
              <w:top w:val="nil"/>
              <w:left w:val="nil"/>
              <w:bottom w:val="single" w:sz="4" w:space="0" w:color="auto"/>
              <w:right w:val="nil"/>
            </w:tcBorders>
            <w:vAlign w:val="center"/>
          </w:tcPr>
          <w:p w:rsidR="00AC67CC" w:rsidRPr="00CB7E87" w:rsidRDefault="00AC67CC" w:rsidP="00F900CB">
            <w:pPr>
              <w:spacing w:line="0" w:lineRule="atLeast"/>
              <w:rPr>
                <w:rFonts w:ascii="ＭＳ ゴシック" w:eastAsia="ＭＳ ゴシック" w:hAnsi="ＭＳ ゴシック"/>
                <w:sz w:val="18"/>
                <w:szCs w:val="18"/>
              </w:rPr>
            </w:pPr>
          </w:p>
        </w:tc>
        <w:tc>
          <w:tcPr>
            <w:tcW w:w="8434" w:type="dxa"/>
            <w:tcBorders>
              <w:top w:val="nil"/>
              <w:left w:val="nil"/>
              <w:bottom w:val="single" w:sz="4" w:space="0" w:color="auto"/>
              <w:right w:val="nil"/>
            </w:tcBorders>
            <w:vAlign w:val="center"/>
          </w:tcPr>
          <w:p w:rsidR="00AC67CC" w:rsidRPr="00CB7E87" w:rsidRDefault="00AC67CC" w:rsidP="00854010">
            <w:pPr>
              <w:spacing w:line="0" w:lineRule="atLeast"/>
              <w:rPr>
                <w:rFonts w:ascii="ＭＳ ゴシック" w:eastAsia="ＭＳ ゴシック" w:hAnsi="ＭＳ ゴシック"/>
                <w:sz w:val="18"/>
                <w:szCs w:val="18"/>
              </w:rPr>
            </w:pPr>
          </w:p>
        </w:tc>
      </w:tr>
      <w:tr w:rsidR="00AC67CC" w:rsidRPr="00E04A0F" w:rsidTr="00AC67CC">
        <w:trPr>
          <w:trHeight w:val="699"/>
        </w:trPr>
        <w:tc>
          <w:tcPr>
            <w:tcW w:w="492" w:type="dxa"/>
            <w:tcBorders>
              <w:top w:val="single" w:sz="4" w:space="0" w:color="auto"/>
            </w:tcBorders>
            <w:shd w:val="clear" w:color="auto" w:fill="002060"/>
          </w:tcPr>
          <w:p w:rsidR="00AC67CC" w:rsidRPr="00E04A0F" w:rsidRDefault="00AC67CC" w:rsidP="00AC67CC">
            <w:pPr>
              <w:rPr>
                <w:rFonts w:ascii="ＭＳ ゴシック" w:eastAsia="ＭＳ ゴシック" w:hAnsi="ＭＳ ゴシック"/>
                <w:sz w:val="18"/>
                <w:szCs w:val="18"/>
              </w:rPr>
            </w:pPr>
          </w:p>
        </w:tc>
        <w:tc>
          <w:tcPr>
            <w:tcW w:w="1630" w:type="dxa"/>
            <w:tcBorders>
              <w:top w:val="single" w:sz="4" w:space="0" w:color="auto"/>
            </w:tcBorders>
            <w:shd w:val="clear" w:color="auto" w:fill="002060"/>
            <w:vAlign w:val="center"/>
          </w:tcPr>
          <w:p w:rsidR="00AC67CC" w:rsidRPr="00854010" w:rsidRDefault="00AC67CC" w:rsidP="00AC67C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top w:val="single" w:sz="4" w:space="0" w:color="auto"/>
            </w:tcBorders>
            <w:shd w:val="clear" w:color="auto" w:fill="002060"/>
            <w:vAlign w:val="center"/>
          </w:tcPr>
          <w:p w:rsidR="00AC67CC" w:rsidRPr="00854010" w:rsidRDefault="00AC67CC" w:rsidP="00AC67C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top w:val="single" w:sz="4" w:space="0" w:color="auto"/>
            </w:tcBorders>
            <w:shd w:val="clear" w:color="auto" w:fill="002060"/>
            <w:vAlign w:val="center"/>
          </w:tcPr>
          <w:p w:rsidR="00AC67CC" w:rsidRPr="00854010" w:rsidRDefault="00AC67CC" w:rsidP="00AC67C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CB7E87" w:rsidRPr="00E04A0F" w:rsidTr="00854010">
        <w:trPr>
          <w:trHeight w:val="5386"/>
        </w:trPr>
        <w:tc>
          <w:tcPr>
            <w:tcW w:w="492" w:type="dxa"/>
            <w:vAlign w:val="center"/>
          </w:tcPr>
          <w:p w:rsidR="00CB7E87" w:rsidRPr="00E04A0F" w:rsidRDefault="00F900CB" w:rsidP="00F900C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５月14日</w:t>
            </w:r>
          </w:p>
        </w:tc>
        <w:tc>
          <w:tcPr>
            <w:tcW w:w="1630" w:type="dxa"/>
            <w:vAlign w:val="center"/>
          </w:tcPr>
          <w:p w:rsidR="00CB7E87" w:rsidRPr="00462117" w:rsidRDefault="00CB7E87"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（一財）大阪府みどり公社</w:t>
            </w:r>
          </w:p>
        </w:tc>
        <w:tc>
          <w:tcPr>
            <w:tcW w:w="3118" w:type="dxa"/>
            <w:vAlign w:val="center"/>
          </w:tcPr>
          <w:p w:rsidR="00CB7E87" w:rsidRPr="00462117" w:rsidRDefault="00CB7E87"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○「ナラ枯れ被害地の森への再生（森づくり活動に参加する府民の人数）」について</w:t>
            </w:r>
          </w:p>
          <w:p w:rsidR="00CB7E87" w:rsidRPr="00462117" w:rsidRDefault="00CB7E87" w:rsidP="00F900CB">
            <w:pPr>
              <w:spacing w:line="0" w:lineRule="atLeast"/>
              <w:rPr>
                <w:rFonts w:ascii="ＭＳ ゴシック" w:eastAsia="ＭＳ ゴシック" w:hAnsi="ＭＳ ゴシック"/>
                <w:sz w:val="18"/>
                <w:szCs w:val="18"/>
              </w:rPr>
            </w:pPr>
          </w:p>
          <w:p w:rsidR="00CB7E87" w:rsidRPr="00462117" w:rsidRDefault="00CB7E87"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１回あたり</w:t>
            </w:r>
            <w:r w:rsidRPr="00462117">
              <w:rPr>
                <w:rFonts w:ascii="ＭＳ ゴシック" w:eastAsia="ＭＳ ゴシック" w:hAnsi="ＭＳ ゴシック"/>
                <w:sz w:val="18"/>
                <w:szCs w:val="18"/>
              </w:rPr>
              <w:t>50人という数字の根拠や、ホームページで公表されていない事業を目標とされていることについて、もう少し説明が必要ではないか。また、200人の活動でどういう効果があるのか、わかりやすく示してほしい。</w:t>
            </w:r>
          </w:p>
        </w:tc>
        <w:tc>
          <w:tcPr>
            <w:tcW w:w="8434" w:type="dxa"/>
            <w:vAlign w:val="center"/>
          </w:tcPr>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○１回あたり</w:t>
            </w:r>
            <w:r w:rsidRPr="00462117">
              <w:rPr>
                <w:rFonts w:ascii="ＭＳ ゴシック" w:eastAsia="ＭＳ ゴシック" w:hAnsi="ＭＳ ゴシック"/>
                <w:sz w:val="18"/>
                <w:szCs w:val="18"/>
              </w:rPr>
              <w:t>50人という数字の根拠等</w:t>
            </w: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sz w:val="18"/>
                <w:szCs w:val="18"/>
              </w:rPr>
              <w:t xml:space="preserve">  森づくり予定地は、傾斜地で凹凸のある荒地であること、また、子供たちの参加も多く、参加者の事故防止等の安全を十分図る必要がある。また、森づくり活動は、主としてスコップやクワを用いての植栽作業であるが、正しい方法・手順で行う必要がある。これらのことから、参加者は5</w:t>
            </w:r>
            <w:r w:rsidR="00350882" w:rsidRPr="00462117">
              <w:rPr>
                <w:rFonts w:ascii="ＭＳ ゴシック" w:eastAsia="ＭＳ ゴシック" w:hAnsi="ＭＳ ゴシック" w:hint="eastAsia"/>
                <w:sz w:val="18"/>
                <w:szCs w:val="18"/>
              </w:rPr>
              <w:t>人</w:t>
            </w:r>
            <w:r w:rsidRPr="00462117">
              <w:rPr>
                <w:rFonts w:ascii="ＭＳ ゴシック" w:eastAsia="ＭＳ ゴシック" w:hAnsi="ＭＳ ゴシック"/>
                <w:sz w:val="18"/>
                <w:szCs w:val="18"/>
              </w:rPr>
              <w:t>程度の小人数の</w:t>
            </w:r>
            <w:r w:rsidR="00350882" w:rsidRPr="00462117">
              <w:rPr>
                <w:rFonts w:ascii="ＭＳ ゴシック" w:eastAsia="ＭＳ ゴシック" w:hAnsi="ＭＳ ゴシック" w:hint="eastAsia"/>
                <w:sz w:val="18"/>
                <w:szCs w:val="18"/>
              </w:rPr>
              <w:t>グループ</w:t>
            </w:r>
            <w:r w:rsidRPr="00462117">
              <w:rPr>
                <w:rFonts w:ascii="ＭＳ ゴシック" w:eastAsia="ＭＳ ゴシック" w:hAnsi="ＭＳ ゴシック"/>
                <w:sz w:val="18"/>
                <w:szCs w:val="18"/>
              </w:rPr>
              <w:t>を作り、それぞれのグループに植樹指導員を配置して作業を行うこととしている。1回の実施規模（参加人数等）については、植樹指導員等スタッフの確保とともに、作業の安全・作業進捗等に係る全体の確認が行えるエリアにおいて実施する必要が</w:t>
            </w:r>
            <w:r w:rsidRPr="00462117">
              <w:rPr>
                <w:rFonts w:ascii="ＭＳ ゴシック" w:eastAsia="ＭＳ ゴシック" w:hAnsi="ＭＳ ゴシック" w:hint="eastAsia"/>
                <w:sz w:val="18"/>
                <w:szCs w:val="18"/>
              </w:rPr>
              <w:t>ある。令和</w:t>
            </w:r>
            <w:r w:rsidRPr="00462117">
              <w:rPr>
                <w:rFonts w:ascii="ＭＳ ゴシック" w:eastAsia="ＭＳ ゴシック" w:hAnsi="ＭＳ ゴシック"/>
                <w:sz w:val="18"/>
                <w:szCs w:val="18"/>
              </w:rPr>
              <w:t>3年3月に実施したモデル事業の実績を見ても、5人×</w:t>
            </w:r>
            <w:r w:rsidR="00350882" w:rsidRPr="00462117">
              <w:rPr>
                <w:rFonts w:ascii="ＭＳ ゴシック" w:eastAsia="ＭＳ ゴシック" w:hAnsi="ＭＳ ゴシック" w:hint="eastAsia"/>
                <w:sz w:val="18"/>
                <w:szCs w:val="18"/>
              </w:rPr>
              <w:t>10</w:t>
            </w:r>
            <w:r w:rsidRPr="00462117">
              <w:rPr>
                <w:rFonts w:ascii="ＭＳ ゴシック" w:eastAsia="ＭＳ ゴシック" w:hAnsi="ＭＳ ゴシック"/>
                <w:sz w:val="18"/>
                <w:szCs w:val="18"/>
              </w:rPr>
              <w:t>か所の約50人での活動が適切と考えている。</w:t>
            </w: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本活動はヤマザクラやモミジなどの苗木を植栽するが、その植栽適期は</w:t>
            </w:r>
            <w:r w:rsidRPr="00462117">
              <w:rPr>
                <w:rFonts w:ascii="ＭＳ ゴシック" w:eastAsia="ＭＳ ゴシック" w:hAnsi="ＭＳ ゴシック"/>
                <w:sz w:val="18"/>
                <w:szCs w:val="18"/>
              </w:rPr>
              <w:t>2月から3月の短い期間であり、各園地で1シーズン2回実施する計画としたもの。　50人＊2回＊2園地＝200人</w:t>
            </w:r>
          </w:p>
          <w:p w:rsidR="00CB7E87" w:rsidRPr="00462117" w:rsidRDefault="00CB7E87" w:rsidP="00854010">
            <w:pPr>
              <w:spacing w:line="0" w:lineRule="atLeast"/>
              <w:rPr>
                <w:rFonts w:ascii="ＭＳ ゴシック" w:eastAsia="ＭＳ ゴシック" w:hAnsi="ＭＳ ゴシック"/>
                <w:sz w:val="18"/>
                <w:szCs w:val="18"/>
              </w:rPr>
            </w:pP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○ホームページの公表</w:t>
            </w: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本事業は新規に実施するものであり、また、植栽の適期である来年</w:t>
            </w:r>
            <w:r w:rsidRPr="00462117">
              <w:rPr>
                <w:rFonts w:ascii="ＭＳ ゴシック" w:eastAsia="ＭＳ ゴシック" w:hAnsi="ＭＳ ゴシック"/>
                <w:sz w:val="18"/>
                <w:szCs w:val="18"/>
              </w:rPr>
              <w:t>2月から3月に実施する活動であり、参加者を募る下半期には、できるだけ早期にホームページ等を通じて、府民にお知らせする。</w:t>
            </w:r>
          </w:p>
          <w:p w:rsidR="00CB7E87" w:rsidRPr="00462117" w:rsidRDefault="00CB7E87" w:rsidP="00854010">
            <w:pPr>
              <w:spacing w:line="0" w:lineRule="atLeast"/>
              <w:rPr>
                <w:rFonts w:ascii="ＭＳ ゴシック" w:eastAsia="ＭＳ ゴシック" w:hAnsi="ＭＳ ゴシック"/>
                <w:sz w:val="18"/>
                <w:szCs w:val="18"/>
              </w:rPr>
            </w:pP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○効果・目的</w:t>
            </w: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府民の方に、府民の森を散策などで単に利用するという形態から、自然のしくみ・おもしろさを学び、荒廃した森林を元気な森に再生する活動に参加していただく。この取り組みを通じて、府民の森に対する愛着を醸成するとともに、府民の森の管理や保全活動に参加するサポーターを増やしていくことを目的としている。</w:t>
            </w:r>
          </w:p>
          <w:p w:rsidR="00CB7E87" w:rsidRPr="00462117" w:rsidRDefault="00CB7E87" w:rsidP="00854010">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w:t>
            </w:r>
            <w:r w:rsidRPr="00462117">
              <w:rPr>
                <w:rFonts w:ascii="ＭＳ ゴシック" w:eastAsia="ＭＳ ゴシック" w:hAnsi="ＭＳ ゴシック"/>
                <w:sz w:val="18"/>
                <w:szCs w:val="18"/>
              </w:rPr>
              <w:t>2園地において、早期復旧が必要である基幹施設や基幹歩道に隣接した区域について、5年間で延べ1,000人の参加を得て森づくりを行い、健全な森林の再生を図っていく。</w:t>
            </w:r>
          </w:p>
        </w:tc>
      </w:tr>
      <w:tr w:rsidR="00FE05D6" w:rsidRPr="00E04A0F" w:rsidTr="00FE05D6">
        <w:trPr>
          <w:trHeight w:val="1417"/>
        </w:trPr>
        <w:tc>
          <w:tcPr>
            <w:tcW w:w="492" w:type="dxa"/>
            <w:vMerge w:val="restart"/>
            <w:vAlign w:val="center"/>
          </w:tcPr>
          <w:p w:rsidR="00FE05D6" w:rsidRPr="00E04A0F" w:rsidRDefault="00FE05D6" w:rsidP="00FE05D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５月19日</w:t>
            </w:r>
          </w:p>
        </w:tc>
        <w:tc>
          <w:tcPr>
            <w:tcW w:w="1630" w:type="dxa"/>
            <w:vAlign w:val="center"/>
          </w:tcPr>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大阪府土地開発公社</w:t>
            </w:r>
          </w:p>
        </w:tc>
        <w:tc>
          <w:tcPr>
            <w:tcW w:w="3118" w:type="dxa"/>
          </w:tcPr>
          <w:p w:rsidR="00FE05D6" w:rsidRPr="00462117" w:rsidRDefault="00EB6E82"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w:t>
            </w:r>
            <w:r w:rsidR="00FE05D6" w:rsidRPr="00462117">
              <w:rPr>
                <w:rFonts w:ascii="ＭＳ ゴシック" w:eastAsia="ＭＳ ゴシック" w:hAnsi="ＭＳ ゴシック" w:hint="eastAsia"/>
                <w:sz w:val="18"/>
                <w:szCs w:val="18"/>
              </w:rPr>
              <w:t>府への</w:t>
            </w:r>
            <w:r w:rsidRPr="00462117">
              <w:rPr>
                <w:rFonts w:ascii="ＭＳ ゴシック" w:eastAsia="ＭＳ ゴシック" w:hAnsi="ＭＳ ゴシック" w:hint="eastAsia"/>
                <w:sz w:val="18"/>
                <w:szCs w:val="18"/>
              </w:rPr>
              <w:t>公有用地</w:t>
            </w:r>
            <w:r w:rsidR="00FE05D6" w:rsidRPr="00462117">
              <w:rPr>
                <w:rFonts w:ascii="ＭＳ ゴシック" w:eastAsia="ＭＳ ゴシック" w:hAnsi="ＭＳ ゴシック" w:hint="eastAsia"/>
                <w:sz w:val="18"/>
                <w:szCs w:val="18"/>
              </w:rPr>
              <w:t>売渡し額</w:t>
            </w:r>
            <w:r w:rsidRPr="00462117">
              <w:rPr>
                <w:rFonts w:ascii="ＭＳ ゴシック" w:eastAsia="ＭＳ ゴシック" w:hAnsi="ＭＳ ゴシック" w:hint="eastAsia"/>
                <w:sz w:val="18"/>
                <w:szCs w:val="18"/>
              </w:rPr>
              <w:t>」のウエイトについて</w:t>
            </w:r>
            <w:r w:rsidR="00FE05D6" w:rsidRPr="00462117">
              <w:rPr>
                <w:rFonts w:ascii="ＭＳ ゴシック" w:eastAsia="ＭＳ ゴシック" w:hAnsi="ＭＳ ゴシック" w:hint="eastAsia"/>
                <w:sz w:val="18"/>
                <w:szCs w:val="18"/>
              </w:rPr>
              <w:t>、より法人が能動的に動ける指標</w:t>
            </w:r>
            <w:r w:rsidRPr="00462117">
              <w:rPr>
                <w:rFonts w:ascii="ＭＳ ゴシック" w:eastAsia="ＭＳ ゴシック" w:hAnsi="ＭＳ ゴシック" w:hint="eastAsia"/>
                <w:sz w:val="18"/>
                <w:szCs w:val="18"/>
              </w:rPr>
              <w:t>へ</w:t>
            </w:r>
            <w:r w:rsidR="00FE05D6" w:rsidRPr="00462117">
              <w:rPr>
                <w:rFonts w:ascii="ＭＳ ゴシック" w:eastAsia="ＭＳ ゴシック" w:hAnsi="ＭＳ ゴシック" w:hint="eastAsia"/>
                <w:sz w:val="18"/>
                <w:szCs w:val="18"/>
              </w:rPr>
              <w:t>配分してはどうか。</w:t>
            </w:r>
          </w:p>
        </w:tc>
        <w:tc>
          <w:tcPr>
            <w:tcW w:w="8434" w:type="dxa"/>
          </w:tcPr>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○委員意見を踏まえ、ウエイトを変更。</w:t>
            </w:r>
            <w:r w:rsidR="004A5528" w:rsidRPr="00462117">
              <w:rPr>
                <w:rFonts w:ascii="ＭＳ ゴシック" w:eastAsia="ＭＳ ゴシック" w:hAnsi="ＭＳ ゴシック" w:hint="eastAsia"/>
                <w:sz w:val="18"/>
                <w:szCs w:val="18"/>
              </w:rPr>
              <w:t>（別紙⑤参照）</w:t>
            </w:r>
          </w:p>
          <w:p w:rsidR="00FE05D6" w:rsidRPr="00462117" w:rsidRDefault="00FE05D6" w:rsidP="00F900CB">
            <w:pPr>
              <w:spacing w:line="0" w:lineRule="atLeast"/>
              <w:rPr>
                <w:rFonts w:ascii="ＭＳ ゴシック" w:eastAsia="ＭＳ ゴシック" w:hAnsi="ＭＳ ゴシック"/>
                <w:sz w:val="18"/>
                <w:szCs w:val="18"/>
              </w:rPr>
            </w:pP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w:t>
            </w:r>
            <w:r w:rsidR="00EB6E82" w:rsidRPr="00462117">
              <w:rPr>
                <w:rFonts w:ascii="ＭＳ ゴシック" w:eastAsia="ＭＳ ゴシック" w:hAnsi="ＭＳ ゴシック" w:hint="eastAsia"/>
                <w:sz w:val="18"/>
                <w:szCs w:val="18"/>
              </w:rPr>
              <w:t>府への</w:t>
            </w:r>
            <w:r w:rsidRPr="00462117">
              <w:rPr>
                <w:rFonts w:ascii="ＭＳ ゴシック" w:eastAsia="ＭＳ ゴシック" w:hAnsi="ＭＳ ゴシック" w:hint="eastAsia"/>
                <w:sz w:val="18"/>
                <w:szCs w:val="18"/>
              </w:rPr>
              <w:t>公有用地売渡し</w:t>
            </w:r>
            <w:r w:rsidR="00EB6E82" w:rsidRPr="00462117">
              <w:rPr>
                <w:rFonts w:ascii="ＭＳ ゴシック" w:eastAsia="ＭＳ ゴシック" w:hAnsi="ＭＳ ゴシック" w:hint="eastAsia"/>
                <w:sz w:val="18"/>
                <w:szCs w:val="18"/>
              </w:rPr>
              <w:t>額</w:t>
            </w:r>
            <w:r w:rsidRPr="00462117">
              <w:rPr>
                <w:rFonts w:ascii="ＭＳ ゴシック" w:eastAsia="ＭＳ ゴシック" w:hAnsi="ＭＳ ゴシック" w:hint="eastAsia"/>
                <w:sz w:val="18"/>
                <w:szCs w:val="18"/>
              </w:rPr>
              <w:t>」のウエイトを１０から５に、</w:t>
            </w: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「実践力向上研修」のウエイトを１０から１５に変更（配点に差がある理由等を資料</w:t>
            </w:r>
            <w:r w:rsidRPr="00462117">
              <w:rPr>
                <w:rFonts w:ascii="ＭＳ ゴシック" w:eastAsia="ＭＳ ゴシック" w:hAnsi="ＭＳ ゴシック"/>
                <w:sz w:val="18"/>
                <w:szCs w:val="18"/>
              </w:rPr>
              <w:t>2に追記。）</w:t>
            </w:r>
          </w:p>
        </w:tc>
      </w:tr>
      <w:tr w:rsidR="00FE05D6" w:rsidRPr="00E04A0F" w:rsidTr="00FE05D6">
        <w:trPr>
          <w:trHeight w:val="2371"/>
        </w:trPr>
        <w:tc>
          <w:tcPr>
            <w:tcW w:w="492" w:type="dxa"/>
            <w:vMerge/>
            <w:vAlign w:val="center"/>
          </w:tcPr>
          <w:p w:rsidR="00FE05D6" w:rsidRPr="00E04A0F" w:rsidRDefault="00FE05D6" w:rsidP="00854010">
            <w:pPr>
              <w:spacing w:line="0" w:lineRule="atLeast"/>
              <w:jc w:val="center"/>
              <w:rPr>
                <w:rFonts w:ascii="ＭＳ ゴシック" w:eastAsia="ＭＳ ゴシック" w:hAnsi="ＭＳ ゴシック"/>
                <w:sz w:val="18"/>
                <w:szCs w:val="18"/>
              </w:rPr>
            </w:pPr>
          </w:p>
        </w:tc>
        <w:tc>
          <w:tcPr>
            <w:tcW w:w="1630" w:type="dxa"/>
            <w:vAlign w:val="center"/>
          </w:tcPr>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大阪外環状鉄道（株）</w:t>
            </w:r>
          </w:p>
        </w:tc>
        <w:tc>
          <w:tcPr>
            <w:tcW w:w="3118" w:type="dxa"/>
          </w:tcPr>
          <w:p w:rsidR="00FE05D6" w:rsidRPr="00462117" w:rsidRDefault="00FE05D6" w:rsidP="00E04A0F">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高架下の貸付等について、指標の設定を検討してはどうか。</w:t>
            </w:r>
          </w:p>
        </w:tc>
        <w:tc>
          <w:tcPr>
            <w:tcW w:w="8434" w:type="dxa"/>
          </w:tcPr>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○法人・所管部局におい</w:t>
            </w:r>
            <w:r w:rsidR="004A5528" w:rsidRPr="00462117">
              <w:rPr>
                <w:rFonts w:ascii="ＭＳ ゴシック" w:eastAsia="ＭＳ ゴシック" w:hAnsi="ＭＳ ゴシック" w:hint="eastAsia"/>
                <w:sz w:val="18"/>
                <w:szCs w:val="18"/>
              </w:rPr>
              <w:t>て検討を行ったが、数値目標を定めるにはなじまないと判断（別紙⑥</w:t>
            </w:r>
            <w:r w:rsidRPr="00462117">
              <w:rPr>
                <w:rFonts w:ascii="ＭＳ ゴシック" w:eastAsia="ＭＳ ゴシック" w:hAnsi="ＭＳ ゴシック" w:hint="eastAsia"/>
                <w:sz w:val="18"/>
                <w:szCs w:val="18"/>
              </w:rPr>
              <w:t>参照）</w:t>
            </w:r>
          </w:p>
          <w:p w:rsidR="00FE05D6" w:rsidRPr="00462117" w:rsidRDefault="00FE05D6" w:rsidP="00F900CB">
            <w:pPr>
              <w:spacing w:line="0" w:lineRule="atLeast"/>
              <w:rPr>
                <w:rFonts w:ascii="ＭＳ ゴシック" w:eastAsia="ＭＳ ゴシック" w:hAnsi="ＭＳ ゴシック"/>
                <w:sz w:val="18"/>
                <w:szCs w:val="18"/>
              </w:rPr>
            </w:pP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①一般利用価値が高い駅前などは駐輪場・テナント等として貸付を行っており、未貸付地がない状況。</w:t>
            </w: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駅前駐輪場等については、継続的な利用が見込まれ、解約リスクがほとんどないと考えている。</w:t>
            </w: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また、テナント等については、</w:t>
            </w:r>
            <w:r w:rsidRPr="00462117">
              <w:rPr>
                <w:rFonts w:ascii="ＭＳ ゴシック" w:eastAsia="ＭＳ ゴシック" w:hAnsi="ＭＳ ゴシック"/>
                <w:sz w:val="18"/>
                <w:szCs w:val="18"/>
              </w:rPr>
              <w:t>JR西日本の関連会社を仲介して貸し出しを行っており、</w:t>
            </w:r>
          </w:p>
          <w:p w:rsidR="00FE05D6" w:rsidRPr="00462117" w:rsidRDefault="00FE05D6" w:rsidP="002E3163">
            <w:pPr>
              <w:spacing w:line="0" w:lineRule="atLeast"/>
              <w:ind w:left="180" w:hangingChars="100" w:hanging="180"/>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 xml:space="preserve">　テナントが撤退した場合でも</w:t>
            </w:r>
            <w:r w:rsidRPr="00462117">
              <w:rPr>
                <w:rFonts w:ascii="ＭＳ ゴシック" w:eastAsia="ＭＳ ゴシック" w:hAnsi="ＭＳ ゴシック"/>
                <w:sz w:val="18"/>
                <w:szCs w:val="18"/>
              </w:rPr>
              <w:t>JR西日本の関連会社からの賃料収入が得られるため、収益面でのリスクは生じず、</w:t>
            </w:r>
            <w:r w:rsidRPr="00462117">
              <w:rPr>
                <w:rFonts w:ascii="ＭＳ ゴシック" w:eastAsia="ＭＳ ゴシック" w:hAnsi="ＭＳ ゴシック" w:hint="eastAsia"/>
                <w:sz w:val="18"/>
                <w:szCs w:val="18"/>
              </w:rPr>
              <w:t>借入金返済に支障を生じさせることが無い。</w:t>
            </w:r>
          </w:p>
          <w:p w:rsidR="00FE05D6" w:rsidRPr="00462117" w:rsidRDefault="00FE05D6" w:rsidP="00F900CB">
            <w:pPr>
              <w:spacing w:line="0" w:lineRule="atLeast"/>
              <w:rPr>
                <w:rFonts w:ascii="ＭＳ ゴシック" w:eastAsia="ＭＳ ゴシック" w:hAnsi="ＭＳ ゴシック"/>
                <w:sz w:val="18"/>
                <w:szCs w:val="18"/>
              </w:rPr>
            </w:pPr>
          </w:p>
          <w:p w:rsidR="00FE05D6" w:rsidRPr="00462117" w:rsidRDefault="00FE05D6" w:rsidP="00F900CB">
            <w:pPr>
              <w:spacing w:line="0" w:lineRule="atLeast"/>
              <w:rPr>
                <w:rFonts w:ascii="ＭＳ ゴシック" w:eastAsia="ＭＳ ゴシック" w:hAnsi="ＭＳ ゴシック"/>
                <w:sz w:val="18"/>
                <w:szCs w:val="18"/>
              </w:rPr>
            </w:pPr>
            <w:r w:rsidRPr="00462117">
              <w:rPr>
                <w:rFonts w:ascii="ＭＳ ゴシック" w:eastAsia="ＭＳ ゴシック" w:hAnsi="ＭＳ ゴシック" w:hint="eastAsia"/>
                <w:sz w:val="18"/>
                <w:szCs w:val="18"/>
              </w:rPr>
              <w:t>②未貸付地は進入路が確保できないため、貸付困難な箇所が多い。</w:t>
            </w:r>
          </w:p>
        </w:tc>
      </w:tr>
    </w:tbl>
    <w:p w:rsidR="00E04A0F" w:rsidRPr="00E04A0F" w:rsidRDefault="00E04A0F">
      <w:pPr>
        <w:rPr>
          <w:rFonts w:ascii="ＭＳ ゴシック" w:eastAsia="ＭＳ ゴシック" w:hAnsi="ＭＳ ゴシック"/>
          <w:sz w:val="18"/>
          <w:szCs w:val="18"/>
        </w:rPr>
      </w:pPr>
    </w:p>
    <w:sectPr w:rsidR="00E04A0F" w:rsidRPr="00E04A0F" w:rsidSect="00854010">
      <w:headerReference w:type="even" r:id="rId6"/>
      <w:headerReference w:type="default" r:id="rId7"/>
      <w:footerReference w:type="even" r:id="rId8"/>
      <w:footerReference w:type="default" r:id="rId9"/>
      <w:headerReference w:type="first" r:id="rId10"/>
      <w:footerReference w:type="first" r:id="rId11"/>
      <w:pgSz w:w="16838" w:h="23811" w:code="8"/>
      <w:pgMar w:top="1985"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6E" w:rsidRDefault="00B7126E" w:rsidP="00F900CB">
      <w:r>
        <w:separator/>
      </w:r>
    </w:p>
  </w:endnote>
  <w:endnote w:type="continuationSeparator" w:id="0">
    <w:p w:rsidR="00B7126E" w:rsidRDefault="00B7126E"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B4" w:rsidRDefault="00C21D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CB" w:rsidRPr="003A3BD9" w:rsidRDefault="00F900CB" w:rsidP="003A3B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B4" w:rsidRDefault="00C21D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6E" w:rsidRDefault="00B7126E" w:rsidP="00F900CB">
      <w:r>
        <w:separator/>
      </w:r>
    </w:p>
  </w:footnote>
  <w:footnote w:type="continuationSeparator" w:id="0">
    <w:p w:rsidR="00B7126E" w:rsidRDefault="00B7126E" w:rsidP="00F9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B4" w:rsidRDefault="00C21D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B4" w:rsidRDefault="00C21D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B4" w:rsidRDefault="00C21D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C77F3"/>
    <w:rsid w:val="00244231"/>
    <w:rsid w:val="00275F6D"/>
    <w:rsid w:val="002772D0"/>
    <w:rsid w:val="002E3163"/>
    <w:rsid w:val="00350882"/>
    <w:rsid w:val="003A3BD9"/>
    <w:rsid w:val="00462117"/>
    <w:rsid w:val="004A5528"/>
    <w:rsid w:val="0050155C"/>
    <w:rsid w:val="006B720B"/>
    <w:rsid w:val="00854010"/>
    <w:rsid w:val="009D52AD"/>
    <w:rsid w:val="00AC67CC"/>
    <w:rsid w:val="00B7126E"/>
    <w:rsid w:val="00C21DB4"/>
    <w:rsid w:val="00CB7E87"/>
    <w:rsid w:val="00CC26CF"/>
    <w:rsid w:val="00DB0B8C"/>
    <w:rsid w:val="00E04A0F"/>
    <w:rsid w:val="00E45EBA"/>
    <w:rsid w:val="00E941C8"/>
    <w:rsid w:val="00E96068"/>
    <w:rsid w:val="00EB6E82"/>
    <w:rsid w:val="00F16053"/>
    <w:rsid w:val="00F900CB"/>
    <w:rsid w:val="00FE0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2021-06-18T08:18:00Z</dcterms:created>
  <dcterms:modified xsi:type="dcterms:W3CDTF">2021-06-18T08:19:00Z</dcterms:modified>
</cp:coreProperties>
</file>