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103" w:rsidRPr="006310D3" w:rsidRDefault="00F87103" w:rsidP="00F87103">
      <w:pPr>
        <w:rPr>
          <w:rFonts w:asciiTheme="majorEastAsia" w:eastAsiaTheme="majorEastAsia" w:hAnsiTheme="majorEastAsia"/>
          <w:b/>
          <w:sz w:val="28"/>
          <w:shd w:val="pct15" w:color="auto" w:fill="FFFFFF"/>
        </w:rPr>
      </w:pPr>
      <w:bookmarkStart w:id="0" w:name="_GoBack"/>
      <w:bookmarkEnd w:id="0"/>
      <w:r w:rsidRPr="006310D3">
        <w:rPr>
          <w:rFonts w:asciiTheme="majorEastAsia" w:eastAsiaTheme="majorEastAsia" w:hAnsiTheme="majorEastAsia" w:hint="eastAsia"/>
          <w:b/>
          <w:sz w:val="28"/>
          <w:shd w:val="pct15" w:color="auto" w:fill="FFFFFF"/>
        </w:rPr>
        <w:t>２章　これまでの取組み</w:t>
      </w:r>
      <w:r w:rsidR="00614796" w:rsidRPr="006310D3">
        <w:rPr>
          <w:rFonts w:asciiTheme="majorEastAsia" w:eastAsiaTheme="majorEastAsia" w:hAnsiTheme="majorEastAsia" w:hint="eastAsia"/>
          <w:b/>
          <w:sz w:val="28"/>
          <w:shd w:val="pct15" w:color="auto" w:fill="FFFFFF"/>
        </w:rPr>
        <w:t>について</w:t>
      </w:r>
      <w:r w:rsidR="00363466">
        <w:rPr>
          <w:rFonts w:asciiTheme="majorEastAsia" w:eastAsiaTheme="majorEastAsia" w:hAnsiTheme="majorEastAsia" w:hint="eastAsia"/>
          <w:b/>
          <w:sz w:val="28"/>
          <w:shd w:val="pct15" w:color="auto" w:fill="FFFFFF"/>
        </w:rPr>
        <w:t xml:space="preserve">　　　　　　　　　　　　　　　　　　　　　</w:t>
      </w:r>
    </w:p>
    <w:p w:rsidR="00BA733C" w:rsidRDefault="00BA733C" w:rsidP="00BA733C">
      <w:pPr>
        <w:jc w:val="left"/>
        <w:rPr>
          <w:sz w:val="24"/>
        </w:rPr>
      </w:pPr>
    </w:p>
    <w:p w:rsidR="00BA733C" w:rsidRPr="002455CA" w:rsidRDefault="00646460" w:rsidP="00BA733C">
      <w:pPr>
        <w:jc w:val="left"/>
        <w:rPr>
          <w:rFonts w:asciiTheme="majorEastAsia" w:eastAsiaTheme="majorEastAsia" w:hAnsiTheme="majorEastAsia"/>
          <w:b/>
          <w:sz w:val="24"/>
        </w:rPr>
      </w:pPr>
      <w:r w:rsidRPr="002455CA">
        <w:rPr>
          <w:rFonts w:asciiTheme="majorEastAsia" w:eastAsiaTheme="majorEastAsia" w:hAnsiTheme="majorEastAsia" w:hint="eastAsia"/>
          <w:b/>
          <w:sz w:val="24"/>
        </w:rPr>
        <w:t>１　働きやすい職場環境づくり</w:t>
      </w:r>
    </w:p>
    <w:p w:rsidR="00646460" w:rsidRPr="00BA733C" w:rsidRDefault="00646460" w:rsidP="00BA733C">
      <w:pPr>
        <w:jc w:val="left"/>
        <w:rPr>
          <w:rFonts w:asciiTheme="minorEastAsia" w:hAnsiTheme="minorEastAsia"/>
          <w:b/>
          <w:sz w:val="24"/>
        </w:rPr>
      </w:pPr>
      <w:r w:rsidRPr="00BA733C">
        <w:rPr>
          <w:rFonts w:asciiTheme="minorEastAsia" w:hAnsiTheme="minorEastAsia" w:hint="eastAsia"/>
          <w:bCs/>
          <w:sz w:val="24"/>
        </w:rPr>
        <w:t>（１）休暇・休業制度の整備・改善</w:t>
      </w:r>
    </w:p>
    <w:p w:rsidR="00646460" w:rsidRPr="00BA733C" w:rsidRDefault="00646460" w:rsidP="00646460">
      <w:pPr>
        <w:ind w:leftChars="100" w:left="210" w:firstLineChars="100" w:firstLine="240"/>
        <w:rPr>
          <w:rFonts w:asciiTheme="minorEastAsia" w:hAnsiTheme="minorEastAsia"/>
          <w:bCs/>
          <w:sz w:val="24"/>
        </w:rPr>
      </w:pPr>
      <w:r w:rsidRPr="00BA733C">
        <w:rPr>
          <w:rFonts w:asciiTheme="minorEastAsia" w:hAnsiTheme="minorEastAsia" w:hint="eastAsia"/>
          <w:bCs/>
          <w:sz w:val="24"/>
        </w:rPr>
        <w:t>本府では、従前から、職員の仕事とプライベートの両立を支援するため、様々な休暇・休業制度を整備・改善してきました。</w:t>
      </w:r>
    </w:p>
    <w:p w:rsidR="00646460" w:rsidRPr="00BA733C" w:rsidRDefault="00646460" w:rsidP="00646460">
      <w:pPr>
        <w:ind w:leftChars="100" w:left="210" w:firstLineChars="100" w:firstLine="240"/>
        <w:rPr>
          <w:rFonts w:asciiTheme="minorEastAsia" w:hAnsiTheme="minorEastAsia"/>
          <w:bCs/>
          <w:sz w:val="24"/>
        </w:rPr>
      </w:pPr>
      <w:r w:rsidRPr="00BA733C">
        <w:rPr>
          <w:rFonts w:asciiTheme="minorEastAsia" w:hAnsiTheme="minorEastAsia" w:hint="eastAsia"/>
          <w:bCs/>
          <w:sz w:val="24"/>
        </w:rPr>
        <w:t>育児休業等については、地方公務員の育児休業等に関する法律（平成３年法律第110号）の施行に伴い、平成４年に、性別に関わらず１歳に達するまでの子を養育する職員が休業できる育児休業を導入しました。平成14年には３歳に達するまでの子に拡充し、平成22年には配偶者が専業主婦（夫）であるなど他の親が養育可能な場合であっても取得を可能とする等、制度の改善を行ってきました。また、平成20年には、小学校就学前の子を養育するために複数の勤務形態から希望する日及び時間帯を選択し勤務できる育児短時間勤務を、令和２年４月にはさらに、これに引き続き小学校３年生までの子を養育するために取得できる子育て部分休暇を導入しました。</w:t>
      </w:r>
    </w:p>
    <w:p w:rsidR="00646460" w:rsidRPr="00BA733C" w:rsidRDefault="00646460" w:rsidP="00646460">
      <w:pPr>
        <w:ind w:leftChars="100" w:left="210" w:firstLineChars="100" w:firstLine="240"/>
        <w:rPr>
          <w:rFonts w:asciiTheme="minorEastAsia" w:hAnsiTheme="minorEastAsia"/>
          <w:bCs/>
          <w:sz w:val="24"/>
        </w:rPr>
      </w:pPr>
      <w:r w:rsidRPr="00BA733C">
        <w:rPr>
          <w:rFonts w:asciiTheme="minorEastAsia" w:hAnsiTheme="minorEastAsia" w:hint="eastAsia"/>
          <w:bCs/>
          <w:sz w:val="24"/>
        </w:rPr>
        <w:t>特別休暇については、民間状況も一定反映されている国制度に準じて、産前・産後休暇や、生後１年に達しない子を育てる場合に１日２回（30分と１時間）取得できる育児時間休暇、疾病にかかった子の世話を行う場合に年５日まで取得できる子の看護休暇など、育児や介護等のための休暇制度を整備してきました。平成17年には、仕事と子育ての両立支援をより一層推進する上で男性職員の一層の育児参加を促すため男性（配偶者）の育児参加休暇を導入するとともに、育児時間休暇の対象を生後１年６月に達しない子に拡充しました。平成22年には、子が２人以上いる場合の子の看護休暇について取得日数を年10日までに拡充しました。</w:t>
      </w:r>
    </w:p>
    <w:p w:rsidR="00646460" w:rsidRPr="00BA733C" w:rsidRDefault="00646460" w:rsidP="00646460">
      <w:pPr>
        <w:ind w:leftChars="100" w:left="210" w:firstLineChars="100" w:firstLine="240"/>
        <w:rPr>
          <w:rFonts w:asciiTheme="minorEastAsia" w:hAnsiTheme="minorEastAsia"/>
          <w:bCs/>
          <w:sz w:val="24"/>
        </w:rPr>
      </w:pPr>
      <w:r w:rsidRPr="00BA733C">
        <w:rPr>
          <w:rFonts w:asciiTheme="minorEastAsia" w:hAnsiTheme="minorEastAsia" w:hint="eastAsia"/>
          <w:bCs/>
          <w:sz w:val="24"/>
        </w:rPr>
        <w:t>介護休暇等については、平成７年に家族の介護をするために年120日まで取得できる介護休暇を導入し、平成14年には介護を必要とする一の継続する状態ごとに180日までに変更しました。また、平成22年に介護その他の世話をする場合に年５日まで取得できる短期介護休暇を導入しました。</w:t>
      </w:r>
    </w:p>
    <w:p w:rsidR="00646460" w:rsidRPr="00BA733C" w:rsidRDefault="00646460" w:rsidP="00646460">
      <w:pPr>
        <w:ind w:leftChars="100" w:left="210" w:firstLineChars="100" w:firstLine="240"/>
        <w:rPr>
          <w:rFonts w:asciiTheme="minorEastAsia" w:hAnsiTheme="minorEastAsia"/>
          <w:bCs/>
          <w:sz w:val="24"/>
        </w:rPr>
      </w:pPr>
      <w:r w:rsidRPr="00BA733C">
        <w:rPr>
          <w:rFonts w:asciiTheme="minorEastAsia" w:hAnsiTheme="minorEastAsia" w:hint="eastAsia"/>
          <w:bCs/>
          <w:sz w:val="24"/>
        </w:rPr>
        <w:t>勤務時間については、国や他府県、民間の状況を踏まえ平成22年に１週間の勤務時間を40時間から38時間45分に、１日の勤務時間を８時間から７時間45分に短縮しました。また、同年に保育所等への送迎を行う職員のための</w:t>
      </w:r>
      <w:r w:rsidRPr="00BA733C">
        <w:rPr>
          <w:rFonts w:asciiTheme="minorEastAsia" w:hAnsiTheme="minorEastAsia" w:hint="eastAsia"/>
          <w:bCs/>
          <w:sz w:val="24"/>
        </w:rPr>
        <w:lastRenderedPageBreak/>
        <w:t>早出遅出勤務を導入し、平成23年には介護を行う職員、平成24年には放課後児童クラブへの送迎を行う職員を対象に加えました。また、平成11年に育児・介護を行う職員の深夜勤務及び時間外勤務の制限を実施し、平成22年には、３歳未満の子のある職員が請求した場合には、原則、時間外勤務を免除することとしました。</w:t>
      </w:r>
    </w:p>
    <w:p w:rsidR="00BA733C" w:rsidRDefault="00BA733C" w:rsidP="00646460">
      <w:pPr>
        <w:ind w:leftChars="100" w:left="210" w:firstLineChars="100" w:firstLine="240"/>
        <w:rPr>
          <w:rFonts w:asciiTheme="minorEastAsia" w:hAnsiTheme="minorEastAsia"/>
          <w:bCs/>
          <w:sz w:val="24"/>
        </w:rPr>
      </w:pPr>
    </w:p>
    <w:p w:rsidR="00646460" w:rsidRPr="00BA733C" w:rsidRDefault="00646460" w:rsidP="00BA733C">
      <w:pPr>
        <w:rPr>
          <w:rFonts w:asciiTheme="minorEastAsia" w:hAnsiTheme="minorEastAsia"/>
          <w:bCs/>
          <w:sz w:val="24"/>
        </w:rPr>
      </w:pPr>
      <w:r w:rsidRPr="00BA733C">
        <w:rPr>
          <w:rFonts w:asciiTheme="minorEastAsia" w:hAnsiTheme="minorEastAsia" w:hint="eastAsia"/>
          <w:bCs/>
          <w:sz w:val="24"/>
        </w:rPr>
        <w:t>（２）育児休業等を取得しやすい職場環境づくり</w:t>
      </w:r>
    </w:p>
    <w:p w:rsidR="00646460" w:rsidRPr="00BA733C" w:rsidRDefault="00646460" w:rsidP="00646460">
      <w:pPr>
        <w:ind w:leftChars="100" w:left="210" w:firstLineChars="100" w:firstLine="240"/>
        <w:rPr>
          <w:rFonts w:asciiTheme="minorEastAsia" w:hAnsiTheme="minorEastAsia"/>
          <w:bCs/>
          <w:sz w:val="24"/>
        </w:rPr>
      </w:pPr>
      <w:r w:rsidRPr="00BA733C">
        <w:rPr>
          <w:rFonts w:asciiTheme="minorEastAsia" w:hAnsiTheme="minorEastAsia" w:hint="eastAsia"/>
          <w:bCs/>
          <w:sz w:val="24"/>
        </w:rPr>
        <w:t>育児休業等の制度を十分に活用できるよう、育児休業中の職員の代替要員の確保や、各種制度の周知を進めてきました。</w:t>
      </w:r>
    </w:p>
    <w:p w:rsidR="00646460" w:rsidRPr="00BA733C" w:rsidRDefault="00646460" w:rsidP="00646460">
      <w:pPr>
        <w:ind w:leftChars="100" w:left="210" w:firstLineChars="100" w:firstLine="240"/>
        <w:rPr>
          <w:rFonts w:asciiTheme="minorEastAsia" w:hAnsiTheme="minorEastAsia"/>
          <w:bCs/>
          <w:sz w:val="24"/>
        </w:rPr>
      </w:pPr>
      <w:r w:rsidRPr="00BA733C">
        <w:rPr>
          <w:rFonts w:asciiTheme="minorEastAsia" w:hAnsiTheme="minorEastAsia" w:hint="eastAsia"/>
          <w:bCs/>
          <w:sz w:val="24"/>
        </w:rPr>
        <w:t>代替要員の確保については、常勤職員・非常勤職員のほか、一部職種（社会福祉職、保健師職、薬学職等）において臨時的任用による対応を行っています。</w:t>
      </w:r>
    </w:p>
    <w:p w:rsidR="00646460" w:rsidRPr="00BA733C" w:rsidRDefault="00646460" w:rsidP="00646460">
      <w:pPr>
        <w:ind w:leftChars="100" w:left="210" w:firstLineChars="100" w:firstLine="240"/>
        <w:rPr>
          <w:rFonts w:asciiTheme="minorEastAsia" w:hAnsiTheme="minorEastAsia"/>
          <w:bCs/>
          <w:sz w:val="24"/>
        </w:rPr>
      </w:pPr>
      <w:r w:rsidRPr="00BA733C">
        <w:rPr>
          <w:rFonts w:asciiTheme="minorEastAsia" w:hAnsiTheme="minorEastAsia" w:hint="eastAsia"/>
          <w:bCs/>
          <w:sz w:val="24"/>
        </w:rPr>
        <w:t>また、平成23年からは、出産の機会をとらえて子育てのために休暇等を取得する意識づくりに取組むため、配偶者の育児参加休暇の取得を促進しており、令和元年度の取得率は67.4％となっています。</w:t>
      </w:r>
    </w:p>
    <w:p w:rsidR="00646460" w:rsidRPr="00BA733C" w:rsidRDefault="00646460" w:rsidP="00646460">
      <w:pPr>
        <w:ind w:leftChars="100" w:left="210" w:firstLineChars="100" w:firstLine="240"/>
        <w:rPr>
          <w:rFonts w:asciiTheme="minorEastAsia" w:hAnsiTheme="minorEastAsia"/>
          <w:bCs/>
          <w:sz w:val="24"/>
        </w:rPr>
      </w:pPr>
    </w:p>
    <w:p w:rsidR="00646460" w:rsidRPr="00BA733C" w:rsidRDefault="00646460" w:rsidP="00BA733C">
      <w:pPr>
        <w:rPr>
          <w:rFonts w:asciiTheme="minorEastAsia" w:hAnsiTheme="minorEastAsia"/>
          <w:bCs/>
          <w:sz w:val="24"/>
        </w:rPr>
      </w:pPr>
      <w:r w:rsidRPr="00BA733C">
        <w:rPr>
          <w:rFonts w:asciiTheme="minorEastAsia" w:hAnsiTheme="minorEastAsia" w:hint="eastAsia"/>
          <w:bCs/>
          <w:sz w:val="24"/>
        </w:rPr>
        <w:t>（３）時間外勤務の縮減</w:t>
      </w:r>
    </w:p>
    <w:p w:rsidR="00646460" w:rsidRPr="00BA733C" w:rsidRDefault="00646460" w:rsidP="00646460">
      <w:pPr>
        <w:ind w:leftChars="100" w:left="210" w:firstLineChars="100" w:firstLine="240"/>
        <w:rPr>
          <w:rFonts w:asciiTheme="minorEastAsia" w:hAnsiTheme="minorEastAsia"/>
          <w:bCs/>
          <w:sz w:val="24"/>
        </w:rPr>
      </w:pPr>
      <w:r w:rsidRPr="00BA733C">
        <w:rPr>
          <w:rFonts w:asciiTheme="minorEastAsia" w:hAnsiTheme="minorEastAsia" w:hint="eastAsia"/>
          <w:bCs/>
          <w:sz w:val="24"/>
        </w:rPr>
        <w:t>本府では、時間外勤務の縮減のため、かねてからゆとりの日・ゆとり週間の実施など、様々な取組みを行ってきたところです。</w:t>
      </w:r>
    </w:p>
    <w:p w:rsidR="00646460" w:rsidRPr="00BA733C" w:rsidRDefault="00646460" w:rsidP="00646460">
      <w:pPr>
        <w:ind w:leftChars="100" w:left="210" w:firstLineChars="100" w:firstLine="240"/>
        <w:rPr>
          <w:rFonts w:asciiTheme="minorEastAsia" w:hAnsiTheme="minorEastAsia"/>
          <w:bCs/>
          <w:sz w:val="24"/>
        </w:rPr>
      </w:pPr>
      <w:r w:rsidRPr="00BA733C">
        <w:rPr>
          <w:rFonts w:asciiTheme="minorEastAsia" w:hAnsiTheme="minorEastAsia" w:hint="eastAsia"/>
          <w:bCs/>
          <w:sz w:val="24"/>
        </w:rPr>
        <w:t>平成14年５月には、１年につき360時間、１月につき45時間の時間外勤務上限目標時間を設定しました。平成17年７月には、年間360時間を超える時間外勤務命令は原則として禁止するとともに、事前届出・命令の徹底、時間外勤務の管理の徹底、ゆとりの日等の定時退庁の実効性確保などに取り組むこととし、平成21年５月には、原則、午後９時までに執務室の消灯を行うこととしました。</w:t>
      </w:r>
    </w:p>
    <w:p w:rsidR="00646460" w:rsidRPr="00BA733C" w:rsidRDefault="00646460" w:rsidP="00646460">
      <w:pPr>
        <w:ind w:leftChars="100" w:left="210" w:firstLineChars="100" w:firstLine="240"/>
        <w:rPr>
          <w:rFonts w:asciiTheme="minorEastAsia" w:hAnsiTheme="minorEastAsia"/>
          <w:bCs/>
          <w:sz w:val="24"/>
        </w:rPr>
      </w:pPr>
      <w:r w:rsidRPr="00BA733C">
        <w:rPr>
          <w:rFonts w:asciiTheme="minorEastAsia" w:hAnsiTheme="minorEastAsia" w:hint="eastAsia"/>
          <w:bCs/>
          <w:sz w:val="24"/>
        </w:rPr>
        <w:t>さらに、令和元年度からは、所属ごとの年間の時間外勤務数の上限を設定し、その時間を超える時間外勤務命令を禁止し、例外的に、時間外勤務が年間360時間を超える場合は、例外部署の指定を行っています。</w:t>
      </w:r>
    </w:p>
    <w:p w:rsidR="00646460" w:rsidRPr="00BA733C" w:rsidRDefault="00646460" w:rsidP="00646460">
      <w:pPr>
        <w:ind w:leftChars="100" w:left="210" w:firstLineChars="100" w:firstLine="240"/>
        <w:rPr>
          <w:rFonts w:asciiTheme="minorEastAsia" w:hAnsiTheme="minorEastAsia"/>
          <w:bCs/>
          <w:sz w:val="24"/>
        </w:rPr>
      </w:pPr>
      <w:r w:rsidRPr="00BA733C">
        <w:rPr>
          <w:rFonts w:asciiTheme="minorEastAsia" w:hAnsiTheme="minorEastAsia" w:hint="eastAsia"/>
          <w:bCs/>
          <w:sz w:val="24"/>
        </w:rPr>
        <w:t>また、ゆとり推進責任者（</w:t>
      </w:r>
      <w:r w:rsidR="0006299E">
        <w:rPr>
          <w:rFonts w:asciiTheme="minorEastAsia" w:hAnsiTheme="minorEastAsia" w:hint="eastAsia"/>
          <w:bCs/>
          <w:sz w:val="24"/>
        </w:rPr>
        <w:t>各部局</w:t>
      </w:r>
      <w:r w:rsidRPr="00BA733C">
        <w:rPr>
          <w:rFonts w:asciiTheme="minorEastAsia" w:hAnsiTheme="minorEastAsia" w:hint="eastAsia"/>
          <w:bCs/>
          <w:sz w:val="24"/>
        </w:rPr>
        <w:t>次長）会議において、四半期ごとに時間外勤務実績を報告・共有するとともに、一層の取組みを要請するなど、全庁的に時間外勤務の縮減に取り組んでいます。</w:t>
      </w:r>
    </w:p>
    <w:p w:rsidR="00646460" w:rsidRDefault="00646460" w:rsidP="00646460">
      <w:pPr>
        <w:ind w:leftChars="100" w:left="210" w:firstLineChars="100" w:firstLine="240"/>
        <w:rPr>
          <w:rFonts w:asciiTheme="minorEastAsia" w:hAnsiTheme="minorEastAsia"/>
          <w:bCs/>
          <w:sz w:val="24"/>
        </w:rPr>
      </w:pPr>
      <w:r w:rsidRPr="00BA733C">
        <w:rPr>
          <w:rFonts w:asciiTheme="minorEastAsia" w:hAnsiTheme="minorEastAsia" w:hint="eastAsia"/>
          <w:bCs/>
          <w:sz w:val="24"/>
        </w:rPr>
        <w:t>さらに、過重労働ゼロに向けた改善措置として、平成29年１月実績から時</w:t>
      </w:r>
      <w:r w:rsidRPr="00BA733C">
        <w:rPr>
          <w:rFonts w:asciiTheme="minorEastAsia" w:hAnsiTheme="minorEastAsia" w:hint="eastAsia"/>
          <w:bCs/>
          <w:sz w:val="24"/>
        </w:rPr>
        <w:lastRenderedPageBreak/>
        <w:t>間外勤務実績が月80時間を超えている職員に対して次長面談などを実施し、改善措置を実施しています。</w:t>
      </w:r>
    </w:p>
    <w:p w:rsidR="00BA733C" w:rsidRDefault="00BA733C" w:rsidP="00646460">
      <w:pPr>
        <w:ind w:leftChars="100" w:left="210" w:firstLineChars="100" w:firstLine="240"/>
        <w:rPr>
          <w:rFonts w:asciiTheme="minorEastAsia" w:hAnsiTheme="minorEastAsia"/>
          <w:bCs/>
          <w:sz w:val="24"/>
        </w:rPr>
      </w:pPr>
    </w:p>
    <w:p w:rsidR="00646460" w:rsidRPr="00BA733C" w:rsidRDefault="00646460" w:rsidP="00BA733C">
      <w:pPr>
        <w:rPr>
          <w:rFonts w:asciiTheme="minorEastAsia" w:hAnsiTheme="minorEastAsia"/>
          <w:bCs/>
          <w:sz w:val="24"/>
        </w:rPr>
      </w:pPr>
      <w:r w:rsidRPr="00BA733C">
        <w:rPr>
          <w:rFonts w:asciiTheme="minorEastAsia" w:hAnsiTheme="minorEastAsia" w:hint="eastAsia"/>
          <w:bCs/>
          <w:sz w:val="24"/>
        </w:rPr>
        <w:t>（４）ハラスメントのない職場づくり</w:t>
      </w:r>
    </w:p>
    <w:p w:rsidR="00646460" w:rsidRPr="00BA733C" w:rsidRDefault="00646460" w:rsidP="00646460">
      <w:pPr>
        <w:ind w:leftChars="100" w:left="210" w:firstLineChars="100" w:firstLine="240"/>
        <w:rPr>
          <w:rFonts w:asciiTheme="minorEastAsia" w:hAnsiTheme="minorEastAsia"/>
          <w:bCs/>
          <w:sz w:val="24"/>
        </w:rPr>
      </w:pPr>
      <w:r w:rsidRPr="00BA733C">
        <w:rPr>
          <w:rFonts w:asciiTheme="minorEastAsia" w:hAnsiTheme="minorEastAsia" w:hint="eastAsia"/>
          <w:bCs/>
          <w:sz w:val="24"/>
        </w:rPr>
        <w:t>本府では、「職場におけるセクシュアル・ハラスメントの防止及び対応に関する指針」「職場におけるパワー・ハラスメントの防止及び対応に関する指針」「妊娠・出産・育児休業・介護休業等に関するハラスメントの防止及び対応に関する指針」を策定し、職員の意識啓発、相談体制の整備、研修の３点からハラスメントのない職場づくりに取り組んできました。</w:t>
      </w:r>
    </w:p>
    <w:p w:rsidR="00646460" w:rsidRPr="00BA733C" w:rsidRDefault="00646460" w:rsidP="00646460">
      <w:pPr>
        <w:ind w:leftChars="100" w:left="210" w:firstLineChars="100" w:firstLine="240"/>
        <w:rPr>
          <w:rFonts w:asciiTheme="minorEastAsia" w:hAnsiTheme="minorEastAsia"/>
          <w:bCs/>
          <w:sz w:val="24"/>
        </w:rPr>
      </w:pPr>
      <w:r w:rsidRPr="00BA733C">
        <w:rPr>
          <w:rFonts w:asciiTheme="minorEastAsia" w:hAnsiTheme="minorEastAsia" w:hint="eastAsia"/>
          <w:bCs/>
          <w:sz w:val="24"/>
        </w:rPr>
        <w:t>令和２年</w:t>
      </w:r>
      <w:r w:rsidR="00C73273" w:rsidRPr="008F6042">
        <w:rPr>
          <w:rFonts w:asciiTheme="minorEastAsia" w:hAnsiTheme="minorEastAsia" w:hint="eastAsia"/>
          <w:bCs/>
          <w:color w:val="000000" w:themeColor="text1"/>
          <w:sz w:val="24"/>
        </w:rPr>
        <w:t>度</w:t>
      </w:r>
      <w:r w:rsidRPr="00BA733C">
        <w:rPr>
          <w:rFonts w:asciiTheme="minorEastAsia" w:hAnsiTheme="minorEastAsia" w:hint="eastAsia"/>
          <w:bCs/>
          <w:sz w:val="24"/>
        </w:rPr>
        <w:t>には、ハラスメントに関する人事院規則の制定等を踏まえ、ハラスメントの概念を明確化するとともに、ハラスメントになり得る言動を具体的に列挙するなど、ハラスメント防止及び対応にかかる指針を改定し、職員に周知するとともに意識啓発したところです。</w:t>
      </w:r>
    </w:p>
    <w:p w:rsidR="00646460" w:rsidRPr="00BA733C" w:rsidRDefault="00646460" w:rsidP="00646460">
      <w:pPr>
        <w:ind w:leftChars="100" w:left="210" w:firstLineChars="100" w:firstLine="240"/>
        <w:rPr>
          <w:rFonts w:asciiTheme="minorEastAsia" w:hAnsiTheme="minorEastAsia"/>
          <w:bCs/>
          <w:sz w:val="24"/>
        </w:rPr>
      </w:pPr>
      <w:r w:rsidRPr="00BA733C">
        <w:rPr>
          <w:rFonts w:asciiTheme="minorEastAsia" w:hAnsiTheme="minorEastAsia" w:hint="eastAsia"/>
          <w:bCs/>
          <w:sz w:val="24"/>
        </w:rPr>
        <w:t>指針では、所属長等管理監督者の責務や具体的な対応例などを明示するとともに、所属長等、各部人事主管課、職員総合相談センターを相談窓口とし、相談者に適切なアドバイスを行うとともに、必要に応じて専門相談員（女性弁護士）が専門的なアドバイスを行ってきました。また、課長級、課長補佐級の職員に対してハラスメントに関する研修を実施するとともに、ハラスメント防止と相談体制の周知徹底を図るため、非常勤職員を含む全職員に対して知事からのメッセージを発信するなど、周知を図ってきました。</w:t>
      </w:r>
    </w:p>
    <w:p w:rsidR="00646460" w:rsidRPr="00BA733C" w:rsidRDefault="00646460" w:rsidP="00646460">
      <w:pPr>
        <w:ind w:leftChars="100" w:left="210" w:firstLineChars="100" w:firstLine="240"/>
        <w:rPr>
          <w:rFonts w:asciiTheme="minorEastAsia" w:hAnsiTheme="minorEastAsia"/>
          <w:bCs/>
          <w:sz w:val="24"/>
        </w:rPr>
      </w:pPr>
    </w:p>
    <w:p w:rsidR="00646460" w:rsidRPr="00BA733C" w:rsidRDefault="00646460" w:rsidP="00BA733C">
      <w:pPr>
        <w:rPr>
          <w:rFonts w:asciiTheme="minorEastAsia" w:hAnsiTheme="minorEastAsia"/>
          <w:bCs/>
          <w:sz w:val="24"/>
        </w:rPr>
      </w:pPr>
      <w:r w:rsidRPr="00BA733C">
        <w:rPr>
          <w:rFonts w:asciiTheme="minorEastAsia" w:hAnsiTheme="minorEastAsia" w:hint="eastAsia"/>
          <w:bCs/>
          <w:sz w:val="24"/>
        </w:rPr>
        <w:t>（５）テレワークの推進</w:t>
      </w:r>
    </w:p>
    <w:p w:rsidR="00646460" w:rsidRPr="00BA733C" w:rsidRDefault="00646460" w:rsidP="00646460">
      <w:pPr>
        <w:ind w:leftChars="100" w:left="210" w:firstLineChars="100" w:firstLine="240"/>
        <w:rPr>
          <w:rFonts w:asciiTheme="minorEastAsia" w:hAnsiTheme="minorEastAsia"/>
          <w:bCs/>
          <w:sz w:val="24"/>
        </w:rPr>
      </w:pPr>
      <w:r w:rsidRPr="00BA733C">
        <w:rPr>
          <w:rFonts w:asciiTheme="minorEastAsia" w:hAnsiTheme="minorEastAsia" w:hint="eastAsia"/>
          <w:bCs/>
          <w:sz w:val="24"/>
        </w:rPr>
        <w:t>テレワーク（情報通信技術（ＩＣＴ）を活用した場所にとらわれない働き方）等は、職住近接の実現による通勤負担の軽減に加え、多様な働き方の選択肢を拡大するものであり、仕事と子育ての両立のしやすい働き方である点に着目して、取組みをすすめています。</w:t>
      </w:r>
    </w:p>
    <w:p w:rsidR="00646460" w:rsidRPr="00BA733C" w:rsidRDefault="00646460" w:rsidP="00646460">
      <w:pPr>
        <w:ind w:leftChars="100" w:left="210" w:firstLineChars="100" w:firstLine="240"/>
        <w:rPr>
          <w:rFonts w:asciiTheme="minorEastAsia" w:hAnsiTheme="minorEastAsia"/>
          <w:bCs/>
          <w:sz w:val="24"/>
        </w:rPr>
      </w:pPr>
      <w:r w:rsidRPr="00BA733C">
        <w:rPr>
          <w:rFonts w:asciiTheme="minorEastAsia" w:hAnsiTheme="minorEastAsia" w:hint="eastAsia"/>
          <w:bCs/>
          <w:sz w:val="24"/>
        </w:rPr>
        <w:t>在宅勤務については、平成30年度から、専用のモバイル型パソコンを用いて全庁で試行実施を行い、令和２年度からは新型コロナウイルス感染症への緊急対応として、対象職員を全職員に拡大するとともに、クラウドサービスを利用して自宅パソコンから府庁内ネットワークに接続し、庁内と同じような環境で一定範囲の業務ができるテレワークシステム（緊急テレワークシステム）の利用を開始しました。</w:t>
      </w:r>
    </w:p>
    <w:p w:rsidR="00154392" w:rsidRPr="00BA733C" w:rsidRDefault="00646460" w:rsidP="00646460">
      <w:pPr>
        <w:ind w:leftChars="100" w:left="210" w:firstLineChars="100" w:firstLine="240"/>
        <w:rPr>
          <w:rFonts w:asciiTheme="minorEastAsia" w:hAnsiTheme="minorEastAsia"/>
          <w:sz w:val="24"/>
        </w:rPr>
      </w:pPr>
      <w:r w:rsidRPr="00BA733C">
        <w:rPr>
          <w:rFonts w:asciiTheme="minorEastAsia" w:hAnsiTheme="minorEastAsia" w:hint="eastAsia"/>
          <w:bCs/>
          <w:sz w:val="24"/>
        </w:rPr>
        <w:t>また、サテライトオフィスについては、平成29年４月に泉北府民センター内に、加えて令和元年５月には三島府民センター内に設置し、試行実施を行ってきたところでありますが、職員からの継続ニーズがあり、利用が定着していることから、令和２年度から常設化したところです。</w:t>
      </w:r>
    </w:p>
    <w:p w:rsidR="00091D05" w:rsidRPr="00EE3CF7" w:rsidRDefault="00091D05" w:rsidP="00E31547">
      <w:pPr>
        <w:rPr>
          <w:sz w:val="24"/>
        </w:rPr>
      </w:pPr>
    </w:p>
    <w:p w:rsidR="00F87103" w:rsidRPr="00EE3CF7" w:rsidRDefault="00B7629B" w:rsidP="00F87103">
      <w:pPr>
        <w:rPr>
          <w:rFonts w:asciiTheme="majorEastAsia" w:eastAsiaTheme="majorEastAsia" w:hAnsiTheme="majorEastAsia"/>
          <w:sz w:val="24"/>
        </w:rPr>
      </w:pPr>
      <w:r w:rsidRPr="00EE3CF7">
        <w:rPr>
          <w:rFonts w:asciiTheme="majorEastAsia" w:eastAsiaTheme="majorEastAsia" w:hAnsiTheme="majorEastAsia" w:hint="eastAsia"/>
          <w:b/>
          <w:bCs/>
          <w:sz w:val="24"/>
        </w:rPr>
        <w:t xml:space="preserve">２　</w:t>
      </w:r>
      <w:r w:rsidR="00F87103" w:rsidRPr="00EE3CF7">
        <w:rPr>
          <w:rFonts w:asciiTheme="majorEastAsia" w:eastAsiaTheme="majorEastAsia" w:hAnsiTheme="majorEastAsia" w:hint="eastAsia"/>
          <w:b/>
          <w:bCs/>
          <w:sz w:val="24"/>
        </w:rPr>
        <w:t>女性職員の幅広い分野への任用等</w:t>
      </w:r>
    </w:p>
    <w:p w:rsidR="00646460" w:rsidRPr="00646460" w:rsidRDefault="00646460" w:rsidP="00646460">
      <w:pPr>
        <w:rPr>
          <w:rFonts w:asciiTheme="minorEastAsia" w:hAnsiTheme="minorEastAsia"/>
          <w:sz w:val="24"/>
        </w:rPr>
      </w:pPr>
      <w:r w:rsidRPr="00646460">
        <w:rPr>
          <w:rFonts w:asciiTheme="minorEastAsia" w:hAnsiTheme="minorEastAsia" w:hint="eastAsia"/>
          <w:sz w:val="24"/>
        </w:rPr>
        <w:t>（１）女性職員の複数配置</w:t>
      </w:r>
    </w:p>
    <w:p w:rsidR="00646460" w:rsidRPr="00646460" w:rsidRDefault="00646460" w:rsidP="00BA733C">
      <w:pPr>
        <w:ind w:leftChars="100" w:left="210" w:firstLineChars="100" w:firstLine="240"/>
        <w:rPr>
          <w:rFonts w:asciiTheme="minorEastAsia" w:hAnsiTheme="minorEastAsia"/>
          <w:sz w:val="24"/>
        </w:rPr>
      </w:pPr>
      <w:r w:rsidRPr="00646460">
        <w:rPr>
          <w:rFonts w:asciiTheme="minorEastAsia" w:hAnsiTheme="minorEastAsia" w:hint="eastAsia"/>
          <w:sz w:val="24"/>
        </w:rPr>
        <w:t>本府では、平成16年度当初の人事異動から、「10名以上の所属（室内課）には、原則として女性職員を配置することとし、全ての職場に複数の女性職員を配置していくことをめざす」ことを目標に掲げ、取組みを進めてきました。</w:t>
      </w:r>
    </w:p>
    <w:p w:rsidR="00646460" w:rsidRPr="00646460" w:rsidRDefault="00646460" w:rsidP="00BA733C">
      <w:pPr>
        <w:ind w:leftChars="100" w:left="210" w:firstLineChars="100" w:firstLine="240"/>
        <w:rPr>
          <w:rFonts w:asciiTheme="minorEastAsia" w:hAnsiTheme="minorEastAsia"/>
          <w:sz w:val="24"/>
        </w:rPr>
      </w:pPr>
      <w:r w:rsidRPr="00646460">
        <w:rPr>
          <w:rFonts w:asciiTheme="minorEastAsia" w:hAnsiTheme="minorEastAsia" w:hint="eastAsia"/>
          <w:sz w:val="24"/>
        </w:rPr>
        <w:t>その結果、平成15年度当初においては、職員数が10名以上である262所属のうち、女性職員を複数名配置しているのは84.7％にあたる222所属であったのに対し、令和２年度当初においては、210所属のうち、97.1％にあたる204所属に女性職員を複数名配置しています。</w:t>
      </w:r>
    </w:p>
    <w:p w:rsidR="00646460" w:rsidRPr="00646460" w:rsidRDefault="00646460" w:rsidP="00646460">
      <w:pPr>
        <w:rPr>
          <w:rFonts w:asciiTheme="minorEastAsia" w:hAnsiTheme="minorEastAsia"/>
          <w:sz w:val="24"/>
        </w:rPr>
      </w:pPr>
    </w:p>
    <w:p w:rsidR="00646460" w:rsidRPr="00646460" w:rsidRDefault="00646460" w:rsidP="00646460">
      <w:pPr>
        <w:rPr>
          <w:rFonts w:asciiTheme="minorEastAsia" w:hAnsiTheme="minorEastAsia"/>
          <w:sz w:val="24"/>
        </w:rPr>
      </w:pPr>
      <w:r w:rsidRPr="00646460">
        <w:rPr>
          <w:rFonts w:asciiTheme="minorEastAsia" w:hAnsiTheme="minorEastAsia" w:hint="eastAsia"/>
          <w:sz w:val="24"/>
        </w:rPr>
        <w:t>（２）性別に関わらない能力本位の登用</w:t>
      </w:r>
    </w:p>
    <w:p w:rsidR="00646460" w:rsidRPr="00646460" w:rsidRDefault="00646460" w:rsidP="00BA733C">
      <w:pPr>
        <w:ind w:leftChars="100" w:left="210" w:firstLineChars="100" w:firstLine="240"/>
        <w:rPr>
          <w:rFonts w:asciiTheme="minorEastAsia" w:hAnsiTheme="minorEastAsia"/>
          <w:sz w:val="24"/>
        </w:rPr>
      </w:pPr>
      <w:r w:rsidRPr="00646460">
        <w:rPr>
          <w:rFonts w:asciiTheme="minorEastAsia" w:hAnsiTheme="minorEastAsia" w:hint="eastAsia"/>
          <w:sz w:val="24"/>
        </w:rPr>
        <w:t>本府では、地方公務員法（昭和25年法律第261号）において規定されている平等取扱の原則や成績主義の原則等に基づき、これまでも性別に関わらない能力本位の登用を進めてきました。</w:t>
      </w:r>
    </w:p>
    <w:p w:rsidR="00DE440C" w:rsidRDefault="00646460" w:rsidP="00730672">
      <w:pPr>
        <w:ind w:leftChars="100" w:left="210" w:firstLineChars="100" w:firstLine="240"/>
        <w:rPr>
          <w:rFonts w:asciiTheme="minorEastAsia" w:hAnsiTheme="minorEastAsia"/>
          <w:sz w:val="24"/>
        </w:rPr>
      </w:pPr>
      <w:r w:rsidRPr="00646460">
        <w:rPr>
          <w:rFonts w:asciiTheme="minorEastAsia" w:hAnsiTheme="minorEastAsia" w:hint="eastAsia"/>
          <w:sz w:val="24"/>
        </w:rPr>
        <w:t>その結果、職員に占める女性職員の割合に加え、課長級以上に占める女性職員の割合についても年々上昇しています（表１）。</w:t>
      </w:r>
    </w:p>
    <w:p w:rsidR="00730672" w:rsidRPr="00061F7E" w:rsidRDefault="00730672" w:rsidP="00061F7E">
      <w:pPr>
        <w:rPr>
          <w:rFonts w:asciiTheme="minorEastAsia" w:hAnsiTheme="minorEastAsia"/>
          <w:sz w:val="24"/>
        </w:rPr>
      </w:pPr>
    </w:p>
    <w:p w:rsidR="000866BC" w:rsidRPr="00E31547" w:rsidRDefault="00564E1A" w:rsidP="00554DFC">
      <w:pPr>
        <w:spacing w:line="340" w:lineRule="exact"/>
        <w:ind w:rightChars="-338" w:right="-710"/>
        <w:rPr>
          <w:rFonts w:ascii="Meiryo UI" w:eastAsia="Meiryo UI" w:hAnsi="Meiryo UI" w:cs="Meiryo UI"/>
          <w:sz w:val="20"/>
          <w:szCs w:val="20"/>
        </w:rPr>
      </w:pPr>
      <w:r>
        <w:rPr>
          <w:rFonts w:ascii="Meiryo UI" w:eastAsia="Meiryo UI" w:hAnsi="Meiryo UI" w:cs="Meiryo UI" w:hint="eastAsia"/>
          <w:szCs w:val="20"/>
        </w:rPr>
        <w:t>（表１）</w:t>
      </w:r>
      <w:r w:rsidR="00554DFC" w:rsidRPr="00E31547">
        <w:rPr>
          <w:rFonts w:ascii="Meiryo UI" w:eastAsia="Meiryo UI" w:hAnsi="Meiryo UI" w:cs="Meiryo UI" w:hint="eastAsia"/>
          <w:szCs w:val="20"/>
        </w:rPr>
        <w:t>課長級以上職員数及び女性割合</w:t>
      </w:r>
      <w:r w:rsidR="00554DFC" w:rsidRPr="00E31547">
        <w:rPr>
          <w:rFonts w:ascii="Meiryo UI" w:eastAsia="Meiryo UI" w:hAnsi="Meiryo UI" w:cs="Meiryo UI" w:hint="eastAsia"/>
          <w:sz w:val="20"/>
          <w:szCs w:val="20"/>
        </w:rPr>
        <w:t xml:space="preserve">　　　　　　　　　　　　　　　　　　　　　　　　　　　　　　　　　　単位：人</w:t>
      </w:r>
    </w:p>
    <w:tbl>
      <w:tblPr>
        <w:tblW w:w="9236" w:type="dxa"/>
        <w:tblInd w:w="84" w:type="dxa"/>
        <w:tblCellMar>
          <w:left w:w="99" w:type="dxa"/>
          <w:right w:w="99" w:type="dxa"/>
        </w:tblCellMar>
        <w:tblLook w:val="04A0" w:firstRow="1" w:lastRow="0" w:firstColumn="1" w:lastColumn="0" w:noHBand="0" w:noVBand="1"/>
      </w:tblPr>
      <w:tblGrid>
        <w:gridCol w:w="1893"/>
        <w:gridCol w:w="721"/>
        <w:gridCol w:w="723"/>
        <w:gridCol w:w="723"/>
        <w:gridCol w:w="723"/>
        <w:gridCol w:w="723"/>
        <w:gridCol w:w="725"/>
        <w:gridCol w:w="726"/>
        <w:gridCol w:w="726"/>
        <w:gridCol w:w="725"/>
        <w:gridCol w:w="828"/>
      </w:tblGrid>
      <w:tr w:rsidR="005D610F" w:rsidRPr="00E31547" w:rsidTr="005D610F">
        <w:trPr>
          <w:trHeight w:val="148"/>
        </w:trPr>
        <w:tc>
          <w:tcPr>
            <w:tcW w:w="1978" w:type="dxa"/>
            <w:tcBorders>
              <w:top w:val="single" w:sz="4" w:space="0" w:color="auto"/>
              <w:left w:val="single" w:sz="4" w:space="0" w:color="auto"/>
              <w:bottom w:val="single" w:sz="4" w:space="0" w:color="auto"/>
              <w:right w:val="double" w:sz="6" w:space="0" w:color="auto"/>
            </w:tcBorders>
            <w:shd w:val="clear" w:color="auto" w:fill="F2DBDB" w:themeFill="accent2" w:themeFillTint="33"/>
            <w:vAlign w:val="center"/>
            <w:hideMark/>
          </w:tcPr>
          <w:p w:rsidR="005D610F" w:rsidRPr="00E31547" w:rsidRDefault="005D610F" w:rsidP="005D610F">
            <w:pPr>
              <w:widowControl/>
              <w:jc w:val="center"/>
              <w:rPr>
                <w:rFonts w:ascii="Meiryo UI" w:eastAsia="Meiryo UI" w:hAnsi="Meiryo UI" w:cs="Meiryo UI"/>
                <w:kern w:val="0"/>
                <w:sz w:val="20"/>
                <w:szCs w:val="20"/>
              </w:rPr>
            </w:pPr>
            <w:r w:rsidRPr="00E31547">
              <w:rPr>
                <w:rFonts w:ascii="Meiryo UI" w:eastAsia="Meiryo UI" w:hAnsi="Meiryo UI" w:cs="Meiryo UI" w:hint="eastAsia"/>
                <w:kern w:val="0"/>
                <w:sz w:val="20"/>
                <w:szCs w:val="20"/>
              </w:rPr>
              <w:t>年度</w:t>
            </w:r>
          </w:p>
        </w:tc>
        <w:tc>
          <w:tcPr>
            <w:tcW w:w="72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5D610F" w:rsidRPr="0085144F" w:rsidRDefault="005D610F" w:rsidP="005D610F">
            <w:r w:rsidRPr="0085144F">
              <w:t>H23</w:t>
            </w:r>
          </w:p>
        </w:tc>
        <w:tc>
          <w:tcPr>
            <w:tcW w:w="726" w:type="dxa"/>
            <w:tcBorders>
              <w:top w:val="single" w:sz="4" w:space="0" w:color="auto"/>
              <w:left w:val="nil"/>
              <w:bottom w:val="single" w:sz="4" w:space="0" w:color="auto"/>
              <w:right w:val="single" w:sz="4" w:space="0" w:color="auto"/>
            </w:tcBorders>
            <w:shd w:val="clear" w:color="auto" w:fill="F2DBDB" w:themeFill="accent2" w:themeFillTint="33"/>
            <w:hideMark/>
          </w:tcPr>
          <w:p w:rsidR="005D610F" w:rsidRPr="0085144F" w:rsidRDefault="005D610F" w:rsidP="005D610F">
            <w:r w:rsidRPr="0085144F">
              <w:t>H24</w:t>
            </w:r>
          </w:p>
        </w:tc>
        <w:tc>
          <w:tcPr>
            <w:tcW w:w="726" w:type="dxa"/>
            <w:tcBorders>
              <w:top w:val="single" w:sz="4" w:space="0" w:color="auto"/>
              <w:left w:val="nil"/>
              <w:bottom w:val="single" w:sz="4" w:space="0" w:color="auto"/>
              <w:right w:val="single" w:sz="4" w:space="0" w:color="auto"/>
            </w:tcBorders>
            <w:shd w:val="clear" w:color="auto" w:fill="F2DBDB" w:themeFill="accent2" w:themeFillTint="33"/>
            <w:hideMark/>
          </w:tcPr>
          <w:p w:rsidR="005D610F" w:rsidRPr="0085144F" w:rsidRDefault="005D610F" w:rsidP="005D610F">
            <w:r w:rsidRPr="0085144F">
              <w:t>H25</w:t>
            </w:r>
          </w:p>
        </w:tc>
        <w:tc>
          <w:tcPr>
            <w:tcW w:w="726" w:type="dxa"/>
            <w:tcBorders>
              <w:top w:val="single" w:sz="4" w:space="0" w:color="auto"/>
              <w:left w:val="nil"/>
              <w:bottom w:val="single" w:sz="4" w:space="0" w:color="auto"/>
              <w:right w:val="single" w:sz="4" w:space="0" w:color="auto"/>
            </w:tcBorders>
            <w:shd w:val="clear" w:color="auto" w:fill="F2DBDB" w:themeFill="accent2" w:themeFillTint="33"/>
            <w:hideMark/>
          </w:tcPr>
          <w:p w:rsidR="005D610F" w:rsidRPr="0085144F" w:rsidRDefault="005D610F" w:rsidP="005D610F">
            <w:r w:rsidRPr="0085144F">
              <w:t>H26</w:t>
            </w:r>
          </w:p>
        </w:tc>
        <w:tc>
          <w:tcPr>
            <w:tcW w:w="726" w:type="dxa"/>
            <w:tcBorders>
              <w:top w:val="single" w:sz="4" w:space="0" w:color="auto"/>
              <w:left w:val="nil"/>
              <w:bottom w:val="single" w:sz="4" w:space="0" w:color="auto"/>
              <w:right w:val="single" w:sz="4" w:space="0" w:color="auto"/>
            </w:tcBorders>
            <w:shd w:val="clear" w:color="auto" w:fill="F2DBDB" w:themeFill="accent2" w:themeFillTint="33"/>
            <w:hideMark/>
          </w:tcPr>
          <w:p w:rsidR="005D610F" w:rsidRPr="0085144F" w:rsidRDefault="005D610F" w:rsidP="005D610F">
            <w:r w:rsidRPr="0085144F">
              <w:t>H27</w:t>
            </w:r>
          </w:p>
        </w:tc>
        <w:tc>
          <w:tcPr>
            <w:tcW w:w="725" w:type="dxa"/>
            <w:tcBorders>
              <w:top w:val="single" w:sz="4" w:space="0" w:color="auto"/>
              <w:left w:val="nil"/>
              <w:bottom w:val="single" w:sz="4" w:space="0" w:color="auto"/>
              <w:right w:val="single" w:sz="4" w:space="0" w:color="auto"/>
            </w:tcBorders>
            <w:shd w:val="clear" w:color="auto" w:fill="F2DBDB" w:themeFill="accent2" w:themeFillTint="33"/>
            <w:vAlign w:val="center"/>
          </w:tcPr>
          <w:p w:rsidR="005D610F" w:rsidRPr="00E31547" w:rsidRDefault="005D610F" w:rsidP="005D610F">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H28</w:t>
            </w:r>
          </w:p>
        </w:tc>
        <w:tc>
          <w:tcPr>
            <w:tcW w:w="726" w:type="dxa"/>
            <w:tcBorders>
              <w:top w:val="single" w:sz="4" w:space="0" w:color="auto"/>
              <w:left w:val="nil"/>
              <w:bottom w:val="single" w:sz="4" w:space="0" w:color="auto"/>
              <w:right w:val="single" w:sz="4" w:space="0" w:color="auto"/>
            </w:tcBorders>
            <w:shd w:val="clear" w:color="auto" w:fill="F2DBDB" w:themeFill="accent2" w:themeFillTint="33"/>
            <w:vAlign w:val="center"/>
          </w:tcPr>
          <w:p w:rsidR="005D610F" w:rsidRPr="00E31547" w:rsidRDefault="005D610F" w:rsidP="005D610F">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H29</w:t>
            </w:r>
          </w:p>
        </w:tc>
        <w:tc>
          <w:tcPr>
            <w:tcW w:w="726" w:type="dxa"/>
            <w:tcBorders>
              <w:top w:val="single" w:sz="4" w:space="0" w:color="auto"/>
              <w:left w:val="nil"/>
              <w:bottom w:val="single" w:sz="4" w:space="0" w:color="auto"/>
              <w:right w:val="single" w:sz="4" w:space="0" w:color="auto"/>
            </w:tcBorders>
            <w:shd w:val="clear" w:color="auto" w:fill="F2DBDB" w:themeFill="accent2" w:themeFillTint="33"/>
            <w:vAlign w:val="center"/>
          </w:tcPr>
          <w:p w:rsidR="005D610F" w:rsidRPr="00E31547" w:rsidRDefault="005D610F" w:rsidP="005D610F">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H30</w:t>
            </w:r>
          </w:p>
        </w:tc>
        <w:tc>
          <w:tcPr>
            <w:tcW w:w="726" w:type="dxa"/>
            <w:tcBorders>
              <w:top w:val="single" w:sz="4" w:space="0" w:color="auto"/>
              <w:left w:val="nil"/>
              <w:bottom w:val="single" w:sz="4" w:space="0" w:color="auto"/>
              <w:right w:val="single" w:sz="4" w:space="0" w:color="auto"/>
            </w:tcBorders>
            <w:shd w:val="clear" w:color="auto" w:fill="F2DBDB" w:themeFill="accent2" w:themeFillTint="33"/>
            <w:vAlign w:val="center"/>
          </w:tcPr>
          <w:p w:rsidR="005D610F" w:rsidRPr="00E31547" w:rsidRDefault="005D610F" w:rsidP="005D610F">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H31</w:t>
            </w:r>
          </w:p>
        </w:tc>
        <w:tc>
          <w:tcPr>
            <w:tcW w:w="726" w:type="dxa"/>
            <w:tcBorders>
              <w:top w:val="single" w:sz="4" w:space="0" w:color="auto"/>
              <w:left w:val="nil"/>
              <w:bottom w:val="single" w:sz="4" w:space="0" w:color="auto"/>
              <w:right w:val="single" w:sz="4" w:space="0" w:color="auto"/>
            </w:tcBorders>
            <w:shd w:val="clear" w:color="auto" w:fill="F2DBDB" w:themeFill="accent2" w:themeFillTint="33"/>
            <w:vAlign w:val="center"/>
          </w:tcPr>
          <w:p w:rsidR="005D610F" w:rsidRPr="00E31547" w:rsidRDefault="005D610F" w:rsidP="005D610F">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R2</w:t>
            </w:r>
          </w:p>
        </w:tc>
      </w:tr>
      <w:tr w:rsidR="005D610F" w:rsidRPr="00E31547" w:rsidTr="005D610F">
        <w:trPr>
          <w:trHeight w:val="126"/>
        </w:trPr>
        <w:tc>
          <w:tcPr>
            <w:tcW w:w="1978" w:type="dxa"/>
            <w:tcBorders>
              <w:top w:val="nil"/>
              <w:left w:val="single" w:sz="4" w:space="0" w:color="auto"/>
              <w:bottom w:val="single" w:sz="4" w:space="0" w:color="auto"/>
              <w:right w:val="double" w:sz="6" w:space="0" w:color="auto"/>
            </w:tcBorders>
            <w:shd w:val="clear" w:color="auto" w:fill="F2DBDB" w:themeFill="accent2" w:themeFillTint="33"/>
            <w:vAlign w:val="center"/>
            <w:hideMark/>
          </w:tcPr>
          <w:p w:rsidR="005D610F" w:rsidRPr="00E31547" w:rsidRDefault="005D610F" w:rsidP="005D610F">
            <w:pPr>
              <w:widowControl/>
              <w:jc w:val="center"/>
              <w:rPr>
                <w:rFonts w:ascii="Meiryo UI" w:eastAsia="Meiryo UI" w:hAnsi="Meiryo UI" w:cs="Meiryo UI"/>
                <w:kern w:val="0"/>
                <w:sz w:val="20"/>
                <w:szCs w:val="20"/>
              </w:rPr>
            </w:pPr>
            <w:r w:rsidRPr="00E31547">
              <w:rPr>
                <w:rFonts w:ascii="Meiryo UI" w:eastAsia="Meiryo UI" w:hAnsi="Meiryo UI" w:cs="Meiryo UI" w:hint="eastAsia"/>
                <w:kern w:val="0"/>
                <w:sz w:val="20"/>
                <w:szCs w:val="20"/>
              </w:rPr>
              <w:t>課長級以上職員数</w:t>
            </w:r>
          </w:p>
        </w:tc>
        <w:tc>
          <w:tcPr>
            <w:tcW w:w="725" w:type="dxa"/>
            <w:tcBorders>
              <w:top w:val="nil"/>
              <w:left w:val="nil"/>
              <w:bottom w:val="single" w:sz="4" w:space="0" w:color="auto"/>
              <w:right w:val="nil"/>
            </w:tcBorders>
            <w:shd w:val="clear" w:color="auto" w:fill="auto"/>
          </w:tcPr>
          <w:p w:rsidR="005D610F" w:rsidRPr="0085144F" w:rsidRDefault="005D610F" w:rsidP="005D610F">
            <w:r w:rsidRPr="0085144F">
              <w:t>748</w:t>
            </w:r>
          </w:p>
        </w:tc>
        <w:tc>
          <w:tcPr>
            <w:tcW w:w="726" w:type="dxa"/>
            <w:tcBorders>
              <w:top w:val="nil"/>
              <w:left w:val="single" w:sz="4" w:space="0" w:color="auto"/>
              <w:bottom w:val="single" w:sz="4" w:space="0" w:color="auto"/>
              <w:right w:val="single" w:sz="4" w:space="0" w:color="auto"/>
            </w:tcBorders>
            <w:shd w:val="clear" w:color="auto" w:fill="auto"/>
          </w:tcPr>
          <w:p w:rsidR="005D610F" w:rsidRPr="0085144F" w:rsidRDefault="005D610F" w:rsidP="005D610F">
            <w:r w:rsidRPr="0085144F">
              <w:t>709</w:t>
            </w:r>
          </w:p>
        </w:tc>
        <w:tc>
          <w:tcPr>
            <w:tcW w:w="726" w:type="dxa"/>
            <w:tcBorders>
              <w:top w:val="nil"/>
              <w:left w:val="nil"/>
              <w:bottom w:val="single" w:sz="4" w:space="0" w:color="auto"/>
              <w:right w:val="single" w:sz="4" w:space="0" w:color="auto"/>
            </w:tcBorders>
            <w:shd w:val="clear" w:color="auto" w:fill="auto"/>
          </w:tcPr>
          <w:p w:rsidR="005D610F" w:rsidRPr="0085144F" w:rsidRDefault="005D610F" w:rsidP="005D610F">
            <w:r w:rsidRPr="0085144F">
              <w:t>701</w:t>
            </w:r>
          </w:p>
        </w:tc>
        <w:tc>
          <w:tcPr>
            <w:tcW w:w="726" w:type="dxa"/>
            <w:tcBorders>
              <w:top w:val="nil"/>
              <w:left w:val="nil"/>
              <w:bottom w:val="single" w:sz="4" w:space="0" w:color="auto"/>
              <w:right w:val="nil"/>
            </w:tcBorders>
            <w:shd w:val="clear" w:color="auto" w:fill="auto"/>
          </w:tcPr>
          <w:p w:rsidR="005D610F" w:rsidRPr="0085144F" w:rsidRDefault="005D610F" w:rsidP="005D610F">
            <w:r w:rsidRPr="0085144F">
              <w:t>701</w:t>
            </w:r>
          </w:p>
        </w:tc>
        <w:tc>
          <w:tcPr>
            <w:tcW w:w="726" w:type="dxa"/>
            <w:tcBorders>
              <w:top w:val="nil"/>
              <w:left w:val="single" w:sz="4" w:space="0" w:color="auto"/>
              <w:bottom w:val="single" w:sz="4" w:space="0" w:color="auto"/>
              <w:right w:val="single" w:sz="4" w:space="0" w:color="auto"/>
            </w:tcBorders>
            <w:shd w:val="clear" w:color="auto" w:fill="auto"/>
            <w:hideMark/>
          </w:tcPr>
          <w:p w:rsidR="005D610F" w:rsidRPr="0085144F" w:rsidRDefault="005D610F" w:rsidP="005D610F">
            <w:r w:rsidRPr="0085144F">
              <w:t>705</w:t>
            </w:r>
          </w:p>
        </w:tc>
        <w:tc>
          <w:tcPr>
            <w:tcW w:w="725" w:type="dxa"/>
            <w:tcBorders>
              <w:top w:val="nil"/>
              <w:left w:val="nil"/>
              <w:bottom w:val="single" w:sz="4" w:space="0" w:color="auto"/>
              <w:right w:val="single" w:sz="4" w:space="0" w:color="auto"/>
            </w:tcBorders>
            <w:shd w:val="clear" w:color="auto" w:fill="auto"/>
            <w:vAlign w:val="center"/>
          </w:tcPr>
          <w:p w:rsidR="005D610F" w:rsidRPr="00E31547" w:rsidRDefault="00F74144" w:rsidP="005D610F">
            <w:pPr>
              <w:jc w:val="center"/>
              <w:rPr>
                <w:rFonts w:ascii="Meiryo UI" w:eastAsia="Meiryo UI" w:hAnsi="Meiryo UI" w:cs="Meiryo UI"/>
                <w:sz w:val="20"/>
                <w:szCs w:val="20"/>
              </w:rPr>
            </w:pPr>
            <w:r>
              <w:rPr>
                <w:rFonts w:ascii="Meiryo UI" w:eastAsia="Meiryo UI" w:hAnsi="Meiryo UI" w:cs="Meiryo UI" w:hint="eastAsia"/>
                <w:sz w:val="20"/>
                <w:szCs w:val="20"/>
              </w:rPr>
              <w:t>681</w:t>
            </w:r>
          </w:p>
        </w:tc>
        <w:tc>
          <w:tcPr>
            <w:tcW w:w="726" w:type="dxa"/>
            <w:tcBorders>
              <w:top w:val="nil"/>
              <w:left w:val="nil"/>
              <w:bottom w:val="single" w:sz="4" w:space="0" w:color="auto"/>
              <w:right w:val="single" w:sz="4" w:space="0" w:color="auto"/>
            </w:tcBorders>
            <w:shd w:val="clear" w:color="auto" w:fill="auto"/>
            <w:vAlign w:val="center"/>
          </w:tcPr>
          <w:p w:rsidR="005D610F" w:rsidRPr="00E31547" w:rsidRDefault="00F74144" w:rsidP="005D610F">
            <w:pPr>
              <w:jc w:val="center"/>
              <w:rPr>
                <w:rFonts w:ascii="Meiryo UI" w:eastAsia="Meiryo UI" w:hAnsi="Meiryo UI" w:cs="Meiryo UI"/>
                <w:sz w:val="20"/>
                <w:szCs w:val="20"/>
              </w:rPr>
            </w:pPr>
            <w:r>
              <w:rPr>
                <w:rFonts w:ascii="Meiryo UI" w:eastAsia="Meiryo UI" w:hAnsi="Meiryo UI" w:cs="Meiryo UI" w:hint="eastAsia"/>
                <w:sz w:val="20"/>
                <w:szCs w:val="20"/>
              </w:rPr>
              <w:t>680</w:t>
            </w:r>
          </w:p>
        </w:tc>
        <w:tc>
          <w:tcPr>
            <w:tcW w:w="726" w:type="dxa"/>
            <w:tcBorders>
              <w:top w:val="nil"/>
              <w:left w:val="nil"/>
              <w:bottom w:val="single" w:sz="4" w:space="0" w:color="auto"/>
              <w:right w:val="single" w:sz="4" w:space="0" w:color="auto"/>
            </w:tcBorders>
            <w:shd w:val="clear" w:color="auto" w:fill="auto"/>
            <w:vAlign w:val="center"/>
          </w:tcPr>
          <w:p w:rsidR="005D610F" w:rsidRPr="00E31547" w:rsidRDefault="00F74144" w:rsidP="005D610F">
            <w:pPr>
              <w:jc w:val="center"/>
              <w:rPr>
                <w:rFonts w:ascii="Meiryo UI" w:eastAsia="Meiryo UI" w:hAnsi="Meiryo UI" w:cs="Meiryo UI"/>
                <w:sz w:val="20"/>
                <w:szCs w:val="20"/>
              </w:rPr>
            </w:pPr>
            <w:r>
              <w:rPr>
                <w:rFonts w:ascii="Meiryo UI" w:eastAsia="Meiryo UI" w:hAnsi="Meiryo UI" w:cs="Meiryo UI" w:hint="eastAsia"/>
                <w:sz w:val="20"/>
                <w:szCs w:val="20"/>
              </w:rPr>
              <w:t>688</w:t>
            </w:r>
          </w:p>
        </w:tc>
        <w:tc>
          <w:tcPr>
            <w:tcW w:w="726" w:type="dxa"/>
            <w:tcBorders>
              <w:top w:val="nil"/>
              <w:left w:val="nil"/>
              <w:bottom w:val="single" w:sz="4" w:space="0" w:color="auto"/>
              <w:right w:val="single" w:sz="4" w:space="0" w:color="auto"/>
            </w:tcBorders>
            <w:shd w:val="clear" w:color="auto" w:fill="auto"/>
            <w:vAlign w:val="center"/>
          </w:tcPr>
          <w:p w:rsidR="005D610F" w:rsidRPr="00E31547" w:rsidRDefault="00F74144" w:rsidP="005D610F">
            <w:pPr>
              <w:jc w:val="center"/>
              <w:rPr>
                <w:rFonts w:ascii="Meiryo UI" w:eastAsia="Meiryo UI" w:hAnsi="Meiryo UI" w:cs="Meiryo UI"/>
                <w:sz w:val="20"/>
                <w:szCs w:val="20"/>
              </w:rPr>
            </w:pPr>
            <w:r>
              <w:rPr>
                <w:rFonts w:ascii="Meiryo UI" w:eastAsia="Meiryo UI" w:hAnsi="Meiryo UI" w:cs="Meiryo UI" w:hint="eastAsia"/>
                <w:sz w:val="20"/>
                <w:szCs w:val="20"/>
              </w:rPr>
              <w:t>681</w:t>
            </w:r>
          </w:p>
        </w:tc>
        <w:tc>
          <w:tcPr>
            <w:tcW w:w="726" w:type="dxa"/>
            <w:tcBorders>
              <w:top w:val="nil"/>
              <w:left w:val="nil"/>
              <w:bottom w:val="single" w:sz="4" w:space="0" w:color="auto"/>
              <w:right w:val="single" w:sz="4" w:space="0" w:color="auto"/>
            </w:tcBorders>
            <w:shd w:val="clear" w:color="auto" w:fill="auto"/>
            <w:vAlign w:val="center"/>
          </w:tcPr>
          <w:p w:rsidR="005D610F" w:rsidRPr="00E31547" w:rsidRDefault="00F74144" w:rsidP="005D610F">
            <w:pPr>
              <w:jc w:val="center"/>
              <w:rPr>
                <w:rFonts w:ascii="Meiryo UI" w:eastAsia="Meiryo UI" w:hAnsi="Meiryo UI" w:cs="Meiryo UI"/>
                <w:sz w:val="20"/>
                <w:szCs w:val="20"/>
              </w:rPr>
            </w:pPr>
            <w:r>
              <w:rPr>
                <w:rFonts w:ascii="Meiryo UI" w:eastAsia="Meiryo UI" w:hAnsi="Meiryo UI" w:cs="Meiryo UI" w:hint="eastAsia"/>
                <w:sz w:val="20"/>
                <w:szCs w:val="20"/>
              </w:rPr>
              <w:t>694</w:t>
            </w:r>
          </w:p>
        </w:tc>
      </w:tr>
      <w:tr w:rsidR="005D610F" w:rsidRPr="00E31547" w:rsidTr="005D610F">
        <w:trPr>
          <w:trHeight w:val="106"/>
        </w:trPr>
        <w:tc>
          <w:tcPr>
            <w:tcW w:w="1978" w:type="dxa"/>
            <w:tcBorders>
              <w:top w:val="nil"/>
              <w:left w:val="single" w:sz="4" w:space="0" w:color="auto"/>
              <w:bottom w:val="double" w:sz="6" w:space="0" w:color="auto"/>
              <w:right w:val="double" w:sz="6" w:space="0" w:color="auto"/>
            </w:tcBorders>
            <w:shd w:val="clear" w:color="auto" w:fill="F2DBDB" w:themeFill="accent2" w:themeFillTint="33"/>
            <w:vAlign w:val="center"/>
            <w:hideMark/>
          </w:tcPr>
          <w:p w:rsidR="005D610F" w:rsidRPr="00E31547" w:rsidRDefault="005D610F" w:rsidP="005D610F">
            <w:pPr>
              <w:widowControl/>
              <w:jc w:val="center"/>
              <w:rPr>
                <w:rFonts w:ascii="Meiryo UI" w:eastAsia="Meiryo UI" w:hAnsi="Meiryo UI" w:cs="Meiryo UI"/>
                <w:kern w:val="0"/>
                <w:sz w:val="20"/>
                <w:szCs w:val="20"/>
              </w:rPr>
            </w:pPr>
            <w:r w:rsidRPr="00E31547">
              <w:rPr>
                <w:rFonts w:ascii="Meiryo UI" w:eastAsia="Meiryo UI" w:hAnsi="Meiryo UI" w:cs="Meiryo UI" w:hint="eastAsia"/>
                <w:kern w:val="0"/>
                <w:sz w:val="20"/>
                <w:szCs w:val="20"/>
              </w:rPr>
              <w:t>うち</w:t>
            </w:r>
            <w:r>
              <w:rPr>
                <w:rFonts w:ascii="Meiryo UI" w:eastAsia="Meiryo UI" w:hAnsi="Meiryo UI" w:cs="Meiryo UI" w:hint="eastAsia"/>
                <w:kern w:val="0"/>
                <w:sz w:val="20"/>
                <w:szCs w:val="20"/>
              </w:rPr>
              <w:t>女性</w:t>
            </w:r>
          </w:p>
        </w:tc>
        <w:tc>
          <w:tcPr>
            <w:tcW w:w="725" w:type="dxa"/>
            <w:tcBorders>
              <w:top w:val="nil"/>
              <w:left w:val="nil"/>
              <w:bottom w:val="double" w:sz="6" w:space="0" w:color="auto"/>
              <w:right w:val="nil"/>
            </w:tcBorders>
            <w:shd w:val="clear" w:color="auto" w:fill="auto"/>
          </w:tcPr>
          <w:p w:rsidR="005D610F" w:rsidRPr="0085144F" w:rsidRDefault="005D610F" w:rsidP="005D610F">
            <w:r w:rsidRPr="0085144F">
              <w:t>40</w:t>
            </w:r>
          </w:p>
        </w:tc>
        <w:tc>
          <w:tcPr>
            <w:tcW w:w="726" w:type="dxa"/>
            <w:tcBorders>
              <w:top w:val="nil"/>
              <w:left w:val="single" w:sz="4" w:space="0" w:color="auto"/>
              <w:bottom w:val="double" w:sz="6" w:space="0" w:color="auto"/>
              <w:right w:val="single" w:sz="4" w:space="0" w:color="auto"/>
            </w:tcBorders>
            <w:shd w:val="clear" w:color="auto" w:fill="auto"/>
          </w:tcPr>
          <w:p w:rsidR="005D610F" w:rsidRPr="0085144F" w:rsidRDefault="005D610F" w:rsidP="005D610F">
            <w:r w:rsidRPr="0085144F">
              <w:t>36</w:t>
            </w:r>
          </w:p>
        </w:tc>
        <w:tc>
          <w:tcPr>
            <w:tcW w:w="726" w:type="dxa"/>
            <w:tcBorders>
              <w:top w:val="nil"/>
              <w:left w:val="nil"/>
              <w:bottom w:val="double" w:sz="6" w:space="0" w:color="auto"/>
              <w:right w:val="single" w:sz="4" w:space="0" w:color="auto"/>
            </w:tcBorders>
            <w:shd w:val="clear" w:color="auto" w:fill="auto"/>
          </w:tcPr>
          <w:p w:rsidR="005D610F" w:rsidRPr="0085144F" w:rsidRDefault="005D610F" w:rsidP="005D610F">
            <w:r w:rsidRPr="0085144F">
              <w:t>41</w:t>
            </w:r>
          </w:p>
        </w:tc>
        <w:tc>
          <w:tcPr>
            <w:tcW w:w="726" w:type="dxa"/>
            <w:tcBorders>
              <w:top w:val="nil"/>
              <w:left w:val="nil"/>
              <w:bottom w:val="double" w:sz="6" w:space="0" w:color="auto"/>
              <w:right w:val="nil"/>
            </w:tcBorders>
            <w:shd w:val="clear" w:color="auto" w:fill="auto"/>
          </w:tcPr>
          <w:p w:rsidR="005D610F" w:rsidRPr="0085144F" w:rsidRDefault="005D610F" w:rsidP="005D610F">
            <w:r w:rsidRPr="0085144F">
              <w:t>42</w:t>
            </w:r>
          </w:p>
        </w:tc>
        <w:tc>
          <w:tcPr>
            <w:tcW w:w="726" w:type="dxa"/>
            <w:tcBorders>
              <w:top w:val="nil"/>
              <w:left w:val="single" w:sz="4" w:space="0" w:color="auto"/>
              <w:bottom w:val="double" w:sz="6" w:space="0" w:color="auto"/>
              <w:right w:val="single" w:sz="4" w:space="0" w:color="auto"/>
            </w:tcBorders>
            <w:shd w:val="clear" w:color="auto" w:fill="auto"/>
            <w:hideMark/>
          </w:tcPr>
          <w:p w:rsidR="005D610F" w:rsidRPr="0085144F" w:rsidRDefault="005D610F" w:rsidP="005D610F">
            <w:r w:rsidRPr="0085144F">
              <w:t>45</w:t>
            </w:r>
          </w:p>
        </w:tc>
        <w:tc>
          <w:tcPr>
            <w:tcW w:w="725" w:type="dxa"/>
            <w:tcBorders>
              <w:top w:val="nil"/>
              <w:left w:val="nil"/>
              <w:bottom w:val="double" w:sz="6" w:space="0" w:color="auto"/>
              <w:right w:val="single" w:sz="4" w:space="0" w:color="auto"/>
            </w:tcBorders>
            <w:shd w:val="clear" w:color="auto" w:fill="auto"/>
            <w:vAlign w:val="center"/>
          </w:tcPr>
          <w:p w:rsidR="005D610F" w:rsidRPr="00E31547" w:rsidRDefault="00F74144" w:rsidP="005D610F">
            <w:pPr>
              <w:jc w:val="center"/>
              <w:rPr>
                <w:rFonts w:ascii="Meiryo UI" w:eastAsia="Meiryo UI" w:hAnsi="Meiryo UI" w:cs="Meiryo UI"/>
                <w:sz w:val="20"/>
                <w:szCs w:val="20"/>
              </w:rPr>
            </w:pPr>
            <w:r>
              <w:rPr>
                <w:rFonts w:ascii="Meiryo UI" w:eastAsia="Meiryo UI" w:hAnsi="Meiryo UI" w:cs="Meiryo UI" w:hint="eastAsia"/>
                <w:sz w:val="20"/>
                <w:szCs w:val="20"/>
              </w:rPr>
              <w:t>45</w:t>
            </w:r>
          </w:p>
        </w:tc>
        <w:tc>
          <w:tcPr>
            <w:tcW w:w="726" w:type="dxa"/>
            <w:tcBorders>
              <w:top w:val="nil"/>
              <w:left w:val="nil"/>
              <w:bottom w:val="double" w:sz="6" w:space="0" w:color="auto"/>
              <w:right w:val="single" w:sz="4" w:space="0" w:color="auto"/>
            </w:tcBorders>
            <w:shd w:val="clear" w:color="auto" w:fill="auto"/>
            <w:vAlign w:val="center"/>
          </w:tcPr>
          <w:p w:rsidR="005D610F" w:rsidRPr="00E31547" w:rsidRDefault="00F74144" w:rsidP="005D610F">
            <w:pPr>
              <w:jc w:val="center"/>
              <w:rPr>
                <w:rFonts w:ascii="Meiryo UI" w:eastAsia="Meiryo UI" w:hAnsi="Meiryo UI" w:cs="Meiryo UI"/>
                <w:sz w:val="20"/>
                <w:szCs w:val="20"/>
              </w:rPr>
            </w:pPr>
            <w:r>
              <w:rPr>
                <w:rFonts w:ascii="Meiryo UI" w:eastAsia="Meiryo UI" w:hAnsi="Meiryo UI" w:cs="Meiryo UI" w:hint="eastAsia"/>
                <w:sz w:val="20"/>
                <w:szCs w:val="20"/>
              </w:rPr>
              <w:t>51</w:t>
            </w:r>
          </w:p>
        </w:tc>
        <w:tc>
          <w:tcPr>
            <w:tcW w:w="726" w:type="dxa"/>
            <w:tcBorders>
              <w:top w:val="nil"/>
              <w:left w:val="nil"/>
              <w:bottom w:val="double" w:sz="6" w:space="0" w:color="auto"/>
              <w:right w:val="single" w:sz="4" w:space="0" w:color="auto"/>
            </w:tcBorders>
            <w:shd w:val="clear" w:color="auto" w:fill="auto"/>
            <w:vAlign w:val="center"/>
          </w:tcPr>
          <w:p w:rsidR="005D610F" w:rsidRPr="00E31547" w:rsidRDefault="00F74144" w:rsidP="005D610F">
            <w:pPr>
              <w:jc w:val="center"/>
              <w:rPr>
                <w:rFonts w:ascii="Meiryo UI" w:eastAsia="Meiryo UI" w:hAnsi="Meiryo UI" w:cs="Meiryo UI"/>
                <w:sz w:val="20"/>
                <w:szCs w:val="20"/>
              </w:rPr>
            </w:pPr>
            <w:r>
              <w:rPr>
                <w:rFonts w:ascii="Meiryo UI" w:eastAsia="Meiryo UI" w:hAnsi="Meiryo UI" w:cs="Meiryo UI" w:hint="eastAsia"/>
                <w:sz w:val="20"/>
                <w:szCs w:val="20"/>
              </w:rPr>
              <w:t>59</w:t>
            </w:r>
          </w:p>
        </w:tc>
        <w:tc>
          <w:tcPr>
            <w:tcW w:w="726" w:type="dxa"/>
            <w:tcBorders>
              <w:top w:val="nil"/>
              <w:left w:val="nil"/>
              <w:bottom w:val="double" w:sz="6" w:space="0" w:color="auto"/>
              <w:right w:val="single" w:sz="4" w:space="0" w:color="auto"/>
            </w:tcBorders>
            <w:shd w:val="clear" w:color="auto" w:fill="auto"/>
            <w:vAlign w:val="center"/>
          </w:tcPr>
          <w:p w:rsidR="005D610F" w:rsidRPr="00E31547" w:rsidRDefault="00F74144" w:rsidP="005D610F">
            <w:pPr>
              <w:jc w:val="center"/>
              <w:rPr>
                <w:rFonts w:ascii="Meiryo UI" w:eastAsia="Meiryo UI" w:hAnsi="Meiryo UI" w:cs="Meiryo UI"/>
                <w:sz w:val="20"/>
                <w:szCs w:val="20"/>
              </w:rPr>
            </w:pPr>
            <w:r>
              <w:rPr>
                <w:rFonts w:ascii="Meiryo UI" w:eastAsia="Meiryo UI" w:hAnsi="Meiryo UI" w:cs="Meiryo UI" w:hint="eastAsia"/>
                <w:sz w:val="20"/>
                <w:szCs w:val="20"/>
              </w:rPr>
              <w:t>62</w:t>
            </w:r>
          </w:p>
        </w:tc>
        <w:tc>
          <w:tcPr>
            <w:tcW w:w="726" w:type="dxa"/>
            <w:tcBorders>
              <w:top w:val="nil"/>
              <w:left w:val="nil"/>
              <w:bottom w:val="double" w:sz="6" w:space="0" w:color="auto"/>
              <w:right w:val="single" w:sz="4" w:space="0" w:color="auto"/>
            </w:tcBorders>
            <w:shd w:val="clear" w:color="auto" w:fill="auto"/>
            <w:vAlign w:val="center"/>
          </w:tcPr>
          <w:p w:rsidR="005D610F" w:rsidRPr="00E31547" w:rsidRDefault="00F74144" w:rsidP="005D610F">
            <w:pPr>
              <w:jc w:val="center"/>
              <w:rPr>
                <w:rFonts w:ascii="Meiryo UI" w:eastAsia="Meiryo UI" w:hAnsi="Meiryo UI" w:cs="Meiryo UI"/>
                <w:sz w:val="20"/>
                <w:szCs w:val="20"/>
              </w:rPr>
            </w:pPr>
            <w:r>
              <w:rPr>
                <w:rFonts w:ascii="Meiryo UI" w:eastAsia="Meiryo UI" w:hAnsi="Meiryo UI" w:cs="Meiryo UI" w:hint="eastAsia"/>
                <w:sz w:val="20"/>
                <w:szCs w:val="20"/>
              </w:rPr>
              <w:t>77</w:t>
            </w:r>
          </w:p>
        </w:tc>
      </w:tr>
      <w:tr w:rsidR="005D610F" w:rsidRPr="00E31547" w:rsidTr="005D610F">
        <w:trPr>
          <w:trHeight w:val="162"/>
        </w:trPr>
        <w:tc>
          <w:tcPr>
            <w:tcW w:w="1978" w:type="dxa"/>
            <w:tcBorders>
              <w:top w:val="nil"/>
              <w:left w:val="single" w:sz="4" w:space="0" w:color="auto"/>
              <w:bottom w:val="single" w:sz="4" w:space="0" w:color="auto"/>
              <w:right w:val="double" w:sz="6" w:space="0" w:color="auto"/>
            </w:tcBorders>
            <w:shd w:val="clear" w:color="auto" w:fill="F2DBDB" w:themeFill="accent2" w:themeFillTint="33"/>
            <w:vAlign w:val="center"/>
            <w:hideMark/>
          </w:tcPr>
          <w:p w:rsidR="005D610F" w:rsidRPr="00E31547" w:rsidRDefault="005D610F" w:rsidP="005D610F">
            <w:pPr>
              <w:widowControl/>
              <w:jc w:val="center"/>
              <w:rPr>
                <w:rFonts w:ascii="Meiryo UI" w:eastAsia="Meiryo UI" w:hAnsi="Meiryo UI" w:cs="Meiryo UI"/>
                <w:kern w:val="0"/>
                <w:sz w:val="20"/>
                <w:szCs w:val="20"/>
              </w:rPr>
            </w:pPr>
            <w:r w:rsidRPr="00E31547">
              <w:rPr>
                <w:rFonts w:ascii="Meiryo UI" w:eastAsia="Meiryo UI" w:hAnsi="Meiryo UI" w:cs="Meiryo UI" w:hint="eastAsia"/>
                <w:kern w:val="0"/>
                <w:sz w:val="20"/>
                <w:szCs w:val="20"/>
              </w:rPr>
              <w:t>女性割合</w:t>
            </w:r>
          </w:p>
        </w:tc>
        <w:tc>
          <w:tcPr>
            <w:tcW w:w="725" w:type="dxa"/>
            <w:tcBorders>
              <w:top w:val="nil"/>
              <w:left w:val="nil"/>
              <w:bottom w:val="single" w:sz="4" w:space="0" w:color="auto"/>
              <w:right w:val="nil"/>
            </w:tcBorders>
            <w:shd w:val="clear" w:color="auto" w:fill="auto"/>
          </w:tcPr>
          <w:p w:rsidR="005D610F" w:rsidRPr="0085144F" w:rsidRDefault="005D610F" w:rsidP="005D610F">
            <w:r w:rsidRPr="0085144F">
              <w:t>5.3%</w:t>
            </w:r>
          </w:p>
        </w:tc>
        <w:tc>
          <w:tcPr>
            <w:tcW w:w="726" w:type="dxa"/>
            <w:tcBorders>
              <w:top w:val="nil"/>
              <w:left w:val="single" w:sz="4" w:space="0" w:color="auto"/>
              <w:bottom w:val="single" w:sz="4" w:space="0" w:color="auto"/>
              <w:right w:val="single" w:sz="4" w:space="0" w:color="auto"/>
            </w:tcBorders>
            <w:shd w:val="clear" w:color="auto" w:fill="auto"/>
          </w:tcPr>
          <w:p w:rsidR="005D610F" w:rsidRPr="0085144F" w:rsidRDefault="005D610F" w:rsidP="005D610F">
            <w:r w:rsidRPr="0085144F">
              <w:t>5.1%</w:t>
            </w:r>
          </w:p>
        </w:tc>
        <w:tc>
          <w:tcPr>
            <w:tcW w:w="726" w:type="dxa"/>
            <w:tcBorders>
              <w:top w:val="nil"/>
              <w:left w:val="nil"/>
              <w:bottom w:val="single" w:sz="4" w:space="0" w:color="auto"/>
              <w:right w:val="single" w:sz="4" w:space="0" w:color="auto"/>
            </w:tcBorders>
            <w:shd w:val="clear" w:color="auto" w:fill="auto"/>
          </w:tcPr>
          <w:p w:rsidR="005D610F" w:rsidRPr="0085144F" w:rsidRDefault="005D610F" w:rsidP="005D610F">
            <w:r w:rsidRPr="0085144F">
              <w:t>5.8%</w:t>
            </w:r>
          </w:p>
        </w:tc>
        <w:tc>
          <w:tcPr>
            <w:tcW w:w="726" w:type="dxa"/>
            <w:tcBorders>
              <w:top w:val="nil"/>
              <w:left w:val="nil"/>
              <w:bottom w:val="single" w:sz="4" w:space="0" w:color="auto"/>
              <w:right w:val="nil"/>
            </w:tcBorders>
            <w:shd w:val="clear" w:color="auto" w:fill="auto"/>
          </w:tcPr>
          <w:p w:rsidR="005D610F" w:rsidRPr="0085144F" w:rsidRDefault="005D610F" w:rsidP="005D610F">
            <w:r w:rsidRPr="0085144F">
              <w:t>6.0%</w:t>
            </w:r>
          </w:p>
        </w:tc>
        <w:tc>
          <w:tcPr>
            <w:tcW w:w="726" w:type="dxa"/>
            <w:tcBorders>
              <w:top w:val="nil"/>
              <w:left w:val="single" w:sz="4" w:space="0" w:color="auto"/>
              <w:bottom w:val="single" w:sz="4" w:space="0" w:color="auto"/>
              <w:right w:val="single" w:sz="4" w:space="0" w:color="auto"/>
            </w:tcBorders>
            <w:shd w:val="clear" w:color="auto" w:fill="auto"/>
            <w:hideMark/>
          </w:tcPr>
          <w:p w:rsidR="005D610F" w:rsidRDefault="005D610F" w:rsidP="005D610F">
            <w:r w:rsidRPr="0085144F">
              <w:t>6.4%</w:t>
            </w:r>
          </w:p>
        </w:tc>
        <w:tc>
          <w:tcPr>
            <w:tcW w:w="725" w:type="dxa"/>
            <w:tcBorders>
              <w:top w:val="nil"/>
              <w:left w:val="nil"/>
              <w:bottom w:val="single" w:sz="4" w:space="0" w:color="auto"/>
              <w:right w:val="single" w:sz="4" w:space="0" w:color="auto"/>
            </w:tcBorders>
            <w:shd w:val="clear" w:color="auto" w:fill="auto"/>
            <w:vAlign w:val="center"/>
          </w:tcPr>
          <w:p w:rsidR="005D610F" w:rsidRPr="00E31547" w:rsidRDefault="00F74144" w:rsidP="005D610F">
            <w:pPr>
              <w:jc w:val="center"/>
              <w:rPr>
                <w:rFonts w:ascii="Meiryo UI" w:eastAsia="Meiryo UI" w:hAnsi="Meiryo UI" w:cs="Meiryo UI"/>
                <w:sz w:val="20"/>
                <w:szCs w:val="20"/>
              </w:rPr>
            </w:pPr>
            <w:r>
              <w:rPr>
                <w:rFonts w:ascii="Meiryo UI" w:eastAsia="Meiryo UI" w:hAnsi="Meiryo UI" w:cs="Meiryo UI" w:hint="eastAsia"/>
                <w:sz w:val="20"/>
                <w:szCs w:val="20"/>
              </w:rPr>
              <w:t>6.6</w:t>
            </w:r>
            <w:r>
              <w:rPr>
                <w:rFonts w:ascii="Meiryo UI" w:eastAsia="Meiryo UI" w:hAnsi="Meiryo UI" w:cs="Meiryo UI"/>
                <w:sz w:val="20"/>
                <w:szCs w:val="20"/>
              </w:rPr>
              <w:t>%</w:t>
            </w:r>
          </w:p>
        </w:tc>
        <w:tc>
          <w:tcPr>
            <w:tcW w:w="726" w:type="dxa"/>
            <w:tcBorders>
              <w:top w:val="nil"/>
              <w:left w:val="nil"/>
              <w:bottom w:val="single" w:sz="4" w:space="0" w:color="auto"/>
              <w:right w:val="single" w:sz="4" w:space="0" w:color="auto"/>
            </w:tcBorders>
            <w:shd w:val="clear" w:color="auto" w:fill="auto"/>
            <w:vAlign w:val="center"/>
          </w:tcPr>
          <w:p w:rsidR="005D610F" w:rsidRPr="00E31547" w:rsidRDefault="00F74144" w:rsidP="005D610F">
            <w:pPr>
              <w:jc w:val="center"/>
              <w:rPr>
                <w:rFonts w:ascii="Meiryo UI" w:eastAsia="Meiryo UI" w:hAnsi="Meiryo UI" w:cs="Meiryo UI"/>
                <w:sz w:val="20"/>
                <w:szCs w:val="20"/>
              </w:rPr>
            </w:pPr>
            <w:r>
              <w:rPr>
                <w:rFonts w:ascii="Meiryo UI" w:eastAsia="Meiryo UI" w:hAnsi="Meiryo UI" w:cs="Meiryo UI" w:hint="eastAsia"/>
                <w:sz w:val="20"/>
                <w:szCs w:val="20"/>
              </w:rPr>
              <w:t>7.5</w:t>
            </w:r>
            <w:r>
              <w:rPr>
                <w:rFonts w:ascii="Meiryo UI" w:eastAsia="Meiryo UI" w:hAnsi="Meiryo UI" w:cs="Meiryo UI"/>
                <w:sz w:val="20"/>
                <w:szCs w:val="20"/>
              </w:rPr>
              <w:t>%</w:t>
            </w:r>
          </w:p>
        </w:tc>
        <w:tc>
          <w:tcPr>
            <w:tcW w:w="726" w:type="dxa"/>
            <w:tcBorders>
              <w:top w:val="nil"/>
              <w:left w:val="nil"/>
              <w:bottom w:val="single" w:sz="4" w:space="0" w:color="auto"/>
              <w:right w:val="single" w:sz="4" w:space="0" w:color="auto"/>
            </w:tcBorders>
            <w:shd w:val="clear" w:color="auto" w:fill="auto"/>
            <w:vAlign w:val="center"/>
          </w:tcPr>
          <w:p w:rsidR="005D610F" w:rsidRPr="00E31547" w:rsidRDefault="00F74144" w:rsidP="005D610F">
            <w:pPr>
              <w:jc w:val="center"/>
              <w:rPr>
                <w:rFonts w:ascii="Meiryo UI" w:eastAsia="Meiryo UI" w:hAnsi="Meiryo UI" w:cs="Meiryo UI"/>
                <w:sz w:val="20"/>
                <w:szCs w:val="20"/>
              </w:rPr>
            </w:pPr>
            <w:r>
              <w:rPr>
                <w:rFonts w:ascii="Meiryo UI" w:eastAsia="Meiryo UI" w:hAnsi="Meiryo UI" w:cs="Meiryo UI" w:hint="eastAsia"/>
                <w:sz w:val="20"/>
                <w:szCs w:val="20"/>
              </w:rPr>
              <w:t>8.6</w:t>
            </w:r>
            <w:r>
              <w:rPr>
                <w:rFonts w:ascii="Meiryo UI" w:eastAsia="Meiryo UI" w:hAnsi="Meiryo UI" w:cs="Meiryo UI"/>
                <w:sz w:val="20"/>
                <w:szCs w:val="20"/>
              </w:rPr>
              <w:t>%</w:t>
            </w:r>
          </w:p>
        </w:tc>
        <w:tc>
          <w:tcPr>
            <w:tcW w:w="726" w:type="dxa"/>
            <w:tcBorders>
              <w:top w:val="nil"/>
              <w:left w:val="nil"/>
              <w:bottom w:val="single" w:sz="4" w:space="0" w:color="auto"/>
              <w:right w:val="single" w:sz="4" w:space="0" w:color="auto"/>
            </w:tcBorders>
            <w:shd w:val="clear" w:color="auto" w:fill="auto"/>
            <w:vAlign w:val="center"/>
          </w:tcPr>
          <w:p w:rsidR="005D610F" w:rsidRPr="00E31547" w:rsidRDefault="00F74144" w:rsidP="005D610F">
            <w:pPr>
              <w:jc w:val="center"/>
              <w:rPr>
                <w:rFonts w:ascii="Meiryo UI" w:eastAsia="Meiryo UI" w:hAnsi="Meiryo UI" w:cs="Meiryo UI"/>
                <w:sz w:val="20"/>
                <w:szCs w:val="20"/>
              </w:rPr>
            </w:pPr>
            <w:r>
              <w:rPr>
                <w:rFonts w:ascii="Meiryo UI" w:eastAsia="Meiryo UI" w:hAnsi="Meiryo UI" w:cs="Meiryo UI" w:hint="eastAsia"/>
                <w:sz w:val="20"/>
                <w:szCs w:val="20"/>
              </w:rPr>
              <w:t>9.1</w:t>
            </w:r>
            <w:r>
              <w:rPr>
                <w:rFonts w:ascii="Meiryo UI" w:eastAsia="Meiryo UI" w:hAnsi="Meiryo UI" w:cs="Meiryo UI"/>
                <w:sz w:val="20"/>
                <w:szCs w:val="20"/>
              </w:rPr>
              <w:t>%</w:t>
            </w:r>
          </w:p>
        </w:tc>
        <w:tc>
          <w:tcPr>
            <w:tcW w:w="726" w:type="dxa"/>
            <w:tcBorders>
              <w:top w:val="nil"/>
              <w:left w:val="nil"/>
              <w:bottom w:val="single" w:sz="4" w:space="0" w:color="auto"/>
              <w:right w:val="single" w:sz="4" w:space="0" w:color="auto"/>
            </w:tcBorders>
            <w:shd w:val="clear" w:color="auto" w:fill="auto"/>
            <w:vAlign w:val="center"/>
          </w:tcPr>
          <w:p w:rsidR="005D610F" w:rsidRPr="00E31547" w:rsidRDefault="00F74144" w:rsidP="005D610F">
            <w:pPr>
              <w:jc w:val="center"/>
              <w:rPr>
                <w:rFonts w:ascii="Meiryo UI" w:eastAsia="Meiryo UI" w:hAnsi="Meiryo UI" w:cs="Meiryo UI"/>
                <w:sz w:val="20"/>
                <w:szCs w:val="20"/>
              </w:rPr>
            </w:pPr>
            <w:r>
              <w:rPr>
                <w:rFonts w:ascii="Meiryo UI" w:eastAsia="Meiryo UI" w:hAnsi="Meiryo UI" w:cs="Meiryo UI" w:hint="eastAsia"/>
                <w:sz w:val="20"/>
                <w:szCs w:val="20"/>
              </w:rPr>
              <w:t>11.1</w:t>
            </w:r>
            <w:r>
              <w:rPr>
                <w:rFonts w:ascii="Meiryo UI" w:eastAsia="Meiryo UI" w:hAnsi="Meiryo UI" w:cs="Meiryo UI"/>
                <w:sz w:val="20"/>
                <w:szCs w:val="20"/>
              </w:rPr>
              <w:t>%</w:t>
            </w:r>
          </w:p>
        </w:tc>
      </w:tr>
    </w:tbl>
    <w:p w:rsidR="00554DFC" w:rsidRDefault="00554DFC" w:rsidP="002455CA">
      <w:pPr>
        <w:spacing w:line="340" w:lineRule="exact"/>
        <w:ind w:firstLineChars="50" w:firstLine="100"/>
        <w:rPr>
          <w:rFonts w:ascii="Meiryo UI" w:eastAsia="Meiryo UI" w:hAnsi="Meiryo UI" w:cs="Meiryo UI"/>
          <w:sz w:val="20"/>
          <w:szCs w:val="20"/>
        </w:rPr>
      </w:pPr>
      <w:r w:rsidRPr="00E31547">
        <w:rPr>
          <w:rFonts w:ascii="Meiryo UI" w:eastAsia="Meiryo UI" w:hAnsi="Meiryo UI" w:cs="Meiryo UI" w:hint="eastAsia"/>
          <w:sz w:val="20"/>
          <w:szCs w:val="20"/>
        </w:rPr>
        <w:t>※割愛・特定法人への派遣職員を含まない</w:t>
      </w:r>
    </w:p>
    <w:p w:rsidR="000E0797" w:rsidRDefault="001B065C" w:rsidP="00061F7E">
      <w:pPr>
        <w:spacing w:line="340" w:lineRule="exact"/>
        <w:ind w:firstLineChars="50" w:firstLine="100"/>
        <w:rPr>
          <w:rFonts w:ascii="Meiryo UI" w:eastAsia="Meiryo UI" w:hAnsi="Meiryo UI" w:cs="Meiryo UI"/>
          <w:sz w:val="20"/>
          <w:szCs w:val="20"/>
        </w:rPr>
      </w:pPr>
      <w:r w:rsidRPr="001B065C">
        <w:rPr>
          <w:rFonts w:ascii="Meiryo UI" w:eastAsia="Meiryo UI" w:hAnsi="Meiryo UI" w:cs="Meiryo UI" w:hint="eastAsia"/>
          <w:sz w:val="20"/>
          <w:szCs w:val="20"/>
        </w:rPr>
        <w:t>※各年度４月１日時点</w:t>
      </w:r>
    </w:p>
    <w:p w:rsidR="0029593A" w:rsidRDefault="0029593A" w:rsidP="00061F7E">
      <w:pPr>
        <w:spacing w:line="340" w:lineRule="exact"/>
        <w:ind w:firstLineChars="50" w:firstLine="100"/>
        <w:rPr>
          <w:rFonts w:ascii="Meiryo UI" w:eastAsia="Meiryo UI" w:hAnsi="Meiryo UI" w:cs="Meiryo UI"/>
          <w:sz w:val="20"/>
          <w:szCs w:val="20"/>
        </w:rPr>
      </w:pPr>
    </w:p>
    <w:p w:rsidR="0029593A" w:rsidRDefault="0029593A" w:rsidP="00061F7E">
      <w:pPr>
        <w:spacing w:line="340" w:lineRule="exact"/>
        <w:ind w:firstLineChars="50" w:firstLine="100"/>
        <w:rPr>
          <w:rFonts w:ascii="Meiryo UI" w:eastAsia="Meiryo UI" w:hAnsi="Meiryo UI" w:cs="Meiryo UI"/>
          <w:sz w:val="20"/>
          <w:szCs w:val="20"/>
        </w:rPr>
      </w:pPr>
    </w:p>
    <w:p w:rsidR="00646460" w:rsidRPr="00646460" w:rsidRDefault="00646460" w:rsidP="00646460">
      <w:pPr>
        <w:rPr>
          <w:rFonts w:asciiTheme="minorEastAsia" w:hAnsiTheme="minorEastAsia"/>
          <w:sz w:val="24"/>
        </w:rPr>
      </w:pPr>
      <w:r w:rsidRPr="00646460">
        <w:rPr>
          <w:rFonts w:asciiTheme="minorEastAsia" w:hAnsiTheme="minorEastAsia" w:hint="eastAsia"/>
          <w:sz w:val="24"/>
        </w:rPr>
        <w:t>（３）主査級昇任考査の制度改正</w:t>
      </w:r>
    </w:p>
    <w:p w:rsidR="00646460" w:rsidRPr="00646460" w:rsidRDefault="00646460" w:rsidP="000E0797">
      <w:pPr>
        <w:ind w:leftChars="100" w:left="210" w:firstLineChars="100" w:firstLine="240"/>
        <w:rPr>
          <w:rFonts w:asciiTheme="minorEastAsia" w:hAnsiTheme="minorEastAsia"/>
          <w:sz w:val="24"/>
        </w:rPr>
      </w:pPr>
      <w:r w:rsidRPr="00646460">
        <w:rPr>
          <w:rFonts w:asciiTheme="minorEastAsia" w:hAnsiTheme="minorEastAsia" w:hint="eastAsia"/>
          <w:sz w:val="24"/>
        </w:rPr>
        <w:t>本府の一般行政職においては、年度末の年齢が31歳から44歳で、入庁後一定期間を経た職員を対象に主査級昇任考査を実施しています。</w:t>
      </w:r>
    </w:p>
    <w:p w:rsidR="00646460" w:rsidRPr="00646460" w:rsidRDefault="00646460" w:rsidP="000E0797">
      <w:pPr>
        <w:ind w:leftChars="100" w:left="210" w:firstLineChars="100" w:firstLine="240"/>
        <w:rPr>
          <w:rFonts w:asciiTheme="minorEastAsia" w:hAnsiTheme="minorEastAsia"/>
          <w:sz w:val="24"/>
        </w:rPr>
      </w:pPr>
      <w:r w:rsidRPr="00646460">
        <w:rPr>
          <w:rFonts w:asciiTheme="minorEastAsia" w:hAnsiTheme="minorEastAsia" w:hint="eastAsia"/>
          <w:sz w:val="24"/>
        </w:rPr>
        <w:t>この考査については、子育て中の職員が受験しやすい環境づくりの一環として、平成19</w:t>
      </w:r>
      <w:r w:rsidR="0006299E">
        <w:rPr>
          <w:rFonts w:asciiTheme="minorEastAsia" w:hAnsiTheme="minorEastAsia" w:hint="eastAsia"/>
          <w:sz w:val="24"/>
        </w:rPr>
        <w:t>年度から、筆記考査の実施日を「日曜日」から保育サービスを</w:t>
      </w:r>
      <w:r w:rsidRPr="00646460">
        <w:rPr>
          <w:rFonts w:asciiTheme="minorEastAsia" w:hAnsiTheme="minorEastAsia" w:hint="eastAsia"/>
          <w:sz w:val="24"/>
        </w:rPr>
        <w:t>受けやすい「土曜日」に変更しました。</w:t>
      </w:r>
    </w:p>
    <w:p w:rsidR="00646460" w:rsidRPr="00646460" w:rsidRDefault="00646460" w:rsidP="000E0797">
      <w:pPr>
        <w:ind w:leftChars="100" w:left="210" w:firstLineChars="100" w:firstLine="240"/>
        <w:rPr>
          <w:rFonts w:asciiTheme="minorEastAsia" w:hAnsiTheme="minorEastAsia"/>
          <w:sz w:val="24"/>
        </w:rPr>
      </w:pPr>
      <w:r w:rsidRPr="00646460">
        <w:rPr>
          <w:rFonts w:asciiTheme="minorEastAsia" w:hAnsiTheme="minorEastAsia" w:hint="eastAsia"/>
          <w:sz w:val="24"/>
        </w:rPr>
        <w:t>また、将来の職員構成において女性職員割合の上昇が見込まれる中、出産や育児等と受験勉強が両立しやすくなるよう、令和元年度から、行政専門科目の早期受験制度の導入・資格試験化・出題方法の変更（記述式から択一式へ）を行いました。</w:t>
      </w:r>
    </w:p>
    <w:p w:rsidR="00646460" w:rsidRPr="00646460" w:rsidRDefault="00646460" w:rsidP="00646460">
      <w:pPr>
        <w:rPr>
          <w:rFonts w:asciiTheme="minorEastAsia" w:hAnsiTheme="minorEastAsia"/>
          <w:sz w:val="24"/>
        </w:rPr>
      </w:pPr>
    </w:p>
    <w:p w:rsidR="00646460" w:rsidRPr="00646460" w:rsidRDefault="00646460" w:rsidP="00646460">
      <w:pPr>
        <w:rPr>
          <w:rFonts w:asciiTheme="minorEastAsia" w:hAnsiTheme="minorEastAsia"/>
          <w:sz w:val="24"/>
        </w:rPr>
      </w:pPr>
      <w:r w:rsidRPr="00646460">
        <w:rPr>
          <w:rFonts w:asciiTheme="minorEastAsia" w:hAnsiTheme="minorEastAsia" w:hint="eastAsia"/>
          <w:sz w:val="24"/>
        </w:rPr>
        <w:t>（４）キャリア形成支援</w:t>
      </w:r>
    </w:p>
    <w:p w:rsidR="00646460" w:rsidRPr="00646460" w:rsidRDefault="00646460" w:rsidP="000E0797">
      <w:pPr>
        <w:ind w:leftChars="100" w:left="210" w:firstLineChars="100" w:firstLine="240"/>
        <w:rPr>
          <w:rFonts w:asciiTheme="minorEastAsia" w:hAnsiTheme="minorEastAsia"/>
          <w:sz w:val="24"/>
        </w:rPr>
      </w:pPr>
      <w:r w:rsidRPr="00646460">
        <w:rPr>
          <w:rFonts w:asciiTheme="minorEastAsia" w:hAnsiTheme="minorEastAsia" w:hint="eastAsia"/>
          <w:sz w:val="24"/>
        </w:rPr>
        <w:t>本府では、職員の自己の能力開発意欲や仕事への取組み意欲の向上を図り、自身でキャリアデザインを描ける職員の育成を図るため、採用１年目、４年目、10年目の職員を対象として、それぞれキャリア１研修、キャリア４研修、キャリア10研修を実施するとともに、自身に求められる役割を理解し、自らも周りも活かす仕事を実現するために必要な考え方やスキルを学びモチベーションの向上につなげるため、採用４年目、10年目の女性職員を対象（その他男女問わず聴講可）として、女性活躍推進研修を実施しています。</w:t>
      </w:r>
    </w:p>
    <w:p w:rsidR="00646460" w:rsidRPr="00646460" w:rsidRDefault="00646460" w:rsidP="000E0797">
      <w:pPr>
        <w:ind w:leftChars="100" w:left="210" w:firstLineChars="100" w:firstLine="240"/>
        <w:rPr>
          <w:rFonts w:asciiTheme="minorEastAsia" w:hAnsiTheme="minorEastAsia"/>
          <w:sz w:val="24"/>
        </w:rPr>
      </w:pPr>
      <w:r w:rsidRPr="00646460">
        <w:rPr>
          <w:rFonts w:asciiTheme="minorEastAsia" w:hAnsiTheme="minorEastAsia" w:hint="eastAsia"/>
          <w:sz w:val="24"/>
        </w:rPr>
        <w:t>また、採用から現在までの仕事の振り返りや、仕事を進める上での悩み、意見、将来に向けた長期的なキャリア形成等に関する情報共有等を行うことを目的として、採用４年目の一般行政職を対象として、人事課職員とのキャリア面談を実施するとともに、職員が持つアイデアや意欲、向上心を喚起し、主体的なキャリア形成を支援することを目的として、全職員を対象にキャリアクリエイト制度を実施しています。</w:t>
      </w:r>
    </w:p>
    <w:p w:rsidR="00646460" w:rsidRPr="00646460" w:rsidRDefault="00646460" w:rsidP="00646460">
      <w:pPr>
        <w:rPr>
          <w:rFonts w:asciiTheme="minorEastAsia" w:hAnsiTheme="minorEastAsia"/>
          <w:sz w:val="24"/>
        </w:rPr>
      </w:pPr>
    </w:p>
    <w:p w:rsidR="00646460" w:rsidRPr="000E0797" w:rsidRDefault="00646460" w:rsidP="00646460">
      <w:pPr>
        <w:rPr>
          <w:rFonts w:asciiTheme="majorEastAsia" w:eastAsiaTheme="majorEastAsia" w:hAnsiTheme="majorEastAsia"/>
          <w:b/>
          <w:bCs/>
          <w:sz w:val="24"/>
        </w:rPr>
      </w:pPr>
      <w:r w:rsidRPr="000E0797">
        <w:rPr>
          <w:rFonts w:asciiTheme="majorEastAsia" w:eastAsiaTheme="majorEastAsia" w:hAnsiTheme="majorEastAsia" w:hint="eastAsia"/>
          <w:b/>
          <w:bCs/>
          <w:sz w:val="24"/>
        </w:rPr>
        <w:t>３　次世代育成支援対策推進法に基づく特定事業主行動計画の策定</w:t>
      </w:r>
    </w:p>
    <w:p w:rsidR="00646460" w:rsidRPr="00646460" w:rsidRDefault="00646460" w:rsidP="000E0797">
      <w:pPr>
        <w:ind w:leftChars="100" w:left="210" w:firstLineChars="100" w:firstLine="240"/>
        <w:rPr>
          <w:rFonts w:asciiTheme="minorEastAsia" w:hAnsiTheme="minorEastAsia"/>
          <w:sz w:val="24"/>
        </w:rPr>
      </w:pPr>
      <w:r w:rsidRPr="00646460">
        <w:rPr>
          <w:rFonts w:asciiTheme="minorEastAsia" w:hAnsiTheme="minorEastAsia" w:hint="eastAsia"/>
          <w:sz w:val="24"/>
        </w:rPr>
        <w:t>本府では、次世代育成支援対策推進法（平成15年法律第120号）に基づき、平成27年に特定事業主行動計画「みんなでサポート！子育てしやすい環境づくり」（前期計画）を、令和２年には後期計画を策定し、子育てに関する制度を生かす環境づくりや、子育てのための時間づくりに取り組んできました。</w:t>
      </w:r>
    </w:p>
    <w:p w:rsidR="00646460" w:rsidRPr="00646460" w:rsidRDefault="00646460" w:rsidP="000E0797">
      <w:pPr>
        <w:ind w:leftChars="100" w:left="210" w:firstLineChars="100" w:firstLine="240"/>
        <w:rPr>
          <w:rFonts w:asciiTheme="minorEastAsia" w:hAnsiTheme="minorEastAsia"/>
          <w:sz w:val="24"/>
        </w:rPr>
      </w:pPr>
      <w:r w:rsidRPr="00646460">
        <w:rPr>
          <w:rFonts w:asciiTheme="minorEastAsia" w:hAnsiTheme="minorEastAsia" w:hint="eastAsia"/>
          <w:sz w:val="24"/>
        </w:rPr>
        <w:t>後期計画では、配偶者の育児参加休暇の取得者の率を令和６年度までに100％、男性の育児休業の取得者の率を令和６年度までに30％、職員1人当たり年次休暇の平均取得日数15日以上を目標に、子育て中の職員を支援するとともに、すべての職員が働きやすい職場環境づくりをめざしています。</w:t>
      </w:r>
    </w:p>
    <w:sectPr w:rsidR="00646460" w:rsidRPr="00646460" w:rsidSect="006C59D0">
      <w:footerReference w:type="default" r:id="rId8"/>
      <w:type w:val="continuous"/>
      <w:pgSz w:w="11906" w:h="16838"/>
      <w:pgMar w:top="1985" w:right="1701" w:bottom="1560" w:left="1701" w:header="851" w:footer="992" w:gutter="0"/>
      <w:pgNumType w:start="2"/>
      <w:cols w:space="425"/>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C89" w:rsidRDefault="00006C89" w:rsidP="0030278D">
      <w:r>
        <w:separator/>
      </w:r>
    </w:p>
  </w:endnote>
  <w:endnote w:type="continuationSeparator" w:id="0">
    <w:p w:rsidR="00006C89" w:rsidRDefault="00006C89" w:rsidP="0030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5118472"/>
      <w:docPartObj>
        <w:docPartGallery w:val="Page Numbers (Bottom of Page)"/>
        <w:docPartUnique/>
      </w:docPartObj>
    </w:sdtPr>
    <w:sdtEndPr/>
    <w:sdtContent>
      <w:p w:rsidR="004B2F86" w:rsidRDefault="004B2F86">
        <w:pPr>
          <w:pStyle w:val="a6"/>
          <w:jc w:val="center"/>
        </w:pPr>
        <w:r>
          <w:fldChar w:fldCharType="begin"/>
        </w:r>
        <w:r>
          <w:instrText>PAGE   \* MERGEFORMAT</w:instrText>
        </w:r>
        <w:r>
          <w:fldChar w:fldCharType="separate"/>
        </w:r>
        <w:r w:rsidR="006C59D0" w:rsidRPr="006C59D0">
          <w:rPr>
            <w:noProof/>
            <w:lang w:val="ja-JP"/>
          </w:rPr>
          <w:t>2</w:t>
        </w:r>
        <w:r>
          <w:fldChar w:fldCharType="end"/>
        </w:r>
      </w:p>
    </w:sdtContent>
  </w:sdt>
  <w:p w:rsidR="004B2F86" w:rsidRDefault="004B2F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C89" w:rsidRDefault="00006C89" w:rsidP="0030278D">
      <w:r>
        <w:separator/>
      </w:r>
    </w:p>
  </w:footnote>
  <w:footnote w:type="continuationSeparator" w:id="0">
    <w:p w:rsidR="00006C89" w:rsidRDefault="00006C89" w:rsidP="00302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47129"/>
    <w:multiLevelType w:val="hybridMultilevel"/>
    <w:tmpl w:val="7B0AA520"/>
    <w:lvl w:ilvl="0" w:tplc="75FCCBD0">
      <w:start w:val="1"/>
      <w:numFmt w:val="decimalFullWidth"/>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32BC2"/>
    <w:multiLevelType w:val="hybridMultilevel"/>
    <w:tmpl w:val="4F18A5F8"/>
    <w:lvl w:ilvl="0" w:tplc="AC70C19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17A1F91"/>
    <w:multiLevelType w:val="hybridMultilevel"/>
    <w:tmpl w:val="A704C9FC"/>
    <w:lvl w:ilvl="0" w:tplc="69A42494">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A724D8"/>
    <w:multiLevelType w:val="hybridMultilevel"/>
    <w:tmpl w:val="7BF83B82"/>
    <w:lvl w:ilvl="0" w:tplc="41AA75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37167A"/>
    <w:multiLevelType w:val="hybridMultilevel"/>
    <w:tmpl w:val="398AC3B4"/>
    <w:lvl w:ilvl="0" w:tplc="B42EF86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E125D0"/>
    <w:multiLevelType w:val="hybridMultilevel"/>
    <w:tmpl w:val="BE4ABAD2"/>
    <w:lvl w:ilvl="0" w:tplc="ADD439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637E69"/>
    <w:multiLevelType w:val="hybridMultilevel"/>
    <w:tmpl w:val="F1144B8C"/>
    <w:lvl w:ilvl="0" w:tplc="AC46662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53DB4EB5"/>
    <w:multiLevelType w:val="hybridMultilevel"/>
    <w:tmpl w:val="BEE61878"/>
    <w:lvl w:ilvl="0" w:tplc="3DCE666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D02BBD"/>
    <w:multiLevelType w:val="hybridMultilevel"/>
    <w:tmpl w:val="F9F0359C"/>
    <w:lvl w:ilvl="0" w:tplc="18EC746E">
      <w:start w:val="1"/>
      <w:numFmt w:val="decimalFullWidth"/>
      <w:lvlText w:val="（%1）"/>
      <w:lvlJc w:val="left"/>
      <w:pPr>
        <w:ind w:left="1006" w:hanging="765"/>
      </w:pPr>
      <w:rPr>
        <w:rFonts w:hint="default"/>
      </w:rPr>
    </w:lvl>
    <w:lvl w:ilvl="1" w:tplc="234A3954">
      <w:start w:val="1"/>
      <w:numFmt w:val="decimalEnclosedCircle"/>
      <w:lvlText w:val="%2"/>
      <w:lvlJc w:val="left"/>
      <w:pPr>
        <w:ind w:left="1021" w:hanging="360"/>
      </w:pPr>
      <w:rPr>
        <w:rFonts w:hint="default"/>
        <w:sz w:val="22"/>
      </w:r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9" w15:restartNumberingAfterBreak="0">
    <w:nsid w:val="71784C35"/>
    <w:multiLevelType w:val="hybridMultilevel"/>
    <w:tmpl w:val="CADE348E"/>
    <w:lvl w:ilvl="0" w:tplc="AECAF662">
      <w:start w:val="1"/>
      <w:numFmt w:val="decimalEnclosedCircle"/>
      <w:lvlText w:val="%1"/>
      <w:lvlJc w:val="left"/>
      <w:pPr>
        <w:ind w:left="601" w:hanging="360"/>
      </w:pPr>
      <w:rPr>
        <w:rFonts w:hint="default"/>
        <w:sz w:val="22"/>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0" w15:restartNumberingAfterBreak="0">
    <w:nsid w:val="7ED46057"/>
    <w:multiLevelType w:val="hybridMultilevel"/>
    <w:tmpl w:val="EAA8F780"/>
    <w:lvl w:ilvl="0" w:tplc="C194EB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3"/>
  </w:num>
  <w:num w:numId="4">
    <w:abstractNumId w:val="10"/>
  </w:num>
  <w:num w:numId="5">
    <w:abstractNumId w:val="6"/>
  </w:num>
  <w:num w:numId="6">
    <w:abstractNumId w:val="1"/>
  </w:num>
  <w:num w:numId="7">
    <w:abstractNumId w:val="7"/>
  </w:num>
  <w:num w:numId="8">
    <w:abstractNumId w:val="0"/>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21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103"/>
    <w:rsid w:val="00002C0C"/>
    <w:rsid w:val="000037BD"/>
    <w:rsid w:val="00004FF4"/>
    <w:rsid w:val="00006C89"/>
    <w:rsid w:val="00020771"/>
    <w:rsid w:val="00021C55"/>
    <w:rsid w:val="0002291B"/>
    <w:rsid w:val="00026DE1"/>
    <w:rsid w:val="00031C2C"/>
    <w:rsid w:val="000347D5"/>
    <w:rsid w:val="00036A10"/>
    <w:rsid w:val="00042688"/>
    <w:rsid w:val="0004301B"/>
    <w:rsid w:val="000448E0"/>
    <w:rsid w:val="00047648"/>
    <w:rsid w:val="00052DB1"/>
    <w:rsid w:val="0005326F"/>
    <w:rsid w:val="00061F7E"/>
    <w:rsid w:val="0006299E"/>
    <w:rsid w:val="00066810"/>
    <w:rsid w:val="00071481"/>
    <w:rsid w:val="00073135"/>
    <w:rsid w:val="000866BC"/>
    <w:rsid w:val="00091D05"/>
    <w:rsid w:val="00093D76"/>
    <w:rsid w:val="000A3366"/>
    <w:rsid w:val="000A3522"/>
    <w:rsid w:val="000A4B33"/>
    <w:rsid w:val="000A746F"/>
    <w:rsid w:val="000B0775"/>
    <w:rsid w:val="000B0D61"/>
    <w:rsid w:val="000B28EF"/>
    <w:rsid w:val="000C2F92"/>
    <w:rsid w:val="000C715B"/>
    <w:rsid w:val="000D27F6"/>
    <w:rsid w:val="000D65A6"/>
    <w:rsid w:val="000E0797"/>
    <w:rsid w:val="000E0A64"/>
    <w:rsid w:val="000E175E"/>
    <w:rsid w:val="000E1AC4"/>
    <w:rsid w:val="000E2AA2"/>
    <w:rsid w:val="000E518A"/>
    <w:rsid w:val="000F2CCF"/>
    <w:rsid w:val="000F4967"/>
    <w:rsid w:val="000F58FC"/>
    <w:rsid w:val="001032D6"/>
    <w:rsid w:val="00106C70"/>
    <w:rsid w:val="00106E5F"/>
    <w:rsid w:val="00106E89"/>
    <w:rsid w:val="0011088C"/>
    <w:rsid w:val="00115B02"/>
    <w:rsid w:val="001212D0"/>
    <w:rsid w:val="001235C0"/>
    <w:rsid w:val="0012675D"/>
    <w:rsid w:val="001312FA"/>
    <w:rsid w:val="00131F64"/>
    <w:rsid w:val="001338ED"/>
    <w:rsid w:val="00134D50"/>
    <w:rsid w:val="00141B25"/>
    <w:rsid w:val="00142651"/>
    <w:rsid w:val="00143328"/>
    <w:rsid w:val="00143D8F"/>
    <w:rsid w:val="0014696E"/>
    <w:rsid w:val="00154392"/>
    <w:rsid w:val="00154FFF"/>
    <w:rsid w:val="0015520D"/>
    <w:rsid w:val="0016581E"/>
    <w:rsid w:val="00166EFD"/>
    <w:rsid w:val="00167935"/>
    <w:rsid w:val="00167988"/>
    <w:rsid w:val="00170076"/>
    <w:rsid w:val="001737A2"/>
    <w:rsid w:val="0017749B"/>
    <w:rsid w:val="00177B7B"/>
    <w:rsid w:val="00183992"/>
    <w:rsid w:val="00187076"/>
    <w:rsid w:val="00192DB0"/>
    <w:rsid w:val="00193EBC"/>
    <w:rsid w:val="001A0E47"/>
    <w:rsid w:val="001B065C"/>
    <w:rsid w:val="001B497D"/>
    <w:rsid w:val="001C0713"/>
    <w:rsid w:val="001C172F"/>
    <w:rsid w:val="001D6507"/>
    <w:rsid w:val="001D77B3"/>
    <w:rsid w:val="001E1FAF"/>
    <w:rsid w:val="001E28E0"/>
    <w:rsid w:val="001E41ED"/>
    <w:rsid w:val="001E6924"/>
    <w:rsid w:val="001E7326"/>
    <w:rsid w:val="001F034C"/>
    <w:rsid w:val="001F1983"/>
    <w:rsid w:val="001F1F01"/>
    <w:rsid w:val="001F2005"/>
    <w:rsid w:val="001F66BC"/>
    <w:rsid w:val="00200980"/>
    <w:rsid w:val="00202B6C"/>
    <w:rsid w:val="0020564C"/>
    <w:rsid w:val="002111FE"/>
    <w:rsid w:val="00214694"/>
    <w:rsid w:val="00215ACA"/>
    <w:rsid w:val="002160F2"/>
    <w:rsid w:val="002178E2"/>
    <w:rsid w:val="00222350"/>
    <w:rsid w:val="00223109"/>
    <w:rsid w:val="00226B2F"/>
    <w:rsid w:val="00230594"/>
    <w:rsid w:val="00243FD3"/>
    <w:rsid w:val="002455CA"/>
    <w:rsid w:val="00245FEA"/>
    <w:rsid w:val="00246F7B"/>
    <w:rsid w:val="002477C2"/>
    <w:rsid w:val="002513C9"/>
    <w:rsid w:val="00251F98"/>
    <w:rsid w:val="00261C58"/>
    <w:rsid w:val="00266DBE"/>
    <w:rsid w:val="00273173"/>
    <w:rsid w:val="00273D4B"/>
    <w:rsid w:val="002752CD"/>
    <w:rsid w:val="0027593B"/>
    <w:rsid w:val="00275AED"/>
    <w:rsid w:val="002766ED"/>
    <w:rsid w:val="00294341"/>
    <w:rsid w:val="0029593A"/>
    <w:rsid w:val="002972B2"/>
    <w:rsid w:val="002A2874"/>
    <w:rsid w:val="002A7767"/>
    <w:rsid w:val="002A7CB5"/>
    <w:rsid w:val="002B159C"/>
    <w:rsid w:val="002B21CA"/>
    <w:rsid w:val="002B2879"/>
    <w:rsid w:val="002B50D5"/>
    <w:rsid w:val="002B7353"/>
    <w:rsid w:val="002C4502"/>
    <w:rsid w:val="002C4780"/>
    <w:rsid w:val="002C5FB9"/>
    <w:rsid w:val="002C60B8"/>
    <w:rsid w:val="002C66D7"/>
    <w:rsid w:val="002C7BE5"/>
    <w:rsid w:val="002C7EB5"/>
    <w:rsid w:val="002E186B"/>
    <w:rsid w:val="002E3111"/>
    <w:rsid w:val="002E4075"/>
    <w:rsid w:val="0030278D"/>
    <w:rsid w:val="003034DE"/>
    <w:rsid w:val="00307479"/>
    <w:rsid w:val="0030768A"/>
    <w:rsid w:val="00307BEA"/>
    <w:rsid w:val="00314EE4"/>
    <w:rsid w:val="00315C87"/>
    <w:rsid w:val="00333A67"/>
    <w:rsid w:val="00346394"/>
    <w:rsid w:val="00351B36"/>
    <w:rsid w:val="003521E3"/>
    <w:rsid w:val="00356DAA"/>
    <w:rsid w:val="00357944"/>
    <w:rsid w:val="0036112B"/>
    <w:rsid w:val="00362219"/>
    <w:rsid w:val="00363466"/>
    <w:rsid w:val="00373955"/>
    <w:rsid w:val="00376DC4"/>
    <w:rsid w:val="0038015D"/>
    <w:rsid w:val="0038022A"/>
    <w:rsid w:val="00380F86"/>
    <w:rsid w:val="00382D45"/>
    <w:rsid w:val="003830B1"/>
    <w:rsid w:val="00390F15"/>
    <w:rsid w:val="003912FE"/>
    <w:rsid w:val="00392A6E"/>
    <w:rsid w:val="00392B0E"/>
    <w:rsid w:val="00395574"/>
    <w:rsid w:val="00395A5F"/>
    <w:rsid w:val="00396881"/>
    <w:rsid w:val="00397084"/>
    <w:rsid w:val="003A088F"/>
    <w:rsid w:val="003A6101"/>
    <w:rsid w:val="003A6AC6"/>
    <w:rsid w:val="003A7A7E"/>
    <w:rsid w:val="003B0288"/>
    <w:rsid w:val="003B082F"/>
    <w:rsid w:val="003B2225"/>
    <w:rsid w:val="003B35AB"/>
    <w:rsid w:val="003B43AC"/>
    <w:rsid w:val="003B6B60"/>
    <w:rsid w:val="003C3E1E"/>
    <w:rsid w:val="003C6D91"/>
    <w:rsid w:val="003D29A2"/>
    <w:rsid w:val="003E423E"/>
    <w:rsid w:val="003E5C3C"/>
    <w:rsid w:val="003F04FE"/>
    <w:rsid w:val="003F11F5"/>
    <w:rsid w:val="003F2504"/>
    <w:rsid w:val="0040195B"/>
    <w:rsid w:val="0040315F"/>
    <w:rsid w:val="00403343"/>
    <w:rsid w:val="0040464F"/>
    <w:rsid w:val="00412CF6"/>
    <w:rsid w:val="0042058E"/>
    <w:rsid w:val="00424E58"/>
    <w:rsid w:val="00426D95"/>
    <w:rsid w:val="00430D1A"/>
    <w:rsid w:val="00431412"/>
    <w:rsid w:val="00433EB8"/>
    <w:rsid w:val="00435127"/>
    <w:rsid w:val="00442467"/>
    <w:rsid w:val="00442BFF"/>
    <w:rsid w:val="00444FAB"/>
    <w:rsid w:val="0044574E"/>
    <w:rsid w:val="00447172"/>
    <w:rsid w:val="004525BF"/>
    <w:rsid w:val="004565A8"/>
    <w:rsid w:val="0046166F"/>
    <w:rsid w:val="00462A9D"/>
    <w:rsid w:val="00465283"/>
    <w:rsid w:val="00471485"/>
    <w:rsid w:val="00475262"/>
    <w:rsid w:val="00475715"/>
    <w:rsid w:val="00484DDC"/>
    <w:rsid w:val="004953D8"/>
    <w:rsid w:val="004B2F86"/>
    <w:rsid w:val="004B3720"/>
    <w:rsid w:val="004B68CD"/>
    <w:rsid w:val="004C3AA0"/>
    <w:rsid w:val="004C64EB"/>
    <w:rsid w:val="004E0203"/>
    <w:rsid w:val="004E1AC9"/>
    <w:rsid w:val="004E21C9"/>
    <w:rsid w:val="004E6FF5"/>
    <w:rsid w:val="004E790F"/>
    <w:rsid w:val="005057F4"/>
    <w:rsid w:val="00512A58"/>
    <w:rsid w:val="005133AA"/>
    <w:rsid w:val="00514DB7"/>
    <w:rsid w:val="00516973"/>
    <w:rsid w:val="0052047C"/>
    <w:rsid w:val="005214AB"/>
    <w:rsid w:val="00527D4D"/>
    <w:rsid w:val="00534D0A"/>
    <w:rsid w:val="005400F9"/>
    <w:rsid w:val="005510C3"/>
    <w:rsid w:val="005515B1"/>
    <w:rsid w:val="0055475C"/>
    <w:rsid w:val="00554DFC"/>
    <w:rsid w:val="00564E1A"/>
    <w:rsid w:val="00565107"/>
    <w:rsid w:val="00566727"/>
    <w:rsid w:val="00566A36"/>
    <w:rsid w:val="005747FF"/>
    <w:rsid w:val="00574EDB"/>
    <w:rsid w:val="00582B3B"/>
    <w:rsid w:val="00583796"/>
    <w:rsid w:val="005A228E"/>
    <w:rsid w:val="005A48EF"/>
    <w:rsid w:val="005A678C"/>
    <w:rsid w:val="005A7B26"/>
    <w:rsid w:val="005B0203"/>
    <w:rsid w:val="005B248C"/>
    <w:rsid w:val="005B38DE"/>
    <w:rsid w:val="005C0EBE"/>
    <w:rsid w:val="005C307C"/>
    <w:rsid w:val="005C3489"/>
    <w:rsid w:val="005C4E33"/>
    <w:rsid w:val="005D09A1"/>
    <w:rsid w:val="005D542B"/>
    <w:rsid w:val="005D610F"/>
    <w:rsid w:val="005E2719"/>
    <w:rsid w:val="005E4312"/>
    <w:rsid w:val="005E4997"/>
    <w:rsid w:val="005E7F68"/>
    <w:rsid w:val="005F15ED"/>
    <w:rsid w:val="005F41C4"/>
    <w:rsid w:val="005F42FD"/>
    <w:rsid w:val="005F7FF3"/>
    <w:rsid w:val="00600D9D"/>
    <w:rsid w:val="00602ED3"/>
    <w:rsid w:val="0061375E"/>
    <w:rsid w:val="00614796"/>
    <w:rsid w:val="00617B6A"/>
    <w:rsid w:val="006207E7"/>
    <w:rsid w:val="006234F3"/>
    <w:rsid w:val="006310D3"/>
    <w:rsid w:val="00632D6D"/>
    <w:rsid w:val="00633D8F"/>
    <w:rsid w:val="00641CBE"/>
    <w:rsid w:val="00641FD2"/>
    <w:rsid w:val="00646460"/>
    <w:rsid w:val="006468F0"/>
    <w:rsid w:val="006471FC"/>
    <w:rsid w:val="00651E23"/>
    <w:rsid w:val="006529D0"/>
    <w:rsid w:val="006704CD"/>
    <w:rsid w:val="00672FDB"/>
    <w:rsid w:val="0067402B"/>
    <w:rsid w:val="0067435E"/>
    <w:rsid w:val="00677B88"/>
    <w:rsid w:val="00690444"/>
    <w:rsid w:val="00690616"/>
    <w:rsid w:val="006908DC"/>
    <w:rsid w:val="00694F0B"/>
    <w:rsid w:val="0069695A"/>
    <w:rsid w:val="006A26E6"/>
    <w:rsid w:val="006C0A08"/>
    <w:rsid w:val="006C164A"/>
    <w:rsid w:val="006C59D0"/>
    <w:rsid w:val="006C5C7C"/>
    <w:rsid w:val="006D213E"/>
    <w:rsid w:val="006D6B1B"/>
    <w:rsid w:val="006E4D01"/>
    <w:rsid w:val="006E6ABE"/>
    <w:rsid w:val="006E7C1F"/>
    <w:rsid w:val="006F0897"/>
    <w:rsid w:val="006F3385"/>
    <w:rsid w:val="006F4160"/>
    <w:rsid w:val="00700B0C"/>
    <w:rsid w:val="00704360"/>
    <w:rsid w:val="00712AE8"/>
    <w:rsid w:val="00713DB0"/>
    <w:rsid w:val="007145D0"/>
    <w:rsid w:val="00717E6C"/>
    <w:rsid w:val="007223B2"/>
    <w:rsid w:val="007237C0"/>
    <w:rsid w:val="00723A37"/>
    <w:rsid w:val="00726F3F"/>
    <w:rsid w:val="00730672"/>
    <w:rsid w:val="00735A46"/>
    <w:rsid w:val="00736D79"/>
    <w:rsid w:val="0074089E"/>
    <w:rsid w:val="00741CEB"/>
    <w:rsid w:val="00742C5A"/>
    <w:rsid w:val="00744B5E"/>
    <w:rsid w:val="007477C7"/>
    <w:rsid w:val="00747F34"/>
    <w:rsid w:val="007529C2"/>
    <w:rsid w:val="0075424E"/>
    <w:rsid w:val="00756D44"/>
    <w:rsid w:val="00763B6D"/>
    <w:rsid w:val="00763B75"/>
    <w:rsid w:val="00763DCF"/>
    <w:rsid w:val="00764407"/>
    <w:rsid w:val="00765141"/>
    <w:rsid w:val="00766A6F"/>
    <w:rsid w:val="0077665A"/>
    <w:rsid w:val="00776FF3"/>
    <w:rsid w:val="007807B4"/>
    <w:rsid w:val="00787415"/>
    <w:rsid w:val="00791C81"/>
    <w:rsid w:val="00794464"/>
    <w:rsid w:val="0079614D"/>
    <w:rsid w:val="00797C12"/>
    <w:rsid w:val="007A1643"/>
    <w:rsid w:val="007A4054"/>
    <w:rsid w:val="007A4297"/>
    <w:rsid w:val="007A6C1E"/>
    <w:rsid w:val="007A7178"/>
    <w:rsid w:val="007B136E"/>
    <w:rsid w:val="007B4B45"/>
    <w:rsid w:val="007B7B03"/>
    <w:rsid w:val="007B7BDD"/>
    <w:rsid w:val="007C08DF"/>
    <w:rsid w:val="007C160C"/>
    <w:rsid w:val="007C1EF8"/>
    <w:rsid w:val="007C333F"/>
    <w:rsid w:val="007C37CB"/>
    <w:rsid w:val="007C3C25"/>
    <w:rsid w:val="007D0638"/>
    <w:rsid w:val="007D3021"/>
    <w:rsid w:val="007D5C0B"/>
    <w:rsid w:val="007D5C9C"/>
    <w:rsid w:val="007D5F63"/>
    <w:rsid w:val="007D63F8"/>
    <w:rsid w:val="007F3810"/>
    <w:rsid w:val="007F74B7"/>
    <w:rsid w:val="008005E6"/>
    <w:rsid w:val="008126E7"/>
    <w:rsid w:val="00812EDD"/>
    <w:rsid w:val="00817AA0"/>
    <w:rsid w:val="00820176"/>
    <w:rsid w:val="00824825"/>
    <w:rsid w:val="00832A0C"/>
    <w:rsid w:val="00832CFA"/>
    <w:rsid w:val="0083768D"/>
    <w:rsid w:val="008419C3"/>
    <w:rsid w:val="00842438"/>
    <w:rsid w:val="00845E97"/>
    <w:rsid w:val="00847A07"/>
    <w:rsid w:val="00871CE9"/>
    <w:rsid w:val="00874FCF"/>
    <w:rsid w:val="00876435"/>
    <w:rsid w:val="008804AD"/>
    <w:rsid w:val="0088334D"/>
    <w:rsid w:val="008844D0"/>
    <w:rsid w:val="00885151"/>
    <w:rsid w:val="008916BA"/>
    <w:rsid w:val="008951AE"/>
    <w:rsid w:val="008951C6"/>
    <w:rsid w:val="00896829"/>
    <w:rsid w:val="00896AB1"/>
    <w:rsid w:val="00896D15"/>
    <w:rsid w:val="008A36CA"/>
    <w:rsid w:val="008B0ED4"/>
    <w:rsid w:val="008B7959"/>
    <w:rsid w:val="008C0B13"/>
    <w:rsid w:val="008C3BB2"/>
    <w:rsid w:val="008C3D4C"/>
    <w:rsid w:val="008C50B7"/>
    <w:rsid w:val="008C5749"/>
    <w:rsid w:val="008C5ECB"/>
    <w:rsid w:val="008D2226"/>
    <w:rsid w:val="008D570E"/>
    <w:rsid w:val="008E49AD"/>
    <w:rsid w:val="008E5F3C"/>
    <w:rsid w:val="008E602C"/>
    <w:rsid w:val="008E669E"/>
    <w:rsid w:val="008E730C"/>
    <w:rsid w:val="008F0872"/>
    <w:rsid w:val="008F6042"/>
    <w:rsid w:val="008F6680"/>
    <w:rsid w:val="008F67D2"/>
    <w:rsid w:val="009118F1"/>
    <w:rsid w:val="00920210"/>
    <w:rsid w:val="00922D4E"/>
    <w:rsid w:val="00925FB1"/>
    <w:rsid w:val="0092707F"/>
    <w:rsid w:val="0093597C"/>
    <w:rsid w:val="00943A77"/>
    <w:rsid w:val="00943CF8"/>
    <w:rsid w:val="00945A94"/>
    <w:rsid w:val="0094659E"/>
    <w:rsid w:val="0095101B"/>
    <w:rsid w:val="00952E4E"/>
    <w:rsid w:val="009534A8"/>
    <w:rsid w:val="00956EB9"/>
    <w:rsid w:val="00957FF3"/>
    <w:rsid w:val="009637EB"/>
    <w:rsid w:val="009652D1"/>
    <w:rsid w:val="009702C8"/>
    <w:rsid w:val="00976CF9"/>
    <w:rsid w:val="00980322"/>
    <w:rsid w:val="00983774"/>
    <w:rsid w:val="0098548D"/>
    <w:rsid w:val="009868DB"/>
    <w:rsid w:val="00986E57"/>
    <w:rsid w:val="009915F6"/>
    <w:rsid w:val="00991F5D"/>
    <w:rsid w:val="00993014"/>
    <w:rsid w:val="0099494C"/>
    <w:rsid w:val="00997037"/>
    <w:rsid w:val="009A4892"/>
    <w:rsid w:val="009A5DA5"/>
    <w:rsid w:val="009A61E6"/>
    <w:rsid w:val="009B03C7"/>
    <w:rsid w:val="009B03E3"/>
    <w:rsid w:val="009B471C"/>
    <w:rsid w:val="009B5141"/>
    <w:rsid w:val="009B53D7"/>
    <w:rsid w:val="009C1E37"/>
    <w:rsid w:val="009C517A"/>
    <w:rsid w:val="009C5828"/>
    <w:rsid w:val="009C5C0B"/>
    <w:rsid w:val="009D0B19"/>
    <w:rsid w:val="009D28C3"/>
    <w:rsid w:val="009D5507"/>
    <w:rsid w:val="00A042C2"/>
    <w:rsid w:val="00A10BC5"/>
    <w:rsid w:val="00A11C1A"/>
    <w:rsid w:val="00A15917"/>
    <w:rsid w:val="00A16BCB"/>
    <w:rsid w:val="00A17EFB"/>
    <w:rsid w:val="00A24545"/>
    <w:rsid w:val="00A34B90"/>
    <w:rsid w:val="00A37030"/>
    <w:rsid w:val="00A3758D"/>
    <w:rsid w:val="00A375DA"/>
    <w:rsid w:val="00A42E0F"/>
    <w:rsid w:val="00A43CC7"/>
    <w:rsid w:val="00A43EB5"/>
    <w:rsid w:val="00A557AF"/>
    <w:rsid w:val="00A5724B"/>
    <w:rsid w:val="00A62F3D"/>
    <w:rsid w:val="00A6783E"/>
    <w:rsid w:val="00A70285"/>
    <w:rsid w:val="00A74071"/>
    <w:rsid w:val="00A836C0"/>
    <w:rsid w:val="00A87FF5"/>
    <w:rsid w:val="00A926FD"/>
    <w:rsid w:val="00A96526"/>
    <w:rsid w:val="00A96F94"/>
    <w:rsid w:val="00AA2D3F"/>
    <w:rsid w:val="00AB1D05"/>
    <w:rsid w:val="00AC4C4E"/>
    <w:rsid w:val="00AC68E4"/>
    <w:rsid w:val="00AC6F80"/>
    <w:rsid w:val="00AD37FC"/>
    <w:rsid w:val="00AD3AB8"/>
    <w:rsid w:val="00AD7C62"/>
    <w:rsid w:val="00AE0BED"/>
    <w:rsid w:val="00AE1EE6"/>
    <w:rsid w:val="00AF7062"/>
    <w:rsid w:val="00B03653"/>
    <w:rsid w:val="00B0536F"/>
    <w:rsid w:val="00B155C4"/>
    <w:rsid w:val="00B17552"/>
    <w:rsid w:val="00B255BC"/>
    <w:rsid w:val="00B263CA"/>
    <w:rsid w:val="00B27297"/>
    <w:rsid w:val="00B31E43"/>
    <w:rsid w:val="00B3238D"/>
    <w:rsid w:val="00B32BAD"/>
    <w:rsid w:val="00B4072F"/>
    <w:rsid w:val="00B431C6"/>
    <w:rsid w:val="00B44547"/>
    <w:rsid w:val="00B451C0"/>
    <w:rsid w:val="00B65659"/>
    <w:rsid w:val="00B66531"/>
    <w:rsid w:val="00B706B6"/>
    <w:rsid w:val="00B7298F"/>
    <w:rsid w:val="00B75404"/>
    <w:rsid w:val="00B7629B"/>
    <w:rsid w:val="00B80623"/>
    <w:rsid w:val="00B84033"/>
    <w:rsid w:val="00B85F0F"/>
    <w:rsid w:val="00B919CB"/>
    <w:rsid w:val="00BA285F"/>
    <w:rsid w:val="00BA3F7C"/>
    <w:rsid w:val="00BA5290"/>
    <w:rsid w:val="00BA733C"/>
    <w:rsid w:val="00BA7939"/>
    <w:rsid w:val="00BA7B47"/>
    <w:rsid w:val="00BB5475"/>
    <w:rsid w:val="00BC321E"/>
    <w:rsid w:val="00BC7E8E"/>
    <w:rsid w:val="00BD037A"/>
    <w:rsid w:val="00BD3269"/>
    <w:rsid w:val="00BD4ACE"/>
    <w:rsid w:val="00BF2F57"/>
    <w:rsid w:val="00BF3BF3"/>
    <w:rsid w:val="00BF5A36"/>
    <w:rsid w:val="00BF7C56"/>
    <w:rsid w:val="00C1037A"/>
    <w:rsid w:val="00C109AA"/>
    <w:rsid w:val="00C15816"/>
    <w:rsid w:val="00C1751F"/>
    <w:rsid w:val="00C20F68"/>
    <w:rsid w:val="00C21262"/>
    <w:rsid w:val="00C255D4"/>
    <w:rsid w:val="00C30C63"/>
    <w:rsid w:val="00C319B5"/>
    <w:rsid w:val="00C32346"/>
    <w:rsid w:val="00C32FB1"/>
    <w:rsid w:val="00C375C6"/>
    <w:rsid w:val="00C500B5"/>
    <w:rsid w:val="00C542E3"/>
    <w:rsid w:val="00C54FBB"/>
    <w:rsid w:val="00C55A0C"/>
    <w:rsid w:val="00C56CDA"/>
    <w:rsid w:val="00C6201B"/>
    <w:rsid w:val="00C6357F"/>
    <w:rsid w:val="00C63C86"/>
    <w:rsid w:val="00C641C2"/>
    <w:rsid w:val="00C71B09"/>
    <w:rsid w:val="00C73273"/>
    <w:rsid w:val="00C7584B"/>
    <w:rsid w:val="00C76023"/>
    <w:rsid w:val="00C76326"/>
    <w:rsid w:val="00C768FD"/>
    <w:rsid w:val="00C85839"/>
    <w:rsid w:val="00C93248"/>
    <w:rsid w:val="00CA0070"/>
    <w:rsid w:val="00CA4E1A"/>
    <w:rsid w:val="00CA5672"/>
    <w:rsid w:val="00CB0A86"/>
    <w:rsid w:val="00CB38D9"/>
    <w:rsid w:val="00CB3A64"/>
    <w:rsid w:val="00CB4314"/>
    <w:rsid w:val="00CB5B5D"/>
    <w:rsid w:val="00CC0767"/>
    <w:rsid w:val="00CC2B2C"/>
    <w:rsid w:val="00CC3A3C"/>
    <w:rsid w:val="00CC55C9"/>
    <w:rsid w:val="00CD4B09"/>
    <w:rsid w:val="00CD5237"/>
    <w:rsid w:val="00CD5436"/>
    <w:rsid w:val="00CD76A1"/>
    <w:rsid w:val="00CD7A24"/>
    <w:rsid w:val="00CE209E"/>
    <w:rsid w:val="00CE3504"/>
    <w:rsid w:val="00CE6AC6"/>
    <w:rsid w:val="00CF4394"/>
    <w:rsid w:val="00CF6063"/>
    <w:rsid w:val="00D0055D"/>
    <w:rsid w:val="00D00B82"/>
    <w:rsid w:val="00D10060"/>
    <w:rsid w:val="00D10BB5"/>
    <w:rsid w:val="00D10FD4"/>
    <w:rsid w:val="00D12F3C"/>
    <w:rsid w:val="00D14F9E"/>
    <w:rsid w:val="00D176EA"/>
    <w:rsid w:val="00D22EC8"/>
    <w:rsid w:val="00D23D5E"/>
    <w:rsid w:val="00D247A5"/>
    <w:rsid w:val="00D25F30"/>
    <w:rsid w:val="00D27158"/>
    <w:rsid w:val="00D4648D"/>
    <w:rsid w:val="00D5051E"/>
    <w:rsid w:val="00D612F2"/>
    <w:rsid w:val="00D70D36"/>
    <w:rsid w:val="00D7465B"/>
    <w:rsid w:val="00D751C1"/>
    <w:rsid w:val="00D75F71"/>
    <w:rsid w:val="00D808B5"/>
    <w:rsid w:val="00D81145"/>
    <w:rsid w:val="00D8179D"/>
    <w:rsid w:val="00D827EB"/>
    <w:rsid w:val="00D84E63"/>
    <w:rsid w:val="00D86BA9"/>
    <w:rsid w:val="00D87EE6"/>
    <w:rsid w:val="00D955C4"/>
    <w:rsid w:val="00D96550"/>
    <w:rsid w:val="00DA0759"/>
    <w:rsid w:val="00DA2E4A"/>
    <w:rsid w:val="00DA5C65"/>
    <w:rsid w:val="00DA5FE0"/>
    <w:rsid w:val="00DA76A1"/>
    <w:rsid w:val="00DA78A6"/>
    <w:rsid w:val="00DB066A"/>
    <w:rsid w:val="00DB3729"/>
    <w:rsid w:val="00DB443A"/>
    <w:rsid w:val="00DB7100"/>
    <w:rsid w:val="00DC02A4"/>
    <w:rsid w:val="00DC204C"/>
    <w:rsid w:val="00DC6E34"/>
    <w:rsid w:val="00DC6ED5"/>
    <w:rsid w:val="00DC7DE9"/>
    <w:rsid w:val="00DD41BD"/>
    <w:rsid w:val="00DD4343"/>
    <w:rsid w:val="00DD4D77"/>
    <w:rsid w:val="00DE0278"/>
    <w:rsid w:val="00DE281D"/>
    <w:rsid w:val="00DE3B65"/>
    <w:rsid w:val="00DE440C"/>
    <w:rsid w:val="00DE6891"/>
    <w:rsid w:val="00DF038E"/>
    <w:rsid w:val="00DF1B08"/>
    <w:rsid w:val="00DF3210"/>
    <w:rsid w:val="00DF7602"/>
    <w:rsid w:val="00E00795"/>
    <w:rsid w:val="00E04985"/>
    <w:rsid w:val="00E062FA"/>
    <w:rsid w:val="00E07A6C"/>
    <w:rsid w:val="00E119E9"/>
    <w:rsid w:val="00E211FA"/>
    <w:rsid w:val="00E21273"/>
    <w:rsid w:val="00E21612"/>
    <w:rsid w:val="00E24852"/>
    <w:rsid w:val="00E27463"/>
    <w:rsid w:val="00E31547"/>
    <w:rsid w:val="00E5226E"/>
    <w:rsid w:val="00E5357D"/>
    <w:rsid w:val="00E60383"/>
    <w:rsid w:val="00E60E22"/>
    <w:rsid w:val="00E6499C"/>
    <w:rsid w:val="00E70164"/>
    <w:rsid w:val="00E71C22"/>
    <w:rsid w:val="00E73207"/>
    <w:rsid w:val="00E73A57"/>
    <w:rsid w:val="00E756B8"/>
    <w:rsid w:val="00E76079"/>
    <w:rsid w:val="00E7689D"/>
    <w:rsid w:val="00E80C04"/>
    <w:rsid w:val="00E827F7"/>
    <w:rsid w:val="00E85772"/>
    <w:rsid w:val="00E85F5A"/>
    <w:rsid w:val="00E921BD"/>
    <w:rsid w:val="00E93AA6"/>
    <w:rsid w:val="00E958B6"/>
    <w:rsid w:val="00E97597"/>
    <w:rsid w:val="00EA3B73"/>
    <w:rsid w:val="00EB660D"/>
    <w:rsid w:val="00EB789D"/>
    <w:rsid w:val="00EB7CFC"/>
    <w:rsid w:val="00EC20A3"/>
    <w:rsid w:val="00EC2506"/>
    <w:rsid w:val="00EC2810"/>
    <w:rsid w:val="00EC3144"/>
    <w:rsid w:val="00EC42A5"/>
    <w:rsid w:val="00EC681B"/>
    <w:rsid w:val="00EC705A"/>
    <w:rsid w:val="00ED0F2F"/>
    <w:rsid w:val="00ED1810"/>
    <w:rsid w:val="00ED3AF2"/>
    <w:rsid w:val="00ED628E"/>
    <w:rsid w:val="00ED6832"/>
    <w:rsid w:val="00ED7406"/>
    <w:rsid w:val="00ED7944"/>
    <w:rsid w:val="00EE33CD"/>
    <w:rsid w:val="00EE3CF7"/>
    <w:rsid w:val="00EE5297"/>
    <w:rsid w:val="00EF0DE5"/>
    <w:rsid w:val="00EF3BA1"/>
    <w:rsid w:val="00EF5D30"/>
    <w:rsid w:val="00EF624D"/>
    <w:rsid w:val="00EF71CB"/>
    <w:rsid w:val="00F00291"/>
    <w:rsid w:val="00F06888"/>
    <w:rsid w:val="00F12802"/>
    <w:rsid w:val="00F13521"/>
    <w:rsid w:val="00F13A21"/>
    <w:rsid w:val="00F1523A"/>
    <w:rsid w:val="00F1562B"/>
    <w:rsid w:val="00F157FF"/>
    <w:rsid w:val="00F1689F"/>
    <w:rsid w:val="00F205C3"/>
    <w:rsid w:val="00F21A2B"/>
    <w:rsid w:val="00F21D0C"/>
    <w:rsid w:val="00F22114"/>
    <w:rsid w:val="00F26AC8"/>
    <w:rsid w:val="00F35035"/>
    <w:rsid w:val="00F35DD8"/>
    <w:rsid w:val="00F3744D"/>
    <w:rsid w:val="00F47229"/>
    <w:rsid w:val="00F54712"/>
    <w:rsid w:val="00F547FC"/>
    <w:rsid w:val="00F608EF"/>
    <w:rsid w:val="00F62488"/>
    <w:rsid w:val="00F6299C"/>
    <w:rsid w:val="00F63E59"/>
    <w:rsid w:val="00F64BE7"/>
    <w:rsid w:val="00F65CD3"/>
    <w:rsid w:val="00F70757"/>
    <w:rsid w:val="00F711A5"/>
    <w:rsid w:val="00F71485"/>
    <w:rsid w:val="00F72F29"/>
    <w:rsid w:val="00F74144"/>
    <w:rsid w:val="00F74BC8"/>
    <w:rsid w:val="00F774A4"/>
    <w:rsid w:val="00F86756"/>
    <w:rsid w:val="00F86C04"/>
    <w:rsid w:val="00F87103"/>
    <w:rsid w:val="00F91699"/>
    <w:rsid w:val="00F9337D"/>
    <w:rsid w:val="00FA0C0A"/>
    <w:rsid w:val="00FA69A9"/>
    <w:rsid w:val="00FA74F3"/>
    <w:rsid w:val="00FC591B"/>
    <w:rsid w:val="00FD0B94"/>
    <w:rsid w:val="00FD27C9"/>
    <w:rsid w:val="00FD60FD"/>
    <w:rsid w:val="00FD7EB3"/>
    <w:rsid w:val="00FE2219"/>
    <w:rsid w:val="00FE2734"/>
    <w:rsid w:val="00FE63E2"/>
    <w:rsid w:val="00FF05C7"/>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94457AD3-865C-46A3-9867-2DA841C5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2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871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F87103"/>
    <w:pPr>
      <w:ind w:leftChars="400" w:left="840"/>
    </w:pPr>
  </w:style>
  <w:style w:type="paragraph" w:styleId="a4">
    <w:name w:val="header"/>
    <w:basedOn w:val="a"/>
    <w:link w:val="a5"/>
    <w:uiPriority w:val="99"/>
    <w:unhideWhenUsed/>
    <w:rsid w:val="0030278D"/>
    <w:pPr>
      <w:tabs>
        <w:tab w:val="center" w:pos="4252"/>
        <w:tab w:val="right" w:pos="8504"/>
      </w:tabs>
      <w:snapToGrid w:val="0"/>
    </w:pPr>
  </w:style>
  <w:style w:type="character" w:customStyle="1" w:styleId="a5">
    <w:name w:val="ヘッダー (文字)"/>
    <w:basedOn w:val="a0"/>
    <w:link w:val="a4"/>
    <w:uiPriority w:val="99"/>
    <w:rsid w:val="0030278D"/>
  </w:style>
  <w:style w:type="paragraph" w:styleId="a6">
    <w:name w:val="footer"/>
    <w:basedOn w:val="a"/>
    <w:link w:val="a7"/>
    <w:uiPriority w:val="99"/>
    <w:unhideWhenUsed/>
    <w:rsid w:val="0030278D"/>
    <w:pPr>
      <w:tabs>
        <w:tab w:val="center" w:pos="4252"/>
        <w:tab w:val="right" w:pos="8504"/>
      </w:tabs>
      <w:snapToGrid w:val="0"/>
    </w:pPr>
  </w:style>
  <w:style w:type="character" w:customStyle="1" w:styleId="a7">
    <w:name w:val="フッター (文字)"/>
    <w:basedOn w:val="a0"/>
    <w:link w:val="a6"/>
    <w:uiPriority w:val="99"/>
    <w:rsid w:val="0030278D"/>
  </w:style>
  <w:style w:type="paragraph" w:styleId="a8">
    <w:name w:val="Balloon Text"/>
    <w:basedOn w:val="a"/>
    <w:link w:val="a9"/>
    <w:uiPriority w:val="99"/>
    <w:semiHidden/>
    <w:unhideWhenUsed/>
    <w:rsid w:val="00315C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5C87"/>
    <w:rPr>
      <w:rFonts w:asciiTheme="majorHAnsi" w:eastAsiaTheme="majorEastAsia" w:hAnsiTheme="majorHAnsi" w:cstheme="majorBidi"/>
      <w:sz w:val="18"/>
      <w:szCs w:val="18"/>
    </w:rPr>
  </w:style>
  <w:style w:type="character" w:styleId="aa">
    <w:name w:val="Hyperlink"/>
    <w:basedOn w:val="a0"/>
    <w:uiPriority w:val="99"/>
    <w:unhideWhenUsed/>
    <w:rsid w:val="00131F64"/>
    <w:rPr>
      <w:color w:val="0000FF" w:themeColor="hyperlink"/>
      <w:u w:val="single"/>
    </w:rPr>
  </w:style>
  <w:style w:type="table" w:styleId="ab">
    <w:name w:val="Table Grid"/>
    <w:basedOn w:val="a1"/>
    <w:uiPriority w:val="59"/>
    <w:rsid w:val="00DB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134D50"/>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134D50"/>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59"/>
    <w:rsid w:val="00134D50"/>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59"/>
    <w:rsid w:val="00C375C6"/>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b"/>
    <w:uiPriority w:val="59"/>
    <w:rsid w:val="00D808B5"/>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AA2D3F"/>
  </w:style>
  <w:style w:type="table" w:customStyle="1" w:styleId="6">
    <w:name w:val="表 (格子)6"/>
    <w:basedOn w:val="a1"/>
    <w:next w:val="ab"/>
    <w:uiPriority w:val="59"/>
    <w:rsid w:val="00AA2D3F"/>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1627">
      <w:bodyDiv w:val="1"/>
      <w:marLeft w:val="0"/>
      <w:marRight w:val="0"/>
      <w:marTop w:val="0"/>
      <w:marBottom w:val="0"/>
      <w:divBdr>
        <w:top w:val="none" w:sz="0" w:space="0" w:color="auto"/>
        <w:left w:val="none" w:sz="0" w:space="0" w:color="auto"/>
        <w:bottom w:val="none" w:sz="0" w:space="0" w:color="auto"/>
        <w:right w:val="none" w:sz="0" w:space="0" w:color="auto"/>
      </w:divBdr>
    </w:div>
    <w:div w:id="31736611">
      <w:bodyDiv w:val="1"/>
      <w:marLeft w:val="0"/>
      <w:marRight w:val="0"/>
      <w:marTop w:val="0"/>
      <w:marBottom w:val="0"/>
      <w:divBdr>
        <w:top w:val="none" w:sz="0" w:space="0" w:color="auto"/>
        <w:left w:val="none" w:sz="0" w:space="0" w:color="auto"/>
        <w:bottom w:val="none" w:sz="0" w:space="0" w:color="auto"/>
        <w:right w:val="none" w:sz="0" w:space="0" w:color="auto"/>
      </w:divBdr>
    </w:div>
    <w:div w:id="78142365">
      <w:bodyDiv w:val="1"/>
      <w:marLeft w:val="0"/>
      <w:marRight w:val="0"/>
      <w:marTop w:val="0"/>
      <w:marBottom w:val="0"/>
      <w:divBdr>
        <w:top w:val="none" w:sz="0" w:space="0" w:color="auto"/>
        <w:left w:val="none" w:sz="0" w:space="0" w:color="auto"/>
        <w:bottom w:val="none" w:sz="0" w:space="0" w:color="auto"/>
        <w:right w:val="none" w:sz="0" w:space="0" w:color="auto"/>
      </w:divBdr>
    </w:div>
    <w:div w:id="91630276">
      <w:bodyDiv w:val="1"/>
      <w:marLeft w:val="0"/>
      <w:marRight w:val="0"/>
      <w:marTop w:val="0"/>
      <w:marBottom w:val="0"/>
      <w:divBdr>
        <w:top w:val="none" w:sz="0" w:space="0" w:color="auto"/>
        <w:left w:val="none" w:sz="0" w:space="0" w:color="auto"/>
        <w:bottom w:val="none" w:sz="0" w:space="0" w:color="auto"/>
        <w:right w:val="none" w:sz="0" w:space="0" w:color="auto"/>
      </w:divBdr>
    </w:div>
    <w:div w:id="94130149">
      <w:bodyDiv w:val="1"/>
      <w:marLeft w:val="0"/>
      <w:marRight w:val="0"/>
      <w:marTop w:val="0"/>
      <w:marBottom w:val="0"/>
      <w:divBdr>
        <w:top w:val="none" w:sz="0" w:space="0" w:color="auto"/>
        <w:left w:val="none" w:sz="0" w:space="0" w:color="auto"/>
        <w:bottom w:val="none" w:sz="0" w:space="0" w:color="auto"/>
        <w:right w:val="none" w:sz="0" w:space="0" w:color="auto"/>
      </w:divBdr>
    </w:div>
    <w:div w:id="119106790">
      <w:bodyDiv w:val="1"/>
      <w:marLeft w:val="0"/>
      <w:marRight w:val="0"/>
      <w:marTop w:val="0"/>
      <w:marBottom w:val="0"/>
      <w:divBdr>
        <w:top w:val="none" w:sz="0" w:space="0" w:color="auto"/>
        <w:left w:val="none" w:sz="0" w:space="0" w:color="auto"/>
        <w:bottom w:val="none" w:sz="0" w:space="0" w:color="auto"/>
        <w:right w:val="none" w:sz="0" w:space="0" w:color="auto"/>
      </w:divBdr>
    </w:div>
    <w:div w:id="142891815">
      <w:bodyDiv w:val="1"/>
      <w:marLeft w:val="0"/>
      <w:marRight w:val="0"/>
      <w:marTop w:val="0"/>
      <w:marBottom w:val="0"/>
      <w:divBdr>
        <w:top w:val="none" w:sz="0" w:space="0" w:color="auto"/>
        <w:left w:val="none" w:sz="0" w:space="0" w:color="auto"/>
        <w:bottom w:val="none" w:sz="0" w:space="0" w:color="auto"/>
        <w:right w:val="none" w:sz="0" w:space="0" w:color="auto"/>
      </w:divBdr>
    </w:div>
    <w:div w:id="197283311">
      <w:bodyDiv w:val="1"/>
      <w:marLeft w:val="0"/>
      <w:marRight w:val="0"/>
      <w:marTop w:val="0"/>
      <w:marBottom w:val="0"/>
      <w:divBdr>
        <w:top w:val="none" w:sz="0" w:space="0" w:color="auto"/>
        <w:left w:val="none" w:sz="0" w:space="0" w:color="auto"/>
        <w:bottom w:val="none" w:sz="0" w:space="0" w:color="auto"/>
        <w:right w:val="none" w:sz="0" w:space="0" w:color="auto"/>
      </w:divBdr>
    </w:div>
    <w:div w:id="219365689">
      <w:bodyDiv w:val="1"/>
      <w:marLeft w:val="0"/>
      <w:marRight w:val="0"/>
      <w:marTop w:val="0"/>
      <w:marBottom w:val="0"/>
      <w:divBdr>
        <w:top w:val="none" w:sz="0" w:space="0" w:color="auto"/>
        <w:left w:val="none" w:sz="0" w:space="0" w:color="auto"/>
        <w:bottom w:val="none" w:sz="0" w:space="0" w:color="auto"/>
        <w:right w:val="none" w:sz="0" w:space="0" w:color="auto"/>
      </w:divBdr>
    </w:div>
    <w:div w:id="244807392">
      <w:bodyDiv w:val="1"/>
      <w:marLeft w:val="0"/>
      <w:marRight w:val="0"/>
      <w:marTop w:val="0"/>
      <w:marBottom w:val="0"/>
      <w:divBdr>
        <w:top w:val="none" w:sz="0" w:space="0" w:color="auto"/>
        <w:left w:val="none" w:sz="0" w:space="0" w:color="auto"/>
        <w:bottom w:val="none" w:sz="0" w:space="0" w:color="auto"/>
        <w:right w:val="none" w:sz="0" w:space="0" w:color="auto"/>
      </w:divBdr>
    </w:div>
    <w:div w:id="285703583">
      <w:bodyDiv w:val="1"/>
      <w:marLeft w:val="0"/>
      <w:marRight w:val="0"/>
      <w:marTop w:val="0"/>
      <w:marBottom w:val="0"/>
      <w:divBdr>
        <w:top w:val="none" w:sz="0" w:space="0" w:color="auto"/>
        <w:left w:val="none" w:sz="0" w:space="0" w:color="auto"/>
        <w:bottom w:val="none" w:sz="0" w:space="0" w:color="auto"/>
        <w:right w:val="none" w:sz="0" w:space="0" w:color="auto"/>
      </w:divBdr>
    </w:div>
    <w:div w:id="328680840">
      <w:bodyDiv w:val="1"/>
      <w:marLeft w:val="0"/>
      <w:marRight w:val="0"/>
      <w:marTop w:val="0"/>
      <w:marBottom w:val="0"/>
      <w:divBdr>
        <w:top w:val="none" w:sz="0" w:space="0" w:color="auto"/>
        <w:left w:val="none" w:sz="0" w:space="0" w:color="auto"/>
        <w:bottom w:val="none" w:sz="0" w:space="0" w:color="auto"/>
        <w:right w:val="none" w:sz="0" w:space="0" w:color="auto"/>
      </w:divBdr>
    </w:div>
    <w:div w:id="334236578">
      <w:bodyDiv w:val="1"/>
      <w:marLeft w:val="0"/>
      <w:marRight w:val="0"/>
      <w:marTop w:val="0"/>
      <w:marBottom w:val="0"/>
      <w:divBdr>
        <w:top w:val="none" w:sz="0" w:space="0" w:color="auto"/>
        <w:left w:val="none" w:sz="0" w:space="0" w:color="auto"/>
        <w:bottom w:val="none" w:sz="0" w:space="0" w:color="auto"/>
        <w:right w:val="none" w:sz="0" w:space="0" w:color="auto"/>
      </w:divBdr>
    </w:div>
    <w:div w:id="342631588">
      <w:bodyDiv w:val="1"/>
      <w:marLeft w:val="0"/>
      <w:marRight w:val="0"/>
      <w:marTop w:val="0"/>
      <w:marBottom w:val="0"/>
      <w:divBdr>
        <w:top w:val="none" w:sz="0" w:space="0" w:color="auto"/>
        <w:left w:val="none" w:sz="0" w:space="0" w:color="auto"/>
        <w:bottom w:val="none" w:sz="0" w:space="0" w:color="auto"/>
        <w:right w:val="none" w:sz="0" w:space="0" w:color="auto"/>
      </w:divBdr>
    </w:div>
    <w:div w:id="358505272">
      <w:bodyDiv w:val="1"/>
      <w:marLeft w:val="0"/>
      <w:marRight w:val="0"/>
      <w:marTop w:val="0"/>
      <w:marBottom w:val="0"/>
      <w:divBdr>
        <w:top w:val="none" w:sz="0" w:space="0" w:color="auto"/>
        <w:left w:val="none" w:sz="0" w:space="0" w:color="auto"/>
        <w:bottom w:val="none" w:sz="0" w:space="0" w:color="auto"/>
        <w:right w:val="none" w:sz="0" w:space="0" w:color="auto"/>
      </w:divBdr>
    </w:div>
    <w:div w:id="389694559">
      <w:bodyDiv w:val="1"/>
      <w:marLeft w:val="0"/>
      <w:marRight w:val="0"/>
      <w:marTop w:val="0"/>
      <w:marBottom w:val="0"/>
      <w:divBdr>
        <w:top w:val="none" w:sz="0" w:space="0" w:color="auto"/>
        <w:left w:val="none" w:sz="0" w:space="0" w:color="auto"/>
        <w:bottom w:val="none" w:sz="0" w:space="0" w:color="auto"/>
        <w:right w:val="none" w:sz="0" w:space="0" w:color="auto"/>
      </w:divBdr>
    </w:div>
    <w:div w:id="393167411">
      <w:bodyDiv w:val="1"/>
      <w:marLeft w:val="0"/>
      <w:marRight w:val="0"/>
      <w:marTop w:val="0"/>
      <w:marBottom w:val="0"/>
      <w:divBdr>
        <w:top w:val="none" w:sz="0" w:space="0" w:color="auto"/>
        <w:left w:val="none" w:sz="0" w:space="0" w:color="auto"/>
        <w:bottom w:val="none" w:sz="0" w:space="0" w:color="auto"/>
        <w:right w:val="none" w:sz="0" w:space="0" w:color="auto"/>
      </w:divBdr>
    </w:div>
    <w:div w:id="401219355">
      <w:bodyDiv w:val="1"/>
      <w:marLeft w:val="0"/>
      <w:marRight w:val="0"/>
      <w:marTop w:val="0"/>
      <w:marBottom w:val="0"/>
      <w:divBdr>
        <w:top w:val="none" w:sz="0" w:space="0" w:color="auto"/>
        <w:left w:val="none" w:sz="0" w:space="0" w:color="auto"/>
        <w:bottom w:val="none" w:sz="0" w:space="0" w:color="auto"/>
        <w:right w:val="none" w:sz="0" w:space="0" w:color="auto"/>
      </w:divBdr>
    </w:div>
    <w:div w:id="423503112">
      <w:bodyDiv w:val="1"/>
      <w:marLeft w:val="0"/>
      <w:marRight w:val="0"/>
      <w:marTop w:val="0"/>
      <w:marBottom w:val="0"/>
      <w:divBdr>
        <w:top w:val="none" w:sz="0" w:space="0" w:color="auto"/>
        <w:left w:val="none" w:sz="0" w:space="0" w:color="auto"/>
        <w:bottom w:val="none" w:sz="0" w:space="0" w:color="auto"/>
        <w:right w:val="none" w:sz="0" w:space="0" w:color="auto"/>
      </w:divBdr>
    </w:div>
    <w:div w:id="441337859">
      <w:bodyDiv w:val="1"/>
      <w:marLeft w:val="0"/>
      <w:marRight w:val="0"/>
      <w:marTop w:val="0"/>
      <w:marBottom w:val="0"/>
      <w:divBdr>
        <w:top w:val="none" w:sz="0" w:space="0" w:color="auto"/>
        <w:left w:val="none" w:sz="0" w:space="0" w:color="auto"/>
        <w:bottom w:val="none" w:sz="0" w:space="0" w:color="auto"/>
        <w:right w:val="none" w:sz="0" w:space="0" w:color="auto"/>
      </w:divBdr>
    </w:div>
    <w:div w:id="460226459">
      <w:bodyDiv w:val="1"/>
      <w:marLeft w:val="0"/>
      <w:marRight w:val="0"/>
      <w:marTop w:val="0"/>
      <w:marBottom w:val="0"/>
      <w:divBdr>
        <w:top w:val="none" w:sz="0" w:space="0" w:color="auto"/>
        <w:left w:val="none" w:sz="0" w:space="0" w:color="auto"/>
        <w:bottom w:val="none" w:sz="0" w:space="0" w:color="auto"/>
        <w:right w:val="none" w:sz="0" w:space="0" w:color="auto"/>
      </w:divBdr>
    </w:div>
    <w:div w:id="492336326">
      <w:bodyDiv w:val="1"/>
      <w:marLeft w:val="0"/>
      <w:marRight w:val="0"/>
      <w:marTop w:val="0"/>
      <w:marBottom w:val="0"/>
      <w:divBdr>
        <w:top w:val="none" w:sz="0" w:space="0" w:color="auto"/>
        <w:left w:val="none" w:sz="0" w:space="0" w:color="auto"/>
        <w:bottom w:val="none" w:sz="0" w:space="0" w:color="auto"/>
        <w:right w:val="none" w:sz="0" w:space="0" w:color="auto"/>
      </w:divBdr>
    </w:div>
    <w:div w:id="506752510">
      <w:bodyDiv w:val="1"/>
      <w:marLeft w:val="0"/>
      <w:marRight w:val="0"/>
      <w:marTop w:val="0"/>
      <w:marBottom w:val="0"/>
      <w:divBdr>
        <w:top w:val="none" w:sz="0" w:space="0" w:color="auto"/>
        <w:left w:val="none" w:sz="0" w:space="0" w:color="auto"/>
        <w:bottom w:val="none" w:sz="0" w:space="0" w:color="auto"/>
        <w:right w:val="none" w:sz="0" w:space="0" w:color="auto"/>
      </w:divBdr>
    </w:div>
    <w:div w:id="525944728">
      <w:bodyDiv w:val="1"/>
      <w:marLeft w:val="0"/>
      <w:marRight w:val="0"/>
      <w:marTop w:val="0"/>
      <w:marBottom w:val="0"/>
      <w:divBdr>
        <w:top w:val="none" w:sz="0" w:space="0" w:color="auto"/>
        <w:left w:val="none" w:sz="0" w:space="0" w:color="auto"/>
        <w:bottom w:val="none" w:sz="0" w:space="0" w:color="auto"/>
        <w:right w:val="none" w:sz="0" w:space="0" w:color="auto"/>
      </w:divBdr>
    </w:div>
    <w:div w:id="530461142">
      <w:bodyDiv w:val="1"/>
      <w:marLeft w:val="0"/>
      <w:marRight w:val="0"/>
      <w:marTop w:val="0"/>
      <w:marBottom w:val="0"/>
      <w:divBdr>
        <w:top w:val="none" w:sz="0" w:space="0" w:color="auto"/>
        <w:left w:val="none" w:sz="0" w:space="0" w:color="auto"/>
        <w:bottom w:val="none" w:sz="0" w:space="0" w:color="auto"/>
        <w:right w:val="none" w:sz="0" w:space="0" w:color="auto"/>
      </w:divBdr>
    </w:div>
    <w:div w:id="606080553">
      <w:bodyDiv w:val="1"/>
      <w:marLeft w:val="0"/>
      <w:marRight w:val="0"/>
      <w:marTop w:val="0"/>
      <w:marBottom w:val="0"/>
      <w:divBdr>
        <w:top w:val="none" w:sz="0" w:space="0" w:color="auto"/>
        <w:left w:val="none" w:sz="0" w:space="0" w:color="auto"/>
        <w:bottom w:val="none" w:sz="0" w:space="0" w:color="auto"/>
        <w:right w:val="none" w:sz="0" w:space="0" w:color="auto"/>
      </w:divBdr>
    </w:div>
    <w:div w:id="629625555">
      <w:bodyDiv w:val="1"/>
      <w:marLeft w:val="0"/>
      <w:marRight w:val="0"/>
      <w:marTop w:val="0"/>
      <w:marBottom w:val="0"/>
      <w:divBdr>
        <w:top w:val="none" w:sz="0" w:space="0" w:color="auto"/>
        <w:left w:val="none" w:sz="0" w:space="0" w:color="auto"/>
        <w:bottom w:val="none" w:sz="0" w:space="0" w:color="auto"/>
        <w:right w:val="none" w:sz="0" w:space="0" w:color="auto"/>
      </w:divBdr>
    </w:div>
    <w:div w:id="631713888">
      <w:bodyDiv w:val="1"/>
      <w:marLeft w:val="0"/>
      <w:marRight w:val="0"/>
      <w:marTop w:val="0"/>
      <w:marBottom w:val="0"/>
      <w:divBdr>
        <w:top w:val="none" w:sz="0" w:space="0" w:color="auto"/>
        <w:left w:val="none" w:sz="0" w:space="0" w:color="auto"/>
        <w:bottom w:val="none" w:sz="0" w:space="0" w:color="auto"/>
        <w:right w:val="none" w:sz="0" w:space="0" w:color="auto"/>
      </w:divBdr>
    </w:div>
    <w:div w:id="650527014">
      <w:bodyDiv w:val="1"/>
      <w:marLeft w:val="0"/>
      <w:marRight w:val="0"/>
      <w:marTop w:val="0"/>
      <w:marBottom w:val="0"/>
      <w:divBdr>
        <w:top w:val="none" w:sz="0" w:space="0" w:color="auto"/>
        <w:left w:val="none" w:sz="0" w:space="0" w:color="auto"/>
        <w:bottom w:val="none" w:sz="0" w:space="0" w:color="auto"/>
        <w:right w:val="none" w:sz="0" w:space="0" w:color="auto"/>
      </w:divBdr>
    </w:div>
    <w:div w:id="650596982">
      <w:bodyDiv w:val="1"/>
      <w:marLeft w:val="0"/>
      <w:marRight w:val="0"/>
      <w:marTop w:val="0"/>
      <w:marBottom w:val="0"/>
      <w:divBdr>
        <w:top w:val="none" w:sz="0" w:space="0" w:color="auto"/>
        <w:left w:val="none" w:sz="0" w:space="0" w:color="auto"/>
        <w:bottom w:val="none" w:sz="0" w:space="0" w:color="auto"/>
        <w:right w:val="none" w:sz="0" w:space="0" w:color="auto"/>
      </w:divBdr>
    </w:div>
    <w:div w:id="665670399">
      <w:bodyDiv w:val="1"/>
      <w:marLeft w:val="0"/>
      <w:marRight w:val="0"/>
      <w:marTop w:val="0"/>
      <w:marBottom w:val="0"/>
      <w:divBdr>
        <w:top w:val="none" w:sz="0" w:space="0" w:color="auto"/>
        <w:left w:val="none" w:sz="0" w:space="0" w:color="auto"/>
        <w:bottom w:val="none" w:sz="0" w:space="0" w:color="auto"/>
        <w:right w:val="none" w:sz="0" w:space="0" w:color="auto"/>
      </w:divBdr>
    </w:div>
    <w:div w:id="678853404">
      <w:bodyDiv w:val="1"/>
      <w:marLeft w:val="0"/>
      <w:marRight w:val="0"/>
      <w:marTop w:val="0"/>
      <w:marBottom w:val="0"/>
      <w:divBdr>
        <w:top w:val="none" w:sz="0" w:space="0" w:color="auto"/>
        <w:left w:val="none" w:sz="0" w:space="0" w:color="auto"/>
        <w:bottom w:val="none" w:sz="0" w:space="0" w:color="auto"/>
        <w:right w:val="none" w:sz="0" w:space="0" w:color="auto"/>
      </w:divBdr>
    </w:div>
    <w:div w:id="709376419">
      <w:bodyDiv w:val="1"/>
      <w:marLeft w:val="0"/>
      <w:marRight w:val="0"/>
      <w:marTop w:val="0"/>
      <w:marBottom w:val="0"/>
      <w:divBdr>
        <w:top w:val="none" w:sz="0" w:space="0" w:color="auto"/>
        <w:left w:val="none" w:sz="0" w:space="0" w:color="auto"/>
        <w:bottom w:val="none" w:sz="0" w:space="0" w:color="auto"/>
        <w:right w:val="none" w:sz="0" w:space="0" w:color="auto"/>
      </w:divBdr>
    </w:div>
    <w:div w:id="720323232">
      <w:bodyDiv w:val="1"/>
      <w:marLeft w:val="0"/>
      <w:marRight w:val="0"/>
      <w:marTop w:val="0"/>
      <w:marBottom w:val="0"/>
      <w:divBdr>
        <w:top w:val="none" w:sz="0" w:space="0" w:color="auto"/>
        <w:left w:val="none" w:sz="0" w:space="0" w:color="auto"/>
        <w:bottom w:val="none" w:sz="0" w:space="0" w:color="auto"/>
        <w:right w:val="none" w:sz="0" w:space="0" w:color="auto"/>
      </w:divBdr>
    </w:div>
    <w:div w:id="739326444">
      <w:bodyDiv w:val="1"/>
      <w:marLeft w:val="0"/>
      <w:marRight w:val="0"/>
      <w:marTop w:val="0"/>
      <w:marBottom w:val="0"/>
      <w:divBdr>
        <w:top w:val="none" w:sz="0" w:space="0" w:color="auto"/>
        <w:left w:val="none" w:sz="0" w:space="0" w:color="auto"/>
        <w:bottom w:val="none" w:sz="0" w:space="0" w:color="auto"/>
        <w:right w:val="none" w:sz="0" w:space="0" w:color="auto"/>
      </w:divBdr>
    </w:div>
    <w:div w:id="768353078">
      <w:bodyDiv w:val="1"/>
      <w:marLeft w:val="0"/>
      <w:marRight w:val="0"/>
      <w:marTop w:val="0"/>
      <w:marBottom w:val="0"/>
      <w:divBdr>
        <w:top w:val="none" w:sz="0" w:space="0" w:color="auto"/>
        <w:left w:val="none" w:sz="0" w:space="0" w:color="auto"/>
        <w:bottom w:val="none" w:sz="0" w:space="0" w:color="auto"/>
        <w:right w:val="none" w:sz="0" w:space="0" w:color="auto"/>
      </w:divBdr>
    </w:div>
    <w:div w:id="771362090">
      <w:bodyDiv w:val="1"/>
      <w:marLeft w:val="0"/>
      <w:marRight w:val="0"/>
      <w:marTop w:val="0"/>
      <w:marBottom w:val="0"/>
      <w:divBdr>
        <w:top w:val="none" w:sz="0" w:space="0" w:color="auto"/>
        <w:left w:val="none" w:sz="0" w:space="0" w:color="auto"/>
        <w:bottom w:val="none" w:sz="0" w:space="0" w:color="auto"/>
        <w:right w:val="none" w:sz="0" w:space="0" w:color="auto"/>
      </w:divBdr>
    </w:div>
    <w:div w:id="779837623">
      <w:bodyDiv w:val="1"/>
      <w:marLeft w:val="0"/>
      <w:marRight w:val="0"/>
      <w:marTop w:val="0"/>
      <w:marBottom w:val="0"/>
      <w:divBdr>
        <w:top w:val="none" w:sz="0" w:space="0" w:color="auto"/>
        <w:left w:val="none" w:sz="0" w:space="0" w:color="auto"/>
        <w:bottom w:val="none" w:sz="0" w:space="0" w:color="auto"/>
        <w:right w:val="none" w:sz="0" w:space="0" w:color="auto"/>
      </w:divBdr>
    </w:div>
    <w:div w:id="846868517">
      <w:bodyDiv w:val="1"/>
      <w:marLeft w:val="0"/>
      <w:marRight w:val="0"/>
      <w:marTop w:val="0"/>
      <w:marBottom w:val="0"/>
      <w:divBdr>
        <w:top w:val="none" w:sz="0" w:space="0" w:color="auto"/>
        <w:left w:val="none" w:sz="0" w:space="0" w:color="auto"/>
        <w:bottom w:val="none" w:sz="0" w:space="0" w:color="auto"/>
        <w:right w:val="none" w:sz="0" w:space="0" w:color="auto"/>
      </w:divBdr>
    </w:div>
    <w:div w:id="852913424">
      <w:bodyDiv w:val="1"/>
      <w:marLeft w:val="0"/>
      <w:marRight w:val="0"/>
      <w:marTop w:val="0"/>
      <w:marBottom w:val="0"/>
      <w:divBdr>
        <w:top w:val="none" w:sz="0" w:space="0" w:color="auto"/>
        <w:left w:val="none" w:sz="0" w:space="0" w:color="auto"/>
        <w:bottom w:val="none" w:sz="0" w:space="0" w:color="auto"/>
        <w:right w:val="none" w:sz="0" w:space="0" w:color="auto"/>
      </w:divBdr>
    </w:div>
    <w:div w:id="860165727">
      <w:bodyDiv w:val="1"/>
      <w:marLeft w:val="0"/>
      <w:marRight w:val="0"/>
      <w:marTop w:val="0"/>
      <w:marBottom w:val="0"/>
      <w:divBdr>
        <w:top w:val="none" w:sz="0" w:space="0" w:color="auto"/>
        <w:left w:val="none" w:sz="0" w:space="0" w:color="auto"/>
        <w:bottom w:val="none" w:sz="0" w:space="0" w:color="auto"/>
        <w:right w:val="none" w:sz="0" w:space="0" w:color="auto"/>
      </w:divBdr>
    </w:div>
    <w:div w:id="861167996">
      <w:bodyDiv w:val="1"/>
      <w:marLeft w:val="0"/>
      <w:marRight w:val="0"/>
      <w:marTop w:val="0"/>
      <w:marBottom w:val="0"/>
      <w:divBdr>
        <w:top w:val="none" w:sz="0" w:space="0" w:color="auto"/>
        <w:left w:val="none" w:sz="0" w:space="0" w:color="auto"/>
        <w:bottom w:val="none" w:sz="0" w:space="0" w:color="auto"/>
        <w:right w:val="none" w:sz="0" w:space="0" w:color="auto"/>
      </w:divBdr>
    </w:div>
    <w:div w:id="868763976">
      <w:bodyDiv w:val="1"/>
      <w:marLeft w:val="0"/>
      <w:marRight w:val="0"/>
      <w:marTop w:val="0"/>
      <w:marBottom w:val="0"/>
      <w:divBdr>
        <w:top w:val="none" w:sz="0" w:space="0" w:color="auto"/>
        <w:left w:val="none" w:sz="0" w:space="0" w:color="auto"/>
        <w:bottom w:val="none" w:sz="0" w:space="0" w:color="auto"/>
        <w:right w:val="none" w:sz="0" w:space="0" w:color="auto"/>
      </w:divBdr>
    </w:div>
    <w:div w:id="884489205">
      <w:bodyDiv w:val="1"/>
      <w:marLeft w:val="0"/>
      <w:marRight w:val="0"/>
      <w:marTop w:val="0"/>
      <w:marBottom w:val="0"/>
      <w:divBdr>
        <w:top w:val="none" w:sz="0" w:space="0" w:color="auto"/>
        <w:left w:val="none" w:sz="0" w:space="0" w:color="auto"/>
        <w:bottom w:val="none" w:sz="0" w:space="0" w:color="auto"/>
        <w:right w:val="none" w:sz="0" w:space="0" w:color="auto"/>
      </w:divBdr>
    </w:div>
    <w:div w:id="901986443">
      <w:bodyDiv w:val="1"/>
      <w:marLeft w:val="0"/>
      <w:marRight w:val="0"/>
      <w:marTop w:val="0"/>
      <w:marBottom w:val="0"/>
      <w:divBdr>
        <w:top w:val="none" w:sz="0" w:space="0" w:color="auto"/>
        <w:left w:val="none" w:sz="0" w:space="0" w:color="auto"/>
        <w:bottom w:val="none" w:sz="0" w:space="0" w:color="auto"/>
        <w:right w:val="none" w:sz="0" w:space="0" w:color="auto"/>
      </w:divBdr>
    </w:div>
    <w:div w:id="909003207">
      <w:bodyDiv w:val="1"/>
      <w:marLeft w:val="0"/>
      <w:marRight w:val="0"/>
      <w:marTop w:val="0"/>
      <w:marBottom w:val="0"/>
      <w:divBdr>
        <w:top w:val="none" w:sz="0" w:space="0" w:color="auto"/>
        <w:left w:val="none" w:sz="0" w:space="0" w:color="auto"/>
        <w:bottom w:val="none" w:sz="0" w:space="0" w:color="auto"/>
        <w:right w:val="none" w:sz="0" w:space="0" w:color="auto"/>
      </w:divBdr>
    </w:div>
    <w:div w:id="916398868">
      <w:bodyDiv w:val="1"/>
      <w:marLeft w:val="0"/>
      <w:marRight w:val="0"/>
      <w:marTop w:val="0"/>
      <w:marBottom w:val="0"/>
      <w:divBdr>
        <w:top w:val="none" w:sz="0" w:space="0" w:color="auto"/>
        <w:left w:val="none" w:sz="0" w:space="0" w:color="auto"/>
        <w:bottom w:val="none" w:sz="0" w:space="0" w:color="auto"/>
        <w:right w:val="none" w:sz="0" w:space="0" w:color="auto"/>
      </w:divBdr>
    </w:div>
    <w:div w:id="923300315">
      <w:bodyDiv w:val="1"/>
      <w:marLeft w:val="0"/>
      <w:marRight w:val="0"/>
      <w:marTop w:val="0"/>
      <w:marBottom w:val="0"/>
      <w:divBdr>
        <w:top w:val="none" w:sz="0" w:space="0" w:color="auto"/>
        <w:left w:val="none" w:sz="0" w:space="0" w:color="auto"/>
        <w:bottom w:val="none" w:sz="0" w:space="0" w:color="auto"/>
        <w:right w:val="none" w:sz="0" w:space="0" w:color="auto"/>
      </w:divBdr>
    </w:div>
    <w:div w:id="943149028">
      <w:bodyDiv w:val="1"/>
      <w:marLeft w:val="0"/>
      <w:marRight w:val="0"/>
      <w:marTop w:val="0"/>
      <w:marBottom w:val="0"/>
      <w:divBdr>
        <w:top w:val="none" w:sz="0" w:space="0" w:color="auto"/>
        <w:left w:val="none" w:sz="0" w:space="0" w:color="auto"/>
        <w:bottom w:val="none" w:sz="0" w:space="0" w:color="auto"/>
        <w:right w:val="none" w:sz="0" w:space="0" w:color="auto"/>
      </w:divBdr>
    </w:div>
    <w:div w:id="1007177719">
      <w:bodyDiv w:val="1"/>
      <w:marLeft w:val="0"/>
      <w:marRight w:val="0"/>
      <w:marTop w:val="0"/>
      <w:marBottom w:val="0"/>
      <w:divBdr>
        <w:top w:val="none" w:sz="0" w:space="0" w:color="auto"/>
        <w:left w:val="none" w:sz="0" w:space="0" w:color="auto"/>
        <w:bottom w:val="none" w:sz="0" w:space="0" w:color="auto"/>
        <w:right w:val="none" w:sz="0" w:space="0" w:color="auto"/>
      </w:divBdr>
    </w:div>
    <w:div w:id="1012298542">
      <w:bodyDiv w:val="1"/>
      <w:marLeft w:val="0"/>
      <w:marRight w:val="0"/>
      <w:marTop w:val="0"/>
      <w:marBottom w:val="0"/>
      <w:divBdr>
        <w:top w:val="none" w:sz="0" w:space="0" w:color="auto"/>
        <w:left w:val="none" w:sz="0" w:space="0" w:color="auto"/>
        <w:bottom w:val="none" w:sz="0" w:space="0" w:color="auto"/>
        <w:right w:val="none" w:sz="0" w:space="0" w:color="auto"/>
      </w:divBdr>
    </w:div>
    <w:div w:id="1023556868">
      <w:bodyDiv w:val="1"/>
      <w:marLeft w:val="0"/>
      <w:marRight w:val="0"/>
      <w:marTop w:val="0"/>
      <w:marBottom w:val="0"/>
      <w:divBdr>
        <w:top w:val="none" w:sz="0" w:space="0" w:color="auto"/>
        <w:left w:val="none" w:sz="0" w:space="0" w:color="auto"/>
        <w:bottom w:val="none" w:sz="0" w:space="0" w:color="auto"/>
        <w:right w:val="none" w:sz="0" w:space="0" w:color="auto"/>
      </w:divBdr>
    </w:div>
    <w:div w:id="1040127796">
      <w:bodyDiv w:val="1"/>
      <w:marLeft w:val="0"/>
      <w:marRight w:val="0"/>
      <w:marTop w:val="0"/>
      <w:marBottom w:val="0"/>
      <w:divBdr>
        <w:top w:val="none" w:sz="0" w:space="0" w:color="auto"/>
        <w:left w:val="none" w:sz="0" w:space="0" w:color="auto"/>
        <w:bottom w:val="none" w:sz="0" w:space="0" w:color="auto"/>
        <w:right w:val="none" w:sz="0" w:space="0" w:color="auto"/>
      </w:divBdr>
    </w:div>
    <w:div w:id="1113019416">
      <w:bodyDiv w:val="1"/>
      <w:marLeft w:val="0"/>
      <w:marRight w:val="0"/>
      <w:marTop w:val="0"/>
      <w:marBottom w:val="0"/>
      <w:divBdr>
        <w:top w:val="none" w:sz="0" w:space="0" w:color="auto"/>
        <w:left w:val="none" w:sz="0" w:space="0" w:color="auto"/>
        <w:bottom w:val="none" w:sz="0" w:space="0" w:color="auto"/>
        <w:right w:val="none" w:sz="0" w:space="0" w:color="auto"/>
      </w:divBdr>
    </w:div>
    <w:div w:id="1129054879">
      <w:bodyDiv w:val="1"/>
      <w:marLeft w:val="0"/>
      <w:marRight w:val="0"/>
      <w:marTop w:val="0"/>
      <w:marBottom w:val="0"/>
      <w:divBdr>
        <w:top w:val="none" w:sz="0" w:space="0" w:color="auto"/>
        <w:left w:val="none" w:sz="0" w:space="0" w:color="auto"/>
        <w:bottom w:val="none" w:sz="0" w:space="0" w:color="auto"/>
        <w:right w:val="none" w:sz="0" w:space="0" w:color="auto"/>
      </w:divBdr>
    </w:div>
    <w:div w:id="1132600879">
      <w:bodyDiv w:val="1"/>
      <w:marLeft w:val="0"/>
      <w:marRight w:val="0"/>
      <w:marTop w:val="0"/>
      <w:marBottom w:val="0"/>
      <w:divBdr>
        <w:top w:val="none" w:sz="0" w:space="0" w:color="auto"/>
        <w:left w:val="none" w:sz="0" w:space="0" w:color="auto"/>
        <w:bottom w:val="none" w:sz="0" w:space="0" w:color="auto"/>
        <w:right w:val="none" w:sz="0" w:space="0" w:color="auto"/>
      </w:divBdr>
    </w:div>
    <w:div w:id="1146357772">
      <w:bodyDiv w:val="1"/>
      <w:marLeft w:val="0"/>
      <w:marRight w:val="0"/>
      <w:marTop w:val="0"/>
      <w:marBottom w:val="0"/>
      <w:divBdr>
        <w:top w:val="none" w:sz="0" w:space="0" w:color="auto"/>
        <w:left w:val="none" w:sz="0" w:space="0" w:color="auto"/>
        <w:bottom w:val="none" w:sz="0" w:space="0" w:color="auto"/>
        <w:right w:val="none" w:sz="0" w:space="0" w:color="auto"/>
      </w:divBdr>
    </w:div>
    <w:div w:id="1154908070">
      <w:bodyDiv w:val="1"/>
      <w:marLeft w:val="0"/>
      <w:marRight w:val="0"/>
      <w:marTop w:val="0"/>
      <w:marBottom w:val="0"/>
      <w:divBdr>
        <w:top w:val="none" w:sz="0" w:space="0" w:color="auto"/>
        <w:left w:val="none" w:sz="0" w:space="0" w:color="auto"/>
        <w:bottom w:val="none" w:sz="0" w:space="0" w:color="auto"/>
        <w:right w:val="none" w:sz="0" w:space="0" w:color="auto"/>
      </w:divBdr>
    </w:div>
    <w:div w:id="1179125055">
      <w:bodyDiv w:val="1"/>
      <w:marLeft w:val="0"/>
      <w:marRight w:val="0"/>
      <w:marTop w:val="0"/>
      <w:marBottom w:val="0"/>
      <w:divBdr>
        <w:top w:val="none" w:sz="0" w:space="0" w:color="auto"/>
        <w:left w:val="none" w:sz="0" w:space="0" w:color="auto"/>
        <w:bottom w:val="none" w:sz="0" w:space="0" w:color="auto"/>
        <w:right w:val="none" w:sz="0" w:space="0" w:color="auto"/>
      </w:divBdr>
    </w:div>
    <w:div w:id="1203635126">
      <w:bodyDiv w:val="1"/>
      <w:marLeft w:val="0"/>
      <w:marRight w:val="0"/>
      <w:marTop w:val="0"/>
      <w:marBottom w:val="0"/>
      <w:divBdr>
        <w:top w:val="none" w:sz="0" w:space="0" w:color="auto"/>
        <w:left w:val="none" w:sz="0" w:space="0" w:color="auto"/>
        <w:bottom w:val="none" w:sz="0" w:space="0" w:color="auto"/>
        <w:right w:val="none" w:sz="0" w:space="0" w:color="auto"/>
      </w:divBdr>
    </w:div>
    <w:div w:id="1267498419">
      <w:bodyDiv w:val="1"/>
      <w:marLeft w:val="0"/>
      <w:marRight w:val="0"/>
      <w:marTop w:val="0"/>
      <w:marBottom w:val="0"/>
      <w:divBdr>
        <w:top w:val="none" w:sz="0" w:space="0" w:color="auto"/>
        <w:left w:val="none" w:sz="0" w:space="0" w:color="auto"/>
        <w:bottom w:val="none" w:sz="0" w:space="0" w:color="auto"/>
        <w:right w:val="none" w:sz="0" w:space="0" w:color="auto"/>
      </w:divBdr>
    </w:div>
    <w:div w:id="1286230278">
      <w:bodyDiv w:val="1"/>
      <w:marLeft w:val="0"/>
      <w:marRight w:val="0"/>
      <w:marTop w:val="0"/>
      <w:marBottom w:val="0"/>
      <w:divBdr>
        <w:top w:val="none" w:sz="0" w:space="0" w:color="auto"/>
        <w:left w:val="none" w:sz="0" w:space="0" w:color="auto"/>
        <w:bottom w:val="none" w:sz="0" w:space="0" w:color="auto"/>
        <w:right w:val="none" w:sz="0" w:space="0" w:color="auto"/>
      </w:divBdr>
    </w:div>
    <w:div w:id="1289891762">
      <w:bodyDiv w:val="1"/>
      <w:marLeft w:val="0"/>
      <w:marRight w:val="0"/>
      <w:marTop w:val="0"/>
      <w:marBottom w:val="0"/>
      <w:divBdr>
        <w:top w:val="none" w:sz="0" w:space="0" w:color="auto"/>
        <w:left w:val="none" w:sz="0" w:space="0" w:color="auto"/>
        <w:bottom w:val="none" w:sz="0" w:space="0" w:color="auto"/>
        <w:right w:val="none" w:sz="0" w:space="0" w:color="auto"/>
      </w:divBdr>
    </w:div>
    <w:div w:id="1304038484">
      <w:bodyDiv w:val="1"/>
      <w:marLeft w:val="0"/>
      <w:marRight w:val="0"/>
      <w:marTop w:val="0"/>
      <w:marBottom w:val="0"/>
      <w:divBdr>
        <w:top w:val="none" w:sz="0" w:space="0" w:color="auto"/>
        <w:left w:val="none" w:sz="0" w:space="0" w:color="auto"/>
        <w:bottom w:val="none" w:sz="0" w:space="0" w:color="auto"/>
        <w:right w:val="none" w:sz="0" w:space="0" w:color="auto"/>
      </w:divBdr>
    </w:div>
    <w:div w:id="1326976343">
      <w:bodyDiv w:val="1"/>
      <w:marLeft w:val="0"/>
      <w:marRight w:val="0"/>
      <w:marTop w:val="0"/>
      <w:marBottom w:val="0"/>
      <w:divBdr>
        <w:top w:val="none" w:sz="0" w:space="0" w:color="auto"/>
        <w:left w:val="none" w:sz="0" w:space="0" w:color="auto"/>
        <w:bottom w:val="none" w:sz="0" w:space="0" w:color="auto"/>
        <w:right w:val="none" w:sz="0" w:space="0" w:color="auto"/>
      </w:divBdr>
    </w:div>
    <w:div w:id="1344240323">
      <w:bodyDiv w:val="1"/>
      <w:marLeft w:val="0"/>
      <w:marRight w:val="0"/>
      <w:marTop w:val="0"/>
      <w:marBottom w:val="0"/>
      <w:divBdr>
        <w:top w:val="none" w:sz="0" w:space="0" w:color="auto"/>
        <w:left w:val="none" w:sz="0" w:space="0" w:color="auto"/>
        <w:bottom w:val="none" w:sz="0" w:space="0" w:color="auto"/>
        <w:right w:val="none" w:sz="0" w:space="0" w:color="auto"/>
      </w:divBdr>
    </w:div>
    <w:div w:id="1357467020">
      <w:bodyDiv w:val="1"/>
      <w:marLeft w:val="0"/>
      <w:marRight w:val="0"/>
      <w:marTop w:val="0"/>
      <w:marBottom w:val="0"/>
      <w:divBdr>
        <w:top w:val="none" w:sz="0" w:space="0" w:color="auto"/>
        <w:left w:val="none" w:sz="0" w:space="0" w:color="auto"/>
        <w:bottom w:val="none" w:sz="0" w:space="0" w:color="auto"/>
        <w:right w:val="none" w:sz="0" w:space="0" w:color="auto"/>
      </w:divBdr>
    </w:div>
    <w:div w:id="1385326618">
      <w:bodyDiv w:val="1"/>
      <w:marLeft w:val="0"/>
      <w:marRight w:val="0"/>
      <w:marTop w:val="0"/>
      <w:marBottom w:val="0"/>
      <w:divBdr>
        <w:top w:val="none" w:sz="0" w:space="0" w:color="auto"/>
        <w:left w:val="none" w:sz="0" w:space="0" w:color="auto"/>
        <w:bottom w:val="none" w:sz="0" w:space="0" w:color="auto"/>
        <w:right w:val="none" w:sz="0" w:space="0" w:color="auto"/>
      </w:divBdr>
    </w:div>
    <w:div w:id="1386104310">
      <w:bodyDiv w:val="1"/>
      <w:marLeft w:val="0"/>
      <w:marRight w:val="0"/>
      <w:marTop w:val="0"/>
      <w:marBottom w:val="0"/>
      <w:divBdr>
        <w:top w:val="none" w:sz="0" w:space="0" w:color="auto"/>
        <w:left w:val="none" w:sz="0" w:space="0" w:color="auto"/>
        <w:bottom w:val="none" w:sz="0" w:space="0" w:color="auto"/>
        <w:right w:val="none" w:sz="0" w:space="0" w:color="auto"/>
      </w:divBdr>
    </w:div>
    <w:div w:id="1396512981">
      <w:bodyDiv w:val="1"/>
      <w:marLeft w:val="0"/>
      <w:marRight w:val="0"/>
      <w:marTop w:val="0"/>
      <w:marBottom w:val="0"/>
      <w:divBdr>
        <w:top w:val="none" w:sz="0" w:space="0" w:color="auto"/>
        <w:left w:val="none" w:sz="0" w:space="0" w:color="auto"/>
        <w:bottom w:val="none" w:sz="0" w:space="0" w:color="auto"/>
        <w:right w:val="none" w:sz="0" w:space="0" w:color="auto"/>
      </w:divBdr>
    </w:div>
    <w:div w:id="1448741828">
      <w:bodyDiv w:val="1"/>
      <w:marLeft w:val="0"/>
      <w:marRight w:val="0"/>
      <w:marTop w:val="0"/>
      <w:marBottom w:val="0"/>
      <w:divBdr>
        <w:top w:val="none" w:sz="0" w:space="0" w:color="auto"/>
        <w:left w:val="none" w:sz="0" w:space="0" w:color="auto"/>
        <w:bottom w:val="none" w:sz="0" w:space="0" w:color="auto"/>
        <w:right w:val="none" w:sz="0" w:space="0" w:color="auto"/>
      </w:divBdr>
    </w:div>
    <w:div w:id="1454861915">
      <w:bodyDiv w:val="1"/>
      <w:marLeft w:val="0"/>
      <w:marRight w:val="0"/>
      <w:marTop w:val="0"/>
      <w:marBottom w:val="0"/>
      <w:divBdr>
        <w:top w:val="none" w:sz="0" w:space="0" w:color="auto"/>
        <w:left w:val="none" w:sz="0" w:space="0" w:color="auto"/>
        <w:bottom w:val="none" w:sz="0" w:space="0" w:color="auto"/>
        <w:right w:val="none" w:sz="0" w:space="0" w:color="auto"/>
      </w:divBdr>
    </w:div>
    <w:div w:id="1459496069">
      <w:bodyDiv w:val="1"/>
      <w:marLeft w:val="0"/>
      <w:marRight w:val="0"/>
      <w:marTop w:val="0"/>
      <w:marBottom w:val="0"/>
      <w:divBdr>
        <w:top w:val="none" w:sz="0" w:space="0" w:color="auto"/>
        <w:left w:val="none" w:sz="0" w:space="0" w:color="auto"/>
        <w:bottom w:val="none" w:sz="0" w:space="0" w:color="auto"/>
        <w:right w:val="none" w:sz="0" w:space="0" w:color="auto"/>
      </w:divBdr>
    </w:div>
    <w:div w:id="1517617535">
      <w:bodyDiv w:val="1"/>
      <w:marLeft w:val="0"/>
      <w:marRight w:val="0"/>
      <w:marTop w:val="0"/>
      <w:marBottom w:val="0"/>
      <w:divBdr>
        <w:top w:val="none" w:sz="0" w:space="0" w:color="auto"/>
        <w:left w:val="none" w:sz="0" w:space="0" w:color="auto"/>
        <w:bottom w:val="none" w:sz="0" w:space="0" w:color="auto"/>
        <w:right w:val="none" w:sz="0" w:space="0" w:color="auto"/>
      </w:divBdr>
    </w:div>
    <w:div w:id="1526283319">
      <w:bodyDiv w:val="1"/>
      <w:marLeft w:val="0"/>
      <w:marRight w:val="0"/>
      <w:marTop w:val="0"/>
      <w:marBottom w:val="0"/>
      <w:divBdr>
        <w:top w:val="none" w:sz="0" w:space="0" w:color="auto"/>
        <w:left w:val="none" w:sz="0" w:space="0" w:color="auto"/>
        <w:bottom w:val="none" w:sz="0" w:space="0" w:color="auto"/>
        <w:right w:val="none" w:sz="0" w:space="0" w:color="auto"/>
      </w:divBdr>
    </w:div>
    <w:div w:id="1587616212">
      <w:bodyDiv w:val="1"/>
      <w:marLeft w:val="0"/>
      <w:marRight w:val="0"/>
      <w:marTop w:val="0"/>
      <w:marBottom w:val="0"/>
      <w:divBdr>
        <w:top w:val="none" w:sz="0" w:space="0" w:color="auto"/>
        <w:left w:val="none" w:sz="0" w:space="0" w:color="auto"/>
        <w:bottom w:val="none" w:sz="0" w:space="0" w:color="auto"/>
        <w:right w:val="none" w:sz="0" w:space="0" w:color="auto"/>
      </w:divBdr>
    </w:div>
    <w:div w:id="1631857350">
      <w:bodyDiv w:val="1"/>
      <w:marLeft w:val="0"/>
      <w:marRight w:val="0"/>
      <w:marTop w:val="0"/>
      <w:marBottom w:val="0"/>
      <w:divBdr>
        <w:top w:val="none" w:sz="0" w:space="0" w:color="auto"/>
        <w:left w:val="none" w:sz="0" w:space="0" w:color="auto"/>
        <w:bottom w:val="none" w:sz="0" w:space="0" w:color="auto"/>
        <w:right w:val="none" w:sz="0" w:space="0" w:color="auto"/>
      </w:divBdr>
    </w:div>
    <w:div w:id="1639996122">
      <w:bodyDiv w:val="1"/>
      <w:marLeft w:val="0"/>
      <w:marRight w:val="0"/>
      <w:marTop w:val="0"/>
      <w:marBottom w:val="0"/>
      <w:divBdr>
        <w:top w:val="none" w:sz="0" w:space="0" w:color="auto"/>
        <w:left w:val="none" w:sz="0" w:space="0" w:color="auto"/>
        <w:bottom w:val="none" w:sz="0" w:space="0" w:color="auto"/>
        <w:right w:val="none" w:sz="0" w:space="0" w:color="auto"/>
      </w:divBdr>
    </w:div>
    <w:div w:id="1644432154">
      <w:bodyDiv w:val="1"/>
      <w:marLeft w:val="0"/>
      <w:marRight w:val="0"/>
      <w:marTop w:val="0"/>
      <w:marBottom w:val="0"/>
      <w:divBdr>
        <w:top w:val="none" w:sz="0" w:space="0" w:color="auto"/>
        <w:left w:val="none" w:sz="0" w:space="0" w:color="auto"/>
        <w:bottom w:val="none" w:sz="0" w:space="0" w:color="auto"/>
        <w:right w:val="none" w:sz="0" w:space="0" w:color="auto"/>
      </w:divBdr>
    </w:div>
    <w:div w:id="1650161307">
      <w:bodyDiv w:val="1"/>
      <w:marLeft w:val="0"/>
      <w:marRight w:val="0"/>
      <w:marTop w:val="0"/>
      <w:marBottom w:val="0"/>
      <w:divBdr>
        <w:top w:val="none" w:sz="0" w:space="0" w:color="auto"/>
        <w:left w:val="none" w:sz="0" w:space="0" w:color="auto"/>
        <w:bottom w:val="none" w:sz="0" w:space="0" w:color="auto"/>
        <w:right w:val="none" w:sz="0" w:space="0" w:color="auto"/>
      </w:divBdr>
    </w:div>
    <w:div w:id="1663241182">
      <w:bodyDiv w:val="1"/>
      <w:marLeft w:val="0"/>
      <w:marRight w:val="0"/>
      <w:marTop w:val="0"/>
      <w:marBottom w:val="0"/>
      <w:divBdr>
        <w:top w:val="none" w:sz="0" w:space="0" w:color="auto"/>
        <w:left w:val="none" w:sz="0" w:space="0" w:color="auto"/>
        <w:bottom w:val="none" w:sz="0" w:space="0" w:color="auto"/>
        <w:right w:val="none" w:sz="0" w:space="0" w:color="auto"/>
      </w:divBdr>
    </w:div>
    <w:div w:id="1667980022">
      <w:bodyDiv w:val="1"/>
      <w:marLeft w:val="0"/>
      <w:marRight w:val="0"/>
      <w:marTop w:val="0"/>
      <w:marBottom w:val="0"/>
      <w:divBdr>
        <w:top w:val="none" w:sz="0" w:space="0" w:color="auto"/>
        <w:left w:val="none" w:sz="0" w:space="0" w:color="auto"/>
        <w:bottom w:val="none" w:sz="0" w:space="0" w:color="auto"/>
        <w:right w:val="none" w:sz="0" w:space="0" w:color="auto"/>
      </w:divBdr>
    </w:div>
    <w:div w:id="1686709048">
      <w:bodyDiv w:val="1"/>
      <w:marLeft w:val="0"/>
      <w:marRight w:val="0"/>
      <w:marTop w:val="0"/>
      <w:marBottom w:val="0"/>
      <w:divBdr>
        <w:top w:val="none" w:sz="0" w:space="0" w:color="auto"/>
        <w:left w:val="none" w:sz="0" w:space="0" w:color="auto"/>
        <w:bottom w:val="none" w:sz="0" w:space="0" w:color="auto"/>
        <w:right w:val="none" w:sz="0" w:space="0" w:color="auto"/>
      </w:divBdr>
    </w:div>
    <w:div w:id="1719360636">
      <w:bodyDiv w:val="1"/>
      <w:marLeft w:val="0"/>
      <w:marRight w:val="0"/>
      <w:marTop w:val="0"/>
      <w:marBottom w:val="0"/>
      <w:divBdr>
        <w:top w:val="none" w:sz="0" w:space="0" w:color="auto"/>
        <w:left w:val="none" w:sz="0" w:space="0" w:color="auto"/>
        <w:bottom w:val="none" w:sz="0" w:space="0" w:color="auto"/>
        <w:right w:val="none" w:sz="0" w:space="0" w:color="auto"/>
      </w:divBdr>
    </w:div>
    <w:div w:id="1829057231">
      <w:bodyDiv w:val="1"/>
      <w:marLeft w:val="0"/>
      <w:marRight w:val="0"/>
      <w:marTop w:val="0"/>
      <w:marBottom w:val="0"/>
      <w:divBdr>
        <w:top w:val="none" w:sz="0" w:space="0" w:color="auto"/>
        <w:left w:val="none" w:sz="0" w:space="0" w:color="auto"/>
        <w:bottom w:val="none" w:sz="0" w:space="0" w:color="auto"/>
        <w:right w:val="none" w:sz="0" w:space="0" w:color="auto"/>
      </w:divBdr>
    </w:div>
    <w:div w:id="1837646333">
      <w:bodyDiv w:val="1"/>
      <w:marLeft w:val="0"/>
      <w:marRight w:val="0"/>
      <w:marTop w:val="0"/>
      <w:marBottom w:val="0"/>
      <w:divBdr>
        <w:top w:val="none" w:sz="0" w:space="0" w:color="auto"/>
        <w:left w:val="none" w:sz="0" w:space="0" w:color="auto"/>
        <w:bottom w:val="none" w:sz="0" w:space="0" w:color="auto"/>
        <w:right w:val="none" w:sz="0" w:space="0" w:color="auto"/>
      </w:divBdr>
    </w:div>
    <w:div w:id="1842617212">
      <w:bodyDiv w:val="1"/>
      <w:marLeft w:val="0"/>
      <w:marRight w:val="0"/>
      <w:marTop w:val="0"/>
      <w:marBottom w:val="0"/>
      <w:divBdr>
        <w:top w:val="none" w:sz="0" w:space="0" w:color="auto"/>
        <w:left w:val="none" w:sz="0" w:space="0" w:color="auto"/>
        <w:bottom w:val="none" w:sz="0" w:space="0" w:color="auto"/>
        <w:right w:val="none" w:sz="0" w:space="0" w:color="auto"/>
      </w:divBdr>
    </w:div>
    <w:div w:id="1848858920">
      <w:bodyDiv w:val="1"/>
      <w:marLeft w:val="0"/>
      <w:marRight w:val="0"/>
      <w:marTop w:val="0"/>
      <w:marBottom w:val="0"/>
      <w:divBdr>
        <w:top w:val="none" w:sz="0" w:space="0" w:color="auto"/>
        <w:left w:val="none" w:sz="0" w:space="0" w:color="auto"/>
        <w:bottom w:val="none" w:sz="0" w:space="0" w:color="auto"/>
        <w:right w:val="none" w:sz="0" w:space="0" w:color="auto"/>
      </w:divBdr>
    </w:div>
    <w:div w:id="1903639948">
      <w:bodyDiv w:val="1"/>
      <w:marLeft w:val="0"/>
      <w:marRight w:val="0"/>
      <w:marTop w:val="0"/>
      <w:marBottom w:val="0"/>
      <w:divBdr>
        <w:top w:val="none" w:sz="0" w:space="0" w:color="auto"/>
        <w:left w:val="none" w:sz="0" w:space="0" w:color="auto"/>
        <w:bottom w:val="none" w:sz="0" w:space="0" w:color="auto"/>
        <w:right w:val="none" w:sz="0" w:space="0" w:color="auto"/>
      </w:divBdr>
    </w:div>
    <w:div w:id="1914271163">
      <w:bodyDiv w:val="1"/>
      <w:marLeft w:val="0"/>
      <w:marRight w:val="0"/>
      <w:marTop w:val="0"/>
      <w:marBottom w:val="0"/>
      <w:divBdr>
        <w:top w:val="none" w:sz="0" w:space="0" w:color="auto"/>
        <w:left w:val="none" w:sz="0" w:space="0" w:color="auto"/>
        <w:bottom w:val="none" w:sz="0" w:space="0" w:color="auto"/>
        <w:right w:val="none" w:sz="0" w:space="0" w:color="auto"/>
      </w:divBdr>
    </w:div>
    <w:div w:id="1919554895">
      <w:bodyDiv w:val="1"/>
      <w:marLeft w:val="0"/>
      <w:marRight w:val="0"/>
      <w:marTop w:val="0"/>
      <w:marBottom w:val="0"/>
      <w:divBdr>
        <w:top w:val="none" w:sz="0" w:space="0" w:color="auto"/>
        <w:left w:val="none" w:sz="0" w:space="0" w:color="auto"/>
        <w:bottom w:val="none" w:sz="0" w:space="0" w:color="auto"/>
        <w:right w:val="none" w:sz="0" w:space="0" w:color="auto"/>
      </w:divBdr>
    </w:div>
    <w:div w:id="1925872581">
      <w:bodyDiv w:val="1"/>
      <w:marLeft w:val="0"/>
      <w:marRight w:val="0"/>
      <w:marTop w:val="0"/>
      <w:marBottom w:val="0"/>
      <w:divBdr>
        <w:top w:val="none" w:sz="0" w:space="0" w:color="auto"/>
        <w:left w:val="none" w:sz="0" w:space="0" w:color="auto"/>
        <w:bottom w:val="none" w:sz="0" w:space="0" w:color="auto"/>
        <w:right w:val="none" w:sz="0" w:space="0" w:color="auto"/>
      </w:divBdr>
    </w:div>
    <w:div w:id="2043703253">
      <w:bodyDiv w:val="1"/>
      <w:marLeft w:val="0"/>
      <w:marRight w:val="0"/>
      <w:marTop w:val="0"/>
      <w:marBottom w:val="0"/>
      <w:divBdr>
        <w:top w:val="none" w:sz="0" w:space="0" w:color="auto"/>
        <w:left w:val="none" w:sz="0" w:space="0" w:color="auto"/>
        <w:bottom w:val="none" w:sz="0" w:space="0" w:color="auto"/>
        <w:right w:val="none" w:sz="0" w:space="0" w:color="auto"/>
      </w:divBdr>
    </w:div>
    <w:div w:id="2079981816">
      <w:bodyDiv w:val="1"/>
      <w:marLeft w:val="0"/>
      <w:marRight w:val="0"/>
      <w:marTop w:val="0"/>
      <w:marBottom w:val="0"/>
      <w:divBdr>
        <w:top w:val="none" w:sz="0" w:space="0" w:color="auto"/>
        <w:left w:val="none" w:sz="0" w:space="0" w:color="auto"/>
        <w:bottom w:val="none" w:sz="0" w:space="0" w:color="auto"/>
        <w:right w:val="none" w:sz="0" w:space="0" w:color="auto"/>
      </w:divBdr>
    </w:div>
    <w:div w:id="209003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C7AFB-1148-47FD-9DAF-D9E76D54B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688</Words>
  <Characters>3924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古賀　壮</cp:lastModifiedBy>
  <cp:revision>6</cp:revision>
  <cp:lastPrinted>2021-03-27T06:43:00Z</cp:lastPrinted>
  <dcterms:created xsi:type="dcterms:W3CDTF">2021-03-30T06:34:00Z</dcterms:created>
  <dcterms:modified xsi:type="dcterms:W3CDTF">2021-04-09T09:07:00Z</dcterms:modified>
</cp:coreProperties>
</file>