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</w:p>
    <w:p w:rsidR="005C73A0" w:rsidRPr="005C73A0" w:rsidRDefault="005C73A0" w:rsidP="005C73A0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調　停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ind w:firstLineChars="100" w:firstLine="244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調停の申請手数料は調停を求める事項の価額によって決まります。例えば、損害賠償を求める場合は、その額が求める事項の価額になります。</w:t>
      </w:r>
    </w:p>
    <w:p w:rsidR="005C73A0" w:rsidRPr="005C73A0" w:rsidRDefault="000B495B" w:rsidP="005C73A0">
      <w:pPr>
        <w:kinsoku w:val="0"/>
        <w:overflowPunct w:val="0"/>
        <w:autoSpaceDE w:val="0"/>
        <w:autoSpaceDN w:val="0"/>
        <w:snapToGrid w:val="0"/>
        <w:spacing w:line="368" w:lineRule="exact"/>
        <w:ind w:firstLineChars="100" w:firstLine="244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この手数料は、</w:t>
      </w:r>
      <w:r w:rsidRPr="0065775F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納付書</w:t>
      </w:r>
      <w:r w:rsidR="0065775F" w:rsidRPr="0065775F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による金融機関</w:t>
      </w:r>
      <w:r w:rsidR="00F94FD2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の窓口での納付</w:t>
      </w:r>
      <w:bookmarkStart w:id="0" w:name="_GoBack"/>
      <w:bookmarkEnd w:id="0"/>
      <w:r w:rsidR="0065775F" w:rsidRPr="0065775F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となります</w:t>
      </w:r>
      <w:r w:rsidR="005C73A0" w:rsidRPr="0065775F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。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jc w:val="lef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その申請手数料は下表のとおりです。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ind w:firstLineChars="100" w:firstLine="244"/>
        <w:jc w:val="lef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なお、価額の算定が不可能な場合、例えば騒音、振動の差止めなどの調停を求める場合には、価格を５００万円として算定します。したがってこの場合必要な手数料は３，８００円です</w:t>
      </w:r>
      <w:r w:rsidR="00B76B5D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。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jc w:val="center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jc w:val="center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公害調停申請手数料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jc w:val="center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216"/>
        <w:gridCol w:w="2217"/>
        <w:gridCol w:w="2217"/>
      </w:tblGrid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調停を求める</w:t>
            </w:r>
          </w:p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事項の価額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手数料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調停を求める</w:t>
            </w:r>
          </w:p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事項の価額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手数料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50万円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1,000円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900万円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6,600円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100万円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1,000円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1,000万円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7,300円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200万円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1,700円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2,000万円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13,300円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300万円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2,400円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3,000万円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19,300円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400万円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3,100円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4,000万円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25,300円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500万円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3,800円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5,000万円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31,300円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600万円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4,500円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6,000万円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37,300円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700万円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5,200円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7,000万円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43,300円</w:t>
            </w:r>
          </w:p>
        </w:tc>
      </w:tr>
      <w:tr w:rsidR="005C73A0" w:rsidRPr="005C73A0" w:rsidTr="00EA670E"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800万円</w:t>
            </w:r>
          </w:p>
        </w:tc>
        <w:tc>
          <w:tcPr>
            <w:tcW w:w="2216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5,900円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8,000万円</w:t>
            </w:r>
          </w:p>
        </w:tc>
        <w:tc>
          <w:tcPr>
            <w:tcW w:w="2217" w:type="dxa"/>
            <w:shd w:val="clear" w:color="auto" w:fill="auto"/>
          </w:tcPr>
          <w:p w:rsidR="005C73A0" w:rsidRPr="005C73A0" w:rsidRDefault="005C73A0" w:rsidP="005C73A0">
            <w:pPr>
              <w:kinsoku w:val="0"/>
              <w:overflowPunct w:val="0"/>
              <w:autoSpaceDE w:val="0"/>
              <w:autoSpaceDN w:val="0"/>
              <w:snapToGrid w:val="0"/>
              <w:spacing w:line="368" w:lineRule="exact"/>
              <w:jc w:val="right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4"/>
                <w:szCs w:val="24"/>
              </w:rPr>
            </w:pPr>
            <w:r w:rsidRPr="005C73A0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4"/>
                <w:szCs w:val="24"/>
              </w:rPr>
              <w:t>49,300円</w:t>
            </w:r>
          </w:p>
        </w:tc>
      </w:tr>
    </w:tbl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（算定方式）</w:t>
      </w:r>
    </w:p>
    <w:p w:rsidR="005C73A0" w:rsidRPr="005C73A0" w:rsidRDefault="00AD0DE1" w:rsidP="005C73A0">
      <w:pPr>
        <w:kinsoku w:val="0"/>
        <w:overflowPunct w:val="0"/>
        <w:autoSpaceDE w:val="0"/>
        <w:autoSpaceDN w:val="0"/>
        <w:snapToGrid w:val="0"/>
        <w:spacing w:line="368" w:lineRule="exact"/>
        <w:ind w:firstLineChars="100" w:firstLine="244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なお、上記の手数料は、調停を求める事項の価額に応じて次</w:t>
      </w:r>
      <w:r w:rsidR="005C73A0"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に定めるところにより算出して得た額となります。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Ⅰ）調停を求める事項の価額が１００万円まで………………………………１，０００円</w:t>
      </w:r>
    </w:p>
    <w:p w:rsidR="005C73A0" w:rsidRPr="005C73A0" w:rsidRDefault="00AD0DE1" w:rsidP="005C73A0">
      <w:p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Ⅱ）調停を求める事項の価額が１００万</w:t>
      </w:r>
      <w:r w:rsidR="005C73A0"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円</w:t>
      </w: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を</w:t>
      </w:r>
      <w:r w:rsidR="005C73A0"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超え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ind w:firstLineChars="150" w:firstLine="366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１，０００万円までの部分……………………………その価額１万円までごとに７円</w:t>
      </w:r>
    </w:p>
    <w:p w:rsidR="00AD0DE1" w:rsidRDefault="00AD0DE1" w:rsidP="005C73A0">
      <w:p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Ⅲ）調停を求める事項の価額が１，０００万円を超え</w:t>
      </w:r>
    </w:p>
    <w:p w:rsidR="005C73A0" w:rsidRPr="005C73A0" w:rsidRDefault="00AD0DE1" w:rsidP="00AD0DE1">
      <w:pPr>
        <w:kinsoku w:val="0"/>
        <w:overflowPunct w:val="0"/>
        <w:autoSpaceDE w:val="0"/>
        <w:autoSpaceDN w:val="0"/>
        <w:snapToGrid w:val="0"/>
        <w:spacing w:line="368" w:lineRule="exact"/>
        <w:ind w:firstLineChars="150" w:firstLine="366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１億円までの部分</w:t>
      </w:r>
      <w:r w:rsidR="005C73A0"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……</w:t>
      </w: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…………………</w:t>
      </w: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……………</w:t>
      </w:r>
      <w:r w:rsidR="005C73A0"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その価額１万円までごとに６円</w:t>
      </w:r>
    </w:p>
    <w:p w:rsidR="005C73A0" w:rsidRPr="005C73A0" w:rsidRDefault="00F01123" w:rsidP="00F01123">
      <w:pPr>
        <w:tabs>
          <w:tab w:val="left" w:pos="5529"/>
        </w:tabs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Ⅳ）調停を求める事項の価額が１億円を超える部分…</w:t>
      </w:r>
      <w:r w:rsidR="005C73A0"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その価額１万円までごとに５円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</w:p>
    <w:p w:rsidR="005C73A0" w:rsidRPr="005C73A0" w:rsidRDefault="005C73A0" w:rsidP="005C73A0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あっせん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ind w:firstLineChars="100" w:firstLine="244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あっせんの申請手数料は無料です。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</w:p>
    <w:p w:rsidR="005C73A0" w:rsidRPr="005C73A0" w:rsidRDefault="005C73A0" w:rsidP="005C73A0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line="368" w:lineRule="exact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仲　裁</w:t>
      </w:r>
    </w:p>
    <w:p w:rsidR="005C73A0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ind w:firstLineChars="100" w:firstLine="244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仲裁の申請手数料の定め方は、調停の場合と同様ですが、その額は異なります。</w:t>
      </w:r>
    </w:p>
    <w:p w:rsidR="005601B9" w:rsidRPr="005C73A0" w:rsidRDefault="005C73A0" w:rsidP="005C73A0">
      <w:pPr>
        <w:kinsoku w:val="0"/>
        <w:overflowPunct w:val="0"/>
        <w:autoSpaceDE w:val="0"/>
        <w:autoSpaceDN w:val="0"/>
        <w:snapToGrid w:val="0"/>
        <w:spacing w:line="368" w:lineRule="exact"/>
        <w:ind w:firstLineChars="100" w:firstLine="244"/>
        <w:rPr>
          <w:rFonts w:ascii="ＭＳ Ｐゴシック" w:eastAsia="ＭＳ Ｐゴシック" w:hAnsi="ＭＳ Ｐゴシック" w:cs="Times New Roman"/>
          <w:spacing w:val="2"/>
          <w:kern w:val="0"/>
          <w:sz w:val="24"/>
          <w:szCs w:val="24"/>
        </w:rPr>
      </w:pPr>
      <w:r w:rsidRPr="005C73A0">
        <w:rPr>
          <w:rFonts w:ascii="ＭＳ Ｐゴシック" w:eastAsia="ＭＳ Ｐゴシック" w:hAnsi="ＭＳ Ｐゴシック" w:cs="Times New Roman" w:hint="eastAsia"/>
          <w:spacing w:val="2"/>
          <w:kern w:val="0"/>
          <w:sz w:val="24"/>
          <w:szCs w:val="24"/>
        </w:rPr>
        <w:t>詳細は、大阪府公害審査会事務局へお問い合わせください。</w:t>
      </w:r>
    </w:p>
    <w:sectPr w:rsidR="005601B9" w:rsidRPr="005C73A0" w:rsidSect="005C73A0">
      <w:pgSz w:w="11905" w:h="16837" w:code="9"/>
      <w:pgMar w:top="1134" w:right="1423" w:bottom="680" w:left="1814" w:header="142" w:footer="142" w:gutter="0"/>
      <w:cols w:space="720"/>
      <w:docGrid w:linePitch="36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6EC5"/>
    <w:multiLevelType w:val="hybridMultilevel"/>
    <w:tmpl w:val="5C0CCCE8"/>
    <w:lvl w:ilvl="0" w:tplc="7E3AE9EA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0"/>
    <w:rsid w:val="000B495B"/>
    <w:rsid w:val="0040227C"/>
    <w:rsid w:val="005601B9"/>
    <w:rsid w:val="005C73A0"/>
    <w:rsid w:val="0065775F"/>
    <w:rsid w:val="008A3427"/>
    <w:rsid w:val="00AD0DE1"/>
    <w:rsid w:val="00B76B5D"/>
    <w:rsid w:val="00F01123"/>
    <w:rsid w:val="00F9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　真由美</dc:creator>
  <cp:lastModifiedBy>寺田　真由美</cp:lastModifiedBy>
  <cp:revision>13</cp:revision>
  <dcterms:created xsi:type="dcterms:W3CDTF">2016-08-25T02:29:00Z</dcterms:created>
  <dcterms:modified xsi:type="dcterms:W3CDTF">2018-11-05T03:57:00Z</dcterms:modified>
</cp:coreProperties>
</file>