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9" w:rsidRDefault="00AB48C9" w:rsidP="00AB48C9">
      <w:pPr>
        <w:kinsoku w:val="0"/>
        <w:overflowPunct w:val="0"/>
        <w:spacing w:line="400" w:lineRule="exact"/>
        <w:rPr>
          <w:rFonts w:asciiTheme="majorEastAsia" w:eastAsiaTheme="majorEastAsia" w:hAnsiTheme="majorEastAsia"/>
          <w:sz w:val="36"/>
          <w:szCs w:val="36"/>
        </w:rPr>
      </w:pPr>
    </w:p>
    <w:p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rsidR="00AB48C9" w:rsidRPr="00AB48C9" w:rsidRDefault="00AB48C9" w:rsidP="00AB48C9">
      <w:pPr>
        <w:kinsoku w:val="0"/>
        <w:overflowPunct w:val="0"/>
        <w:spacing w:line="400" w:lineRule="exact"/>
        <w:rPr>
          <w:rFonts w:ascii="ＭＳ 明朝" w:eastAsia="ＭＳ 明朝"/>
          <w:sz w:val="22"/>
        </w:rPr>
      </w:pPr>
    </w:p>
    <w:p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最寄り駅からの距離は、駅から物件までの概ねの直線距離を表示しています。</w:t>
      </w:r>
    </w:p>
    <w:p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地図と異なっ</w:t>
      </w:r>
      <w:bookmarkStart w:id="0" w:name="_GoBack"/>
      <w:bookmarkEnd w:id="0"/>
      <w:r w:rsidR="00AF76A7" w:rsidRPr="00AB48C9">
        <w:rPr>
          <w:rFonts w:ascii="ＭＳ 明朝" w:eastAsia="ＭＳ 明朝" w:hint="eastAsia"/>
          <w:spacing w:val="1"/>
          <w:sz w:val="22"/>
          <w:szCs w:val="21"/>
        </w:rPr>
        <w:t>ている場合があります。</w:t>
      </w:r>
    </w:p>
    <w:sectPr w:rsidR="009C5C01" w:rsidRPr="00AB48C9" w:rsidSect="00CA5325">
      <w:headerReference w:type="default" r:id="rId7"/>
      <w:footerReference w:type="even" r:id="rId8"/>
      <w:footerReference w:type="default" r:id="rId9"/>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82" w:rsidRDefault="00191382">
      <w:r>
        <w:separator/>
      </w:r>
    </w:p>
  </w:endnote>
  <w:endnote w:type="continuationSeparator" w:id="0">
    <w:p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embedRegular r:id="rId1" w:subsetted="1" w:fontKey="{2A58E22D-7EAA-4DCE-B551-DE3B66E5BE6C}"/>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63" w:rsidRDefault="00C36063" w:rsidP="00C36063">
    <w:pPr>
      <w:pStyle w:val="a4"/>
      <w:framePr w:wrap="around" w:vAnchor="text" w:hAnchor="margin" w:xAlign="center" w:y="1"/>
      <w:rPr>
        <w:rStyle w:val="a6"/>
      </w:rPr>
    </w:pPr>
  </w:p>
  <w:p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E6" w:rsidRPr="008A4228" w:rsidRDefault="00F944B0" w:rsidP="00F944B0">
    <w:pPr>
      <w:pStyle w:val="a4"/>
      <w:jc w:val="center"/>
      <w:rPr>
        <w:rFonts w:asciiTheme="minorHAnsi" w:hAnsiTheme="minorHAnsi"/>
      </w:rPr>
    </w:pPr>
    <w:r w:rsidRPr="008A4228">
      <w:rPr>
        <w:rFonts w:asciiTheme="minorHAnsi" w:hAnsiTheme="minorHAnsi" w:hint="eastAsia"/>
      </w:rPr>
      <w:t>実施要綱－</w:t>
    </w:r>
    <w:r w:rsidRPr="008A4228">
      <w:rPr>
        <w:rFonts w:asciiTheme="minorHAnsi" w:hAnsiTheme="minorHAnsi"/>
      </w:rPr>
      <w:fldChar w:fldCharType="begin"/>
    </w:r>
    <w:r w:rsidRPr="008A4228">
      <w:rPr>
        <w:rFonts w:asciiTheme="minorHAnsi" w:hAnsiTheme="minorHAnsi"/>
      </w:rPr>
      <w:instrText>PAGE   \* MERGEFORMAT</w:instrText>
    </w:r>
    <w:r w:rsidRPr="008A4228">
      <w:rPr>
        <w:rFonts w:asciiTheme="minorHAnsi" w:hAnsiTheme="minorHAnsi"/>
      </w:rPr>
      <w:fldChar w:fldCharType="separate"/>
    </w:r>
    <w:r w:rsidR="00CA5325" w:rsidRPr="00CA5325">
      <w:rPr>
        <w:rFonts w:asciiTheme="minorHAnsi" w:hAnsiTheme="minorHAnsi"/>
        <w:noProof/>
        <w:lang w:val="ja-JP"/>
      </w:rPr>
      <w:t>8</w:t>
    </w:r>
    <w:r w:rsidRPr="008A4228">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82" w:rsidRDefault="00191382">
      <w:r>
        <w:separator/>
      </w:r>
    </w:p>
  </w:footnote>
  <w:footnote w:type="continuationSeparator" w:id="0">
    <w:p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47DCF"/>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dc:creator>職員端末機１２年度後期分</dc:creator>
  <cp:lastModifiedBy>富永　彩</cp:lastModifiedBy>
  <cp:revision>7</cp:revision>
  <cp:lastPrinted>2016-12-27T02:21:00Z</cp:lastPrinted>
  <dcterms:created xsi:type="dcterms:W3CDTF">2018-09-25T04:12:00Z</dcterms:created>
  <dcterms:modified xsi:type="dcterms:W3CDTF">2020-09-17T05:52:00Z</dcterms:modified>
</cp:coreProperties>
</file>