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31A9" w14:textId="64472061" w:rsidR="002D6B72" w:rsidRDefault="002D6B72" w:rsidP="002D6B72">
      <w:pPr>
        <w:ind w:firstLineChars="100" w:firstLine="180"/>
        <w:rPr>
          <w:rFonts w:ascii="HG丸ｺﾞｼｯｸM-PRO" w:eastAsia="HG丸ｺﾞｼｯｸM-PRO" w:hAnsi="HG丸ｺﾞｼｯｸM-PRO"/>
          <w:sz w:val="18"/>
          <w:szCs w:val="18"/>
        </w:rPr>
      </w:pPr>
    </w:p>
    <w:p w14:paraId="601184A8" w14:textId="77777777" w:rsidR="002D6B72" w:rsidRDefault="002D6B72" w:rsidP="002D6B72">
      <w:pPr>
        <w:ind w:firstLineChars="100" w:firstLine="180"/>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bookmarkStart w:id="0" w:name="_GoBack"/>
      <w:bookmarkEnd w:id="0"/>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654062D" w14:textId="2B96A8C2" w:rsidR="002856F7" w:rsidRPr="00CB0F21" w:rsidRDefault="002856F7" w:rsidP="002856F7">
      <w:pPr>
        <w:ind w:firstLineChars="100" w:firstLine="180"/>
        <w:rPr>
          <w:rFonts w:ascii="HG丸ｺﾞｼｯｸM-PRO" w:eastAsia="HG丸ｺﾞｼｯｸM-PRO" w:hAnsi="HG丸ｺﾞｼｯｸM-PRO"/>
          <w:color w:val="000000" w:themeColor="text1"/>
          <w:sz w:val="18"/>
          <w:szCs w:val="18"/>
        </w:rPr>
      </w:pPr>
      <w:r w:rsidRPr="004C6A86">
        <w:rPr>
          <w:rFonts w:ascii="HG丸ｺﾞｼｯｸM-PRO" w:eastAsia="HG丸ｺﾞｼｯｸM-PRO" w:hAnsi="HG丸ｺﾞｼｯｸM-PRO" w:hint="eastAsia"/>
          <w:sz w:val="18"/>
          <w:szCs w:val="18"/>
        </w:rPr>
        <w:t>（１）</w:t>
      </w:r>
      <w:r w:rsidRPr="00CB0F21">
        <w:rPr>
          <w:rFonts w:ascii="HG丸ｺﾞｼｯｸM-PRO" w:eastAsia="HG丸ｺﾞｼｯｸM-PRO" w:hAnsi="HG丸ｺﾞｼｯｸM-PRO" w:hint="eastAsia"/>
          <w:color w:val="000000" w:themeColor="text1"/>
          <w:sz w:val="18"/>
          <w:szCs w:val="18"/>
        </w:rPr>
        <w:t>固定資産の減損の状況</w:t>
      </w:r>
      <w:r w:rsidR="00CB0F21" w:rsidRPr="00CB0F21">
        <w:rPr>
          <w:rFonts w:ascii="HG丸ｺﾞｼｯｸM-PRO" w:eastAsia="HG丸ｺﾞｼｯｸM-PRO" w:hAnsi="HG丸ｺﾞｼｯｸM-PRO" w:hint="eastAsia"/>
          <w:color w:val="000000" w:themeColor="text1"/>
          <w:sz w:val="18"/>
          <w:szCs w:val="18"/>
        </w:rPr>
        <w:t xml:space="preserve">　　</w:t>
      </w:r>
    </w:p>
    <w:p w14:paraId="607DB267" w14:textId="77777777" w:rsidR="002856F7" w:rsidRPr="00CB0F21" w:rsidRDefault="002856F7" w:rsidP="002856F7">
      <w:pPr>
        <w:ind w:firstLineChars="100" w:firstLine="180"/>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 xml:space="preserve">　（行政財産）</w:t>
      </w:r>
    </w:p>
    <w:p w14:paraId="1DA5BAE9" w14:textId="2AFA7ECC" w:rsidR="002856F7" w:rsidRPr="00CB0F21" w:rsidRDefault="002856F7" w:rsidP="002856F7">
      <w:pPr>
        <w:spacing w:line="240" w:lineRule="exact"/>
        <w:ind w:firstLineChars="200" w:firstLine="360"/>
        <w:rPr>
          <w:rFonts w:ascii="HG丸ｺﾞｼｯｸM-PRO" w:eastAsia="HG丸ｺﾞｼｯｸM-PRO" w:hAnsi="HG丸ｺﾞｼｯｸM-PRO"/>
          <w:b/>
          <w:color w:val="000000" w:themeColor="text1"/>
          <w:sz w:val="18"/>
          <w:szCs w:val="18"/>
        </w:rPr>
      </w:pPr>
      <w:r w:rsidRPr="00CB0F21">
        <w:rPr>
          <w:rFonts w:ascii="HG丸ｺﾞｼｯｸM-PRO" w:eastAsia="HG丸ｺﾞｼｯｸM-PRO" w:hAnsi="HG丸ｺﾞｼｯｸM-PRO" w:hint="eastAsia"/>
          <w:color w:val="000000" w:themeColor="text1"/>
          <w:sz w:val="18"/>
          <w:szCs w:val="18"/>
        </w:rPr>
        <w:t xml:space="preserve">減損を認識したもの　</w:t>
      </w:r>
      <w:r w:rsidR="00615F4A" w:rsidRPr="00CB0F21">
        <w:rPr>
          <w:rFonts w:ascii="HG丸ｺﾞｼｯｸM-PRO" w:eastAsia="HG丸ｺﾞｼｯｸM-PRO" w:hAnsi="HG丸ｺﾞｼｯｸM-PRO" w:hint="eastAsia"/>
          <w:color w:val="000000" w:themeColor="text1"/>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72"/>
        <w:gridCol w:w="1228"/>
        <w:gridCol w:w="1684"/>
        <w:gridCol w:w="1624"/>
        <w:gridCol w:w="1701"/>
        <w:gridCol w:w="1276"/>
        <w:gridCol w:w="2311"/>
        <w:gridCol w:w="2302"/>
      </w:tblGrid>
      <w:tr w:rsidR="00CB0F21" w:rsidRPr="00CB0F21" w14:paraId="3836767E" w14:textId="77777777" w:rsidTr="0038039A">
        <w:trPr>
          <w:trHeight w:val="499"/>
        </w:trPr>
        <w:tc>
          <w:tcPr>
            <w:tcW w:w="1538" w:type="dxa"/>
            <w:vMerge w:val="restart"/>
            <w:shd w:val="clear" w:color="auto" w:fill="auto"/>
            <w:vAlign w:val="center"/>
            <w:hideMark/>
          </w:tcPr>
          <w:p w14:paraId="7A002B79"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用途</w:t>
            </w:r>
          </w:p>
        </w:tc>
        <w:tc>
          <w:tcPr>
            <w:tcW w:w="872" w:type="dxa"/>
            <w:vMerge w:val="restart"/>
            <w:shd w:val="clear" w:color="auto" w:fill="auto"/>
            <w:vAlign w:val="center"/>
            <w:hideMark/>
          </w:tcPr>
          <w:p w14:paraId="7390AEF3" w14:textId="77777777" w:rsidR="002856F7" w:rsidRPr="00CB0F21" w:rsidRDefault="002856F7" w:rsidP="0038039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種類</w:t>
            </w:r>
          </w:p>
        </w:tc>
        <w:tc>
          <w:tcPr>
            <w:tcW w:w="1228" w:type="dxa"/>
            <w:vMerge w:val="restart"/>
            <w:shd w:val="clear" w:color="auto" w:fill="auto"/>
            <w:vAlign w:val="center"/>
            <w:hideMark/>
          </w:tcPr>
          <w:p w14:paraId="109492FF"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場所</w:t>
            </w:r>
          </w:p>
        </w:tc>
        <w:tc>
          <w:tcPr>
            <w:tcW w:w="1684" w:type="dxa"/>
            <w:vMerge w:val="restart"/>
            <w:shd w:val="clear" w:color="auto" w:fill="auto"/>
            <w:vAlign w:val="center"/>
            <w:hideMark/>
          </w:tcPr>
          <w:p w14:paraId="2ED7F7B6" w14:textId="77777777" w:rsidR="002856F7" w:rsidRPr="00CB0F21" w:rsidRDefault="002856F7" w:rsidP="0038039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減損前の帳簿価額（円）</w:t>
            </w:r>
          </w:p>
        </w:tc>
        <w:tc>
          <w:tcPr>
            <w:tcW w:w="1624" w:type="dxa"/>
            <w:vMerge w:val="restart"/>
            <w:shd w:val="clear" w:color="auto" w:fill="auto"/>
            <w:vAlign w:val="center"/>
            <w:hideMark/>
          </w:tcPr>
          <w:p w14:paraId="2E46C800" w14:textId="77777777" w:rsidR="002856F7" w:rsidRPr="00CB0F21" w:rsidRDefault="002856F7" w:rsidP="0038039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減損に至った</w:t>
            </w:r>
          </w:p>
          <w:p w14:paraId="6C737B65" w14:textId="77777777" w:rsidR="002856F7" w:rsidRPr="00CB0F21" w:rsidRDefault="002856F7" w:rsidP="0038039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経緯</w:t>
            </w:r>
          </w:p>
        </w:tc>
        <w:tc>
          <w:tcPr>
            <w:tcW w:w="1701" w:type="dxa"/>
            <w:vMerge w:val="restart"/>
            <w:shd w:val="clear" w:color="auto" w:fill="auto"/>
            <w:vAlign w:val="center"/>
            <w:hideMark/>
          </w:tcPr>
          <w:p w14:paraId="2551B1E7" w14:textId="77777777" w:rsidR="002856F7" w:rsidRPr="00CB0F21" w:rsidRDefault="002856F7" w:rsidP="0038039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減損損失額（円）</w:t>
            </w:r>
          </w:p>
        </w:tc>
        <w:tc>
          <w:tcPr>
            <w:tcW w:w="1276" w:type="dxa"/>
            <w:vMerge w:val="restart"/>
            <w:shd w:val="clear" w:color="auto" w:fill="auto"/>
            <w:vAlign w:val="center"/>
            <w:hideMark/>
          </w:tcPr>
          <w:p w14:paraId="4A22A716" w14:textId="77777777" w:rsidR="002856F7" w:rsidRPr="00CB0F21" w:rsidRDefault="002856F7" w:rsidP="0038039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減損後の帳簿価額（円）</w:t>
            </w:r>
          </w:p>
        </w:tc>
        <w:tc>
          <w:tcPr>
            <w:tcW w:w="4613" w:type="dxa"/>
            <w:gridSpan w:val="2"/>
            <w:shd w:val="clear" w:color="auto" w:fill="auto"/>
            <w:vAlign w:val="center"/>
            <w:hideMark/>
          </w:tcPr>
          <w:p w14:paraId="2E70CB5D" w14:textId="77777777" w:rsidR="002856F7" w:rsidRPr="00CB0F21" w:rsidRDefault="002856F7" w:rsidP="0038039A">
            <w:pPr>
              <w:ind w:firstLineChars="100" w:firstLine="180"/>
              <w:jc w:val="center"/>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減損損失額の算出方法の概要</w:t>
            </w:r>
          </w:p>
        </w:tc>
      </w:tr>
      <w:tr w:rsidR="00CB0F21" w:rsidRPr="00CB0F21" w14:paraId="3865997A" w14:textId="77777777" w:rsidTr="0038039A">
        <w:trPr>
          <w:trHeight w:val="1077"/>
        </w:trPr>
        <w:tc>
          <w:tcPr>
            <w:tcW w:w="1538" w:type="dxa"/>
            <w:vMerge/>
            <w:shd w:val="clear" w:color="auto" w:fill="auto"/>
            <w:hideMark/>
          </w:tcPr>
          <w:p w14:paraId="1C6C9319"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p>
        </w:tc>
        <w:tc>
          <w:tcPr>
            <w:tcW w:w="872" w:type="dxa"/>
            <w:vMerge/>
            <w:shd w:val="clear" w:color="auto" w:fill="auto"/>
            <w:hideMark/>
          </w:tcPr>
          <w:p w14:paraId="0C53D8F6"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p>
        </w:tc>
        <w:tc>
          <w:tcPr>
            <w:tcW w:w="1228" w:type="dxa"/>
            <w:vMerge/>
            <w:shd w:val="clear" w:color="auto" w:fill="auto"/>
            <w:hideMark/>
          </w:tcPr>
          <w:p w14:paraId="07B715A9"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p>
        </w:tc>
        <w:tc>
          <w:tcPr>
            <w:tcW w:w="1684" w:type="dxa"/>
            <w:vMerge/>
            <w:shd w:val="clear" w:color="auto" w:fill="auto"/>
            <w:hideMark/>
          </w:tcPr>
          <w:p w14:paraId="15C6A207"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p>
        </w:tc>
        <w:tc>
          <w:tcPr>
            <w:tcW w:w="1624" w:type="dxa"/>
            <w:vMerge/>
            <w:shd w:val="clear" w:color="auto" w:fill="auto"/>
            <w:hideMark/>
          </w:tcPr>
          <w:p w14:paraId="0042B1C6"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p>
        </w:tc>
        <w:tc>
          <w:tcPr>
            <w:tcW w:w="1701" w:type="dxa"/>
            <w:vMerge/>
            <w:shd w:val="clear" w:color="auto" w:fill="auto"/>
            <w:hideMark/>
          </w:tcPr>
          <w:p w14:paraId="19AABA7F"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p>
        </w:tc>
        <w:tc>
          <w:tcPr>
            <w:tcW w:w="1276" w:type="dxa"/>
            <w:vMerge/>
            <w:shd w:val="clear" w:color="auto" w:fill="auto"/>
            <w:hideMark/>
          </w:tcPr>
          <w:p w14:paraId="45C14B24" w14:textId="77777777" w:rsidR="002856F7" w:rsidRPr="00CB0F21" w:rsidRDefault="002856F7" w:rsidP="0038039A">
            <w:pPr>
              <w:ind w:firstLineChars="100" w:firstLine="180"/>
              <w:jc w:val="left"/>
              <w:rPr>
                <w:rFonts w:ascii="HG丸ｺﾞｼｯｸM-PRO" w:eastAsia="HG丸ｺﾞｼｯｸM-PRO" w:hAnsi="HG丸ｺﾞｼｯｸM-PRO"/>
                <w:color w:val="000000" w:themeColor="text1"/>
                <w:sz w:val="18"/>
                <w:szCs w:val="18"/>
              </w:rPr>
            </w:pPr>
          </w:p>
        </w:tc>
        <w:tc>
          <w:tcPr>
            <w:tcW w:w="2311" w:type="dxa"/>
            <w:shd w:val="clear" w:color="auto" w:fill="auto"/>
            <w:hideMark/>
          </w:tcPr>
          <w:p w14:paraId="236C8458" w14:textId="77777777" w:rsidR="002856F7" w:rsidRPr="00CB0F21" w:rsidRDefault="002856F7" w:rsidP="0038039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帳簿価額と比較する正味売却価額・使用価値相当額の別とその算出方法</w:t>
            </w:r>
          </w:p>
        </w:tc>
        <w:tc>
          <w:tcPr>
            <w:tcW w:w="2302" w:type="dxa"/>
            <w:shd w:val="clear" w:color="auto" w:fill="auto"/>
            <w:vAlign w:val="center"/>
            <w:hideMark/>
          </w:tcPr>
          <w:p w14:paraId="151DEEFA" w14:textId="77777777" w:rsidR="002856F7" w:rsidRPr="00CB0F21" w:rsidRDefault="002856F7" w:rsidP="0038039A">
            <w:pPr>
              <w:ind w:firstLineChars="100" w:firstLine="180"/>
              <w:jc w:val="center"/>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摘要</w:t>
            </w:r>
          </w:p>
        </w:tc>
      </w:tr>
      <w:tr w:rsidR="00CB0F21" w:rsidRPr="00CB0F21" w14:paraId="3DB1F20A" w14:textId="77777777" w:rsidTr="005C508A">
        <w:trPr>
          <w:trHeight w:val="126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9C584FD" w14:textId="77777777" w:rsidR="005C508A" w:rsidRPr="00CB0F21" w:rsidRDefault="005C508A" w:rsidP="005C508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高石漁港</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98BCA55" w14:textId="77777777" w:rsidR="005C508A" w:rsidRPr="00CB0F21" w:rsidRDefault="005C508A" w:rsidP="005C508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工作物</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42DDF259" w14:textId="77777777" w:rsidR="005C508A" w:rsidRPr="00CB0F21" w:rsidRDefault="005C508A" w:rsidP="005C508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大阪府高石市高師浜丁</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57A72782" w14:textId="77777777" w:rsidR="005C508A" w:rsidRPr="00CB0F21" w:rsidRDefault="005C508A" w:rsidP="005C508A">
            <w:pPr>
              <w:ind w:firstLineChars="100" w:firstLine="180"/>
              <w:jc w:val="righ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 xml:space="preserve">1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42A384A3" w14:textId="77777777" w:rsidR="005C508A" w:rsidRPr="00CB0F21" w:rsidRDefault="005C508A" w:rsidP="005C508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使用終了（移管）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2435F6" w14:textId="77777777" w:rsidR="005C508A" w:rsidRPr="00CB0F21" w:rsidRDefault="005C508A" w:rsidP="005C508A">
            <w:pPr>
              <w:ind w:firstLineChars="100" w:firstLine="180"/>
              <w:jc w:val="righ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6E28E" w14:textId="77777777" w:rsidR="005C508A" w:rsidRPr="00CB0F21" w:rsidRDefault="005C508A" w:rsidP="005C508A">
            <w:pPr>
              <w:ind w:firstLineChars="100" w:firstLine="180"/>
              <w:jc w:val="righ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 xml:space="preserve">1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029E204E" w14:textId="77777777" w:rsidR="005C508A" w:rsidRPr="00CB0F21" w:rsidRDefault="005C508A" w:rsidP="005C508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移管に伴う無償譲渡のため０</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074A0517" w14:textId="77777777" w:rsidR="005C508A" w:rsidRPr="00CB0F21" w:rsidRDefault="005C508A" w:rsidP="005C508A">
            <w:pPr>
              <w:jc w:val="left"/>
              <w:rPr>
                <w:rFonts w:ascii="HG丸ｺﾞｼｯｸM-PRO" w:eastAsia="HG丸ｺﾞｼｯｸM-PRO" w:hAnsi="HG丸ｺﾞｼｯｸM-PRO"/>
                <w:color w:val="000000" w:themeColor="text1"/>
                <w:sz w:val="18"/>
                <w:szCs w:val="18"/>
              </w:rPr>
            </w:pPr>
            <w:r w:rsidRPr="00CB0F21">
              <w:rPr>
                <w:rFonts w:ascii="HG丸ｺﾞｼｯｸM-PRO" w:eastAsia="HG丸ｺﾞｼｯｸM-PRO" w:hAnsi="HG丸ｺﾞｼｯｸM-PRO" w:hint="eastAsia"/>
                <w:color w:val="000000" w:themeColor="text1"/>
                <w:sz w:val="18"/>
                <w:szCs w:val="18"/>
              </w:rPr>
              <w:t>帳簿価額を備忘価額の1円まで減損済</w:t>
            </w:r>
          </w:p>
        </w:tc>
      </w:tr>
    </w:tbl>
    <w:p w14:paraId="0701ABAE" w14:textId="77777777" w:rsidR="002856F7" w:rsidRPr="005C508A" w:rsidRDefault="002856F7" w:rsidP="00B63D75">
      <w:pPr>
        <w:ind w:firstLineChars="100" w:firstLine="180"/>
        <w:rPr>
          <w:rFonts w:ascii="HG丸ｺﾞｼｯｸM-PRO" w:eastAsia="HG丸ｺﾞｼｯｸM-PRO" w:hAnsi="HG丸ｺﾞｼｯｸM-PRO"/>
          <w:sz w:val="18"/>
          <w:szCs w:val="18"/>
        </w:rPr>
      </w:pPr>
    </w:p>
    <w:p w14:paraId="341FD38D" w14:textId="724CCA81" w:rsidR="00B63D75" w:rsidRPr="00AA5EE3" w:rsidRDefault="002856F7" w:rsidP="00B63D75">
      <w:pPr>
        <w:ind w:firstLineChars="100" w:firstLine="18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（２）</w:t>
      </w:r>
      <w:r w:rsidR="00B63D75" w:rsidRPr="00AA5EE3">
        <w:rPr>
          <w:rFonts w:ascii="HG丸ｺﾞｼｯｸM-PRO" w:eastAsia="HG丸ｺﾞｼｯｸM-PRO" w:hAnsi="HG丸ｺﾞｼｯｸM-PRO" w:hint="eastAsia"/>
          <w:sz w:val="18"/>
          <w:szCs w:val="18"/>
        </w:rPr>
        <w:t>その他財務諸表の内容を理解するために必要と認められる事項</w:t>
      </w:r>
    </w:p>
    <w:p w14:paraId="341FD38E" w14:textId="77777777" w:rsidR="00B63D75" w:rsidRPr="00AA5EE3" w:rsidRDefault="00B63D75" w:rsidP="00B63D75">
      <w:pPr>
        <w:ind w:firstLineChars="300" w:firstLine="63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rPr>
        <w:t xml:space="preserve">　</w:t>
      </w:r>
      <w:r w:rsidRPr="00AA5EE3">
        <w:rPr>
          <w:rFonts w:ascii="HG丸ｺﾞｼｯｸM-PRO" w:eastAsia="HG丸ｺﾞｼｯｸM-PRO" w:hAnsi="HG丸ｺﾞｼｯｸM-PRO" w:hint="eastAsia"/>
          <w:sz w:val="18"/>
          <w:szCs w:val="18"/>
        </w:rPr>
        <w:t>事業の概要</w:t>
      </w:r>
    </w:p>
    <w:p w14:paraId="341FD38F" w14:textId="4E98491F"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w:t>
      </w:r>
      <w:r w:rsidRPr="006D3008">
        <w:rPr>
          <w:rFonts w:ascii="HG丸ｺﾞｼｯｸM-PRO" w:eastAsia="HG丸ｺﾞｼｯｸM-PRO" w:hAnsi="HG丸ｺﾞｼｯｸM-PRO" w:hint="eastAsia"/>
          <w:sz w:val="18"/>
          <w:szCs w:val="18"/>
        </w:rPr>
        <w:t>機能を維持させ</w:t>
      </w:r>
      <w:r w:rsidR="000136AC" w:rsidRPr="006D3008">
        <w:rPr>
          <w:rFonts w:ascii="HG丸ｺﾞｼｯｸM-PRO" w:eastAsia="HG丸ｺﾞｼｯｸM-PRO" w:hAnsi="HG丸ｺﾞｼｯｸM-PRO" w:hint="eastAsia"/>
          <w:sz w:val="18"/>
          <w:szCs w:val="18"/>
        </w:rPr>
        <w:t>るとともに、</w:t>
      </w:r>
      <w:r w:rsidRPr="006D3008">
        <w:rPr>
          <w:rFonts w:ascii="HG丸ｺﾞｼｯｸM-PRO" w:eastAsia="HG丸ｺﾞｼｯｸM-PRO" w:hAnsi="HG丸ｺﾞｼｯｸM-PRO" w:hint="eastAsia"/>
          <w:sz w:val="18"/>
          <w:szCs w:val="18"/>
        </w:rPr>
        <w:t>利用の</w:t>
      </w:r>
      <w:r w:rsidRPr="00060BA5">
        <w:rPr>
          <w:rFonts w:ascii="HG丸ｺﾞｼｯｸM-PRO" w:eastAsia="HG丸ｺﾞｼｯｸM-PRO" w:hAnsi="HG丸ｺﾞｼｯｸM-PRO" w:hint="eastAsia"/>
          <w:sz w:val="18"/>
          <w:szCs w:val="18"/>
        </w:rPr>
        <w:t>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DA8A" w14:textId="77777777" w:rsidR="00D70263" w:rsidRDefault="00D70263" w:rsidP="00307CCF">
      <w:r>
        <w:separator/>
      </w:r>
    </w:p>
  </w:endnote>
  <w:endnote w:type="continuationSeparator" w:id="0">
    <w:p w14:paraId="331348DA" w14:textId="77777777" w:rsidR="00D70263" w:rsidRDefault="00D70263" w:rsidP="00307CCF">
      <w:r>
        <w:continuationSeparator/>
      </w:r>
    </w:p>
  </w:endnote>
  <w:endnote w:type="continuationNotice" w:id="1">
    <w:p w14:paraId="4967B20A" w14:textId="77777777" w:rsidR="00D70263" w:rsidRDefault="00D70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8B56" w14:textId="77777777" w:rsidR="00D70263" w:rsidRDefault="00D70263" w:rsidP="00307CCF">
      <w:r>
        <w:separator/>
      </w:r>
    </w:p>
  </w:footnote>
  <w:footnote w:type="continuationSeparator" w:id="0">
    <w:p w14:paraId="540D9E2F" w14:textId="77777777" w:rsidR="00D70263" w:rsidRDefault="00D70263" w:rsidP="00307CCF">
      <w:r>
        <w:continuationSeparator/>
      </w:r>
    </w:p>
  </w:footnote>
  <w:footnote w:type="continuationNotice" w:id="1">
    <w:p w14:paraId="537374BF" w14:textId="77777777" w:rsidR="00D70263" w:rsidRDefault="00D702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36AC"/>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7BF"/>
    <w:rsid w:val="000B762C"/>
    <w:rsid w:val="000C6F4B"/>
    <w:rsid w:val="000E3E92"/>
    <w:rsid w:val="000E57F1"/>
    <w:rsid w:val="000E642C"/>
    <w:rsid w:val="0010155B"/>
    <w:rsid w:val="00102CD8"/>
    <w:rsid w:val="00106C35"/>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856F7"/>
    <w:rsid w:val="00293ADF"/>
    <w:rsid w:val="002A348A"/>
    <w:rsid w:val="002A5596"/>
    <w:rsid w:val="002B1965"/>
    <w:rsid w:val="002C0789"/>
    <w:rsid w:val="002D2589"/>
    <w:rsid w:val="002D4DE9"/>
    <w:rsid w:val="002D6B7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6202"/>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508A"/>
    <w:rsid w:val="005C7C9B"/>
    <w:rsid w:val="005E4A74"/>
    <w:rsid w:val="005F1A49"/>
    <w:rsid w:val="00605D96"/>
    <w:rsid w:val="00607CDB"/>
    <w:rsid w:val="00615287"/>
    <w:rsid w:val="00615F4A"/>
    <w:rsid w:val="006162DA"/>
    <w:rsid w:val="00622694"/>
    <w:rsid w:val="006500BD"/>
    <w:rsid w:val="00667ED8"/>
    <w:rsid w:val="00670815"/>
    <w:rsid w:val="006740CA"/>
    <w:rsid w:val="00676064"/>
    <w:rsid w:val="006912A7"/>
    <w:rsid w:val="006A1A81"/>
    <w:rsid w:val="006A4D7C"/>
    <w:rsid w:val="006B26DB"/>
    <w:rsid w:val="006B32F8"/>
    <w:rsid w:val="006B75A8"/>
    <w:rsid w:val="006D300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369D"/>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5EE3"/>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76594"/>
    <w:rsid w:val="00CA4F4B"/>
    <w:rsid w:val="00CB00E7"/>
    <w:rsid w:val="00CB0F21"/>
    <w:rsid w:val="00CB46E6"/>
    <w:rsid w:val="00CC5C80"/>
    <w:rsid w:val="00CC789C"/>
    <w:rsid w:val="00CD33BE"/>
    <w:rsid w:val="00CE2A53"/>
    <w:rsid w:val="00D01410"/>
    <w:rsid w:val="00D0481A"/>
    <w:rsid w:val="00D05FCF"/>
    <w:rsid w:val="00D407BA"/>
    <w:rsid w:val="00D43B4D"/>
    <w:rsid w:val="00D453AB"/>
    <w:rsid w:val="00D54A51"/>
    <w:rsid w:val="00D7023A"/>
    <w:rsid w:val="00D70263"/>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CEC794C7-BE2E-4613-A671-CF9BCF6A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2983">
      <w:bodyDiv w:val="1"/>
      <w:marLeft w:val="0"/>
      <w:marRight w:val="0"/>
      <w:marTop w:val="0"/>
      <w:marBottom w:val="0"/>
      <w:divBdr>
        <w:top w:val="none" w:sz="0" w:space="0" w:color="auto"/>
        <w:left w:val="none" w:sz="0" w:space="0" w:color="auto"/>
        <w:bottom w:val="none" w:sz="0" w:space="0" w:color="auto"/>
        <w:right w:val="none" w:sz="0" w:space="0" w:color="auto"/>
      </w:divBdr>
    </w:div>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269772448">
      <w:bodyDiv w:val="1"/>
      <w:marLeft w:val="0"/>
      <w:marRight w:val="0"/>
      <w:marTop w:val="0"/>
      <w:marBottom w:val="0"/>
      <w:divBdr>
        <w:top w:val="none" w:sz="0" w:space="0" w:color="auto"/>
        <w:left w:val="none" w:sz="0" w:space="0" w:color="auto"/>
        <w:bottom w:val="none" w:sz="0" w:space="0" w:color="auto"/>
        <w:right w:val="none" w:sz="0" w:space="0" w:color="auto"/>
      </w:divBdr>
    </w:div>
    <w:div w:id="1425540452">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00626826">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4DEA-7EBE-42A8-93AB-86D93EAC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5CF16-FB4B-4F02-A7E9-E95FB3984F2B}">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3c5c5928-84e7-4321-8c25-23ea19acb70a"/>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C627358D-9904-4672-ACF8-80F608B7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30</cp:revision>
  <cp:lastPrinted>2013-09-12T08:40:00Z</cp:lastPrinted>
  <dcterms:created xsi:type="dcterms:W3CDTF">2013-09-03T06:01:00Z</dcterms:created>
  <dcterms:modified xsi:type="dcterms:W3CDTF">2022-08-08T08:21:00Z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