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326" w:rsidRDefault="005853B5" w:rsidP="00E0671D">
      <w:pPr>
        <w:jc w:val="center"/>
        <w:rPr>
          <w:rFonts w:ascii="Meiryo UI" w:eastAsia="Meiryo UI" w:hAnsi="Meiryo UI" w:cs="Meiryo UI"/>
          <w:sz w:val="40"/>
          <w:bdr w:val="single" w:sz="4" w:space="0" w:color="auto"/>
        </w:rPr>
      </w:pPr>
      <w:r w:rsidRPr="00E2244D">
        <w:rPr>
          <w:noProof/>
        </w:rPr>
        <mc:AlternateContent>
          <mc:Choice Requires="wps">
            <w:drawing>
              <wp:anchor distT="0" distB="0" distL="114300" distR="114300" simplePos="0" relativeHeight="251658752" behindDoc="0" locked="0" layoutInCell="1" allowOverlap="1" wp14:anchorId="53EAEB7E" wp14:editId="76592E8A">
                <wp:simplePos x="0" y="0"/>
                <wp:positionH relativeFrom="margin">
                  <wp:posOffset>8153400</wp:posOffset>
                </wp:positionH>
                <wp:positionV relativeFrom="paragraph">
                  <wp:posOffset>-245110</wp:posOffset>
                </wp:positionV>
                <wp:extent cx="1000125" cy="419100"/>
                <wp:effectExtent l="0" t="0" r="28575" b="19050"/>
                <wp:wrapNone/>
                <wp:docPr id="8" name="正方形/長方形 5"/>
                <wp:cNvGraphicFramePr/>
                <a:graphic xmlns:a="http://schemas.openxmlformats.org/drawingml/2006/main">
                  <a:graphicData uri="http://schemas.microsoft.com/office/word/2010/wordprocessingShape">
                    <wps:wsp>
                      <wps:cNvSpPr/>
                      <wps:spPr>
                        <a:xfrm>
                          <a:off x="0" y="0"/>
                          <a:ext cx="1000125" cy="419100"/>
                        </a:xfrm>
                        <a:prstGeom prst="rect">
                          <a:avLst/>
                        </a:prstGeom>
                        <a:noFill/>
                        <a:ln w="9525" cap="flat" cmpd="sng" algn="ctr">
                          <a:solidFill>
                            <a:srgbClr val="4F81BD">
                              <a:shade val="50000"/>
                            </a:srgbClr>
                          </a:solidFill>
                          <a:prstDash val="solid"/>
                        </a:ln>
                        <a:effectLst/>
                      </wps:spPr>
                      <wps:txbx>
                        <w:txbxContent>
                          <w:p w:rsidR="005853B5" w:rsidRPr="00E2244D" w:rsidRDefault="005853B5" w:rsidP="005853B5">
                            <w:pPr>
                              <w:pStyle w:val="Web"/>
                              <w:snapToGrid w:val="0"/>
                              <w:spacing w:before="0" w:beforeAutospacing="0" w:after="0" w:afterAutospacing="0"/>
                              <w:jc w:val="center"/>
                            </w:pPr>
                            <w:bookmarkStart w:id="0" w:name="_GoBack"/>
                            <w:r>
                              <w:rPr>
                                <w:rFonts w:cstheme="minorBidi" w:hint="eastAsia"/>
                                <w:color w:val="000000" w:themeColor="text1"/>
                                <w:sz w:val="36"/>
                                <w:szCs w:val="36"/>
                              </w:rPr>
                              <w:t>資料</w:t>
                            </w:r>
                            <w:r>
                              <w:rPr>
                                <w:rFonts w:cstheme="minorBidi" w:hint="eastAsia"/>
                                <w:color w:val="000000" w:themeColor="text1"/>
                                <w:sz w:val="36"/>
                                <w:szCs w:val="36"/>
                              </w:rPr>
                              <w:t>５</w:t>
                            </w:r>
                            <w:bookmarkEnd w:id="0"/>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AEB7E" id="正方形/長方形 5" o:spid="_x0000_s1026" style="position:absolute;left:0;text-align:left;margin-left:642pt;margin-top:-19.3pt;width:78.75pt;height:3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" filled="f" strokecolor="#385d8a">
                <v:textbox>
                  <w:txbxContent>
                    <w:p w:rsidR="005853B5" w:rsidRPr="00E2244D" w:rsidRDefault="005853B5" w:rsidP="005853B5">
                      <w:pPr>
                        <w:pStyle w:val="Web"/>
                        <w:snapToGrid w:val="0"/>
                        <w:spacing w:before="0" w:beforeAutospacing="0" w:after="0" w:afterAutospacing="0"/>
                        <w:jc w:val="center"/>
                      </w:pPr>
                      <w:bookmarkStart w:id="1" w:name="_GoBack"/>
                      <w:r>
                        <w:rPr>
                          <w:rFonts w:cstheme="minorBidi" w:hint="eastAsia"/>
                          <w:color w:val="000000" w:themeColor="text1"/>
                          <w:sz w:val="36"/>
                          <w:szCs w:val="36"/>
                        </w:rPr>
                        <w:t>資料</w:t>
                      </w:r>
                      <w:r>
                        <w:rPr>
                          <w:rFonts w:cstheme="minorBidi" w:hint="eastAsia"/>
                          <w:color w:val="000000" w:themeColor="text1"/>
                          <w:sz w:val="36"/>
                          <w:szCs w:val="36"/>
                        </w:rPr>
                        <w:t>５</w:t>
                      </w:r>
                      <w:bookmarkEnd w:id="1"/>
                    </w:p>
                  </w:txbxContent>
                </v:textbox>
                <w10:wrap anchorx="margin"/>
              </v:rect>
            </w:pict>
          </mc:Fallback>
        </mc:AlternateContent>
      </w:r>
      <w:r w:rsidR="00306077">
        <w:rPr>
          <w:rFonts w:ascii="Meiryo UI" w:eastAsia="Meiryo UI" w:hAnsi="Meiryo UI" w:cs="Meiryo UI" w:hint="eastAsia"/>
          <w:sz w:val="40"/>
          <w:bdr w:val="single" w:sz="4" w:space="0" w:color="auto"/>
        </w:rPr>
        <w:t xml:space="preserve">　</w:t>
      </w:r>
      <w:r w:rsidR="0057224A" w:rsidRPr="0057224A">
        <w:rPr>
          <w:rFonts w:ascii="Meiryo UI" w:eastAsia="Meiryo UI" w:hAnsi="Meiryo UI" w:cs="Meiryo UI" w:hint="eastAsia"/>
          <w:sz w:val="40"/>
          <w:bdr w:val="single" w:sz="4" w:space="0" w:color="auto"/>
        </w:rPr>
        <w:t>「大阪府財政運営基本条例」に基づく公表</w:t>
      </w:r>
      <w:r w:rsidR="00306077">
        <w:rPr>
          <w:rFonts w:ascii="Meiryo UI" w:eastAsia="Meiryo UI" w:hAnsi="Meiryo UI" w:cs="Meiryo UI" w:hint="eastAsia"/>
          <w:sz w:val="40"/>
          <w:bdr w:val="single" w:sz="4" w:space="0" w:color="auto"/>
        </w:rPr>
        <w:t xml:space="preserve">　</w:t>
      </w:r>
    </w:p>
    <w:p w:rsidR="0057224A" w:rsidRPr="00F67A1B" w:rsidRDefault="0057224A">
      <w:pPr>
        <w:rPr>
          <w:rFonts w:ascii="Meiryo UI" w:eastAsia="Meiryo UI" w:hAnsi="Meiryo UI" w:cs="Meiryo UI"/>
          <w:sz w:val="32"/>
          <w:szCs w:val="36"/>
        </w:rPr>
      </w:pPr>
      <w:r w:rsidRPr="00F67A1B">
        <w:rPr>
          <w:rFonts w:ascii="Meiryo UI" w:eastAsia="Meiryo UI" w:hAnsi="Meiryo UI" w:cs="Meiryo UI" w:hint="eastAsia"/>
          <w:sz w:val="32"/>
          <w:szCs w:val="36"/>
        </w:rPr>
        <w:t>１　財政リスクの点検</w:t>
      </w:r>
      <w:r w:rsidR="00E0671D" w:rsidRPr="00F67A1B">
        <w:rPr>
          <w:rFonts w:ascii="Meiryo UI" w:eastAsia="Meiryo UI" w:hAnsi="Meiryo UI" w:cs="Meiryo UI" w:hint="eastAsia"/>
          <w:sz w:val="32"/>
          <w:szCs w:val="36"/>
        </w:rPr>
        <w:t>（新規事業）</w:t>
      </w:r>
    </w:p>
    <w:p w:rsidR="00434D97" w:rsidRDefault="00434D97">
      <w:pPr>
        <w:rPr>
          <w:rFonts w:ascii="Meiryo UI" w:eastAsia="Meiryo UI" w:hAnsi="Meiryo UI" w:cs="Meiryo UI"/>
          <w:sz w:val="40"/>
        </w:rPr>
      </w:pPr>
      <w:r>
        <w:rPr>
          <w:rFonts w:ascii="Meiryo UI" w:eastAsia="Meiryo UI" w:hAnsi="Meiryo UI" w:cs="Meiryo UI" w:hint="eastAsia"/>
          <w:noProof/>
          <w:sz w:val="40"/>
        </w:rPr>
        <mc:AlternateContent>
          <mc:Choice Requires="wps">
            <w:drawing>
              <wp:anchor distT="0" distB="0" distL="114300" distR="114300" simplePos="0" relativeHeight="251660288" behindDoc="0" locked="0" layoutInCell="1" allowOverlap="1" wp14:anchorId="7CFEC01E" wp14:editId="541D3C41">
                <wp:simplePos x="0" y="0"/>
                <wp:positionH relativeFrom="column">
                  <wp:posOffset>390526</wp:posOffset>
                </wp:positionH>
                <wp:positionV relativeFrom="paragraph">
                  <wp:posOffset>40005</wp:posOffset>
                </wp:positionV>
                <wp:extent cx="8515350" cy="8572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8515350" cy="85725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434D97" w:rsidRPr="00F67A1B" w:rsidRDefault="00434D97"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第９条　府は、新たに事業を実施しようとするときは、これに伴う財政リスク</w:t>
                            </w:r>
                            <w:r w:rsidR="00212769" w:rsidRPr="00F67A1B">
                              <w:rPr>
                                <w:rFonts w:ascii="Meiryo UI" w:eastAsia="Meiryo UI" w:hAnsi="Meiryo UI" w:cs="Meiryo UI" w:hint="eastAsia"/>
                                <w:color w:val="000000" w:themeColor="text1"/>
                                <w:sz w:val="20"/>
                              </w:rPr>
                              <w:t>（※）</w:t>
                            </w:r>
                            <w:r w:rsidRPr="00F67A1B">
                              <w:rPr>
                                <w:rFonts w:ascii="Meiryo UI" w:eastAsia="Meiryo UI" w:hAnsi="Meiryo UI" w:cs="Meiryo UI" w:hint="eastAsia"/>
                                <w:color w:val="000000" w:themeColor="text1"/>
                                <w:sz w:val="20"/>
                              </w:rPr>
                              <w:t>の把握に努めるとともに、予算編成の過程において、当該財政リスクの内容を明らかにするものとする。</w:t>
                            </w:r>
                          </w:p>
                          <w:p w:rsidR="00212769" w:rsidRPr="00F67A1B" w:rsidRDefault="00212769"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 xml:space="preserve">　　　※「財政運営に著しい影響を及ぼす危険又はその危険を有する事象」（第２条）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EC01E" id="正方形/長方形 2" o:spid="_x0000_s1027" style="position:absolute;left:0;text-align:left;margin-left:30.75pt;margin-top:3.15pt;width:670.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" filled="f" strokecolor="black [3213]" strokeweight="1pt">
                <v:stroke dashstyle="3 1"/>
                <v:textbox>
                  <w:txbxContent>
                    <w:p w:rsidR="00434D97" w:rsidRPr="00F67A1B" w:rsidRDefault="00434D97"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第９条　府は、新たに事業を実施しようとするときは、これに伴う財政リスク</w:t>
                      </w:r>
                      <w:r w:rsidR="00212769" w:rsidRPr="00F67A1B">
                        <w:rPr>
                          <w:rFonts w:ascii="Meiryo UI" w:eastAsia="Meiryo UI" w:hAnsi="Meiryo UI" w:cs="Meiryo UI" w:hint="eastAsia"/>
                          <w:color w:val="000000" w:themeColor="text1"/>
                          <w:sz w:val="20"/>
                        </w:rPr>
                        <w:t>（※）</w:t>
                      </w:r>
                      <w:r w:rsidRPr="00F67A1B">
                        <w:rPr>
                          <w:rFonts w:ascii="Meiryo UI" w:eastAsia="Meiryo UI" w:hAnsi="Meiryo UI" w:cs="Meiryo UI" w:hint="eastAsia"/>
                          <w:color w:val="000000" w:themeColor="text1"/>
                          <w:sz w:val="20"/>
                        </w:rPr>
                        <w:t>の把握に努めるとともに、予算編成の過程において、当該財政リスクの内容を明らかにするものとする。</w:t>
                      </w:r>
                    </w:p>
                    <w:p w:rsidR="00212769" w:rsidRPr="00F67A1B" w:rsidRDefault="00212769"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 xml:space="preserve">　　　※「財政運営に著しい影響を及ぼす危険又はその危険を有する事象」（第２条）</w:t>
                      </w:r>
                    </w:p>
                  </w:txbxContent>
                </v:textbox>
              </v:rect>
            </w:pict>
          </mc:Fallback>
        </mc:AlternateContent>
      </w:r>
    </w:p>
    <w:p w:rsidR="0019435A" w:rsidRPr="00306077" w:rsidRDefault="0019435A" w:rsidP="00E0671D">
      <w:pPr>
        <w:rPr>
          <w:rFonts w:ascii="Meiryo UI" w:eastAsia="Meiryo UI" w:hAnsi="Meiryo UI" w:cs="Meiryo UI"/>
          <w:sz w:val="16"/>
          <w:szCs w:val="16"/>
        </w:rPr>
      </w:pPr>
    </w:p>
    <w:p w:rsidR="00306077" w:rsidRPr="00306077" w:rsidRDefault="00306077" w:rsidP="00E0671D">
      <w:pPr>
        <w:rPr>
          <w:rFonts w:ascii="Meiryo UI" w:eastAsia="Meiryo UI" w:hAnsi="Meiryo UI" w:cs="Meiryo UI"/>
          <w:sz w:val="16"/>
          <w:szCs w:val="16"/>
        </w:rPr>
      </w:pPr>
    </w:p>
    <w:p w:rsidR="0057224A" w:rsidRPr="00F67A1B" w:rsidRDefault="00F67A1B">
      <w:pPr>
        <w:rPr>
          <w:rFonts w:ascii="Meiryo UI" w:eastAsia="Meiryo UI" w:hAnsi="Meiryo UI" w:cs="Meiryo UI"/>
          <w:sz w:val="32"/>
          <w:szCs w:val="36"/>
        </w:rPr>
      </w:pPr>
      <w:r w:rsidRPr="00F67A1B">
        <w:rPr>
          <w:rFonts w:ascii="Meiryo UI" w:eastAsia="Meiryo UI" w:hAnsi="Meiryo UI" w:cs="Meiryo UI" w:hint="eastAsia"/>
          <w:sz w:val="32"/>
          <w:szCs w:val="36"/>
        </w:rPr>
        <w:t>２</w:t>
      </w:r>
      <w:r w:rsidR="0057224A" w:rsidRPr="00F67A1B">
        <w:rPr>
          <w:rFonts w:ascii="Meiryo UI" w:eastAsia="Meiryo UI" w:hAnsi="Meiryo UI" w:cs="Meiryo UI" w:hint="eastAsia"/>
          <w:sz w:val="32"/>
          <w:szCs w:val="36"/>
        </w:rPr>
        <w:t xml:space="preserve">　損失補償・債務保証の点検</w:t>
      </w:r>
    </w:p>
    <w:p w:rsidR="0057224A" w:rsidRDefault="00434D97">
      <w:pPr>
        <w:rPr>
          <w:rFonts w:ascii="Meiryo UI" w:eastAsia="Meiryo UI" w:hAnsi="Meiryo UI" w:cs="Meiryo UI"/>
          <w:sz w:val="40"/>
        </w:rPr>
      </w:pPr>
      <w:r>
        <w:rPr>
          <w:rFonts w:ascii="Meiryo UI" w:eastAsia="Meiryo UI" w:hAnsi="Meiryo UI" w:cs="Meiryo UI" w:hint="eastAsia"/>
          <w:noProof/>
          <w:sz w:val="40"/>
        </w:rPr>
        <mc:AlternateContent>
          <mc:Choice Requires="wps">
            <w:drawing>
              <wp:anchor distT="0" distB="0" distL="114300" distR="114300" simplePos="0" relativeHeight="251664384" behindDoc="0" locked="0" layoutInCell="1" allowOverlap="1" wp14:anchorId="7F6C494B" wp14:editId="7844AC9B">
                <wp:simplePos x="0" y="0"/>
                <wp:positionH relativeFrom="column">
                  <wp:posOffset>390525</wp:posOffset>
                </wp:positionH>
                <wp:positionV relativeFrom="paragraph">
                  <wp:posOffset>69216</wp:posOffset>
                </wp:positionV>
                <wp:extent cx="8515350" cy="17335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8515350" cy="173355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434D97" w:rsidRPr="00F67A1B" w:rsidRDefault="00434D97" w:rsidP="00434D97">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（損失補償等の原則禁止）</w:t>
                            </w:r>
                          </w:p>
                          <w:p w:rsidR="00434D97" w:rsidRPr="00F67A1B" w:rsidRDefault="00434D97"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第１０条　府は、府以外の者の債務に関して、債権者その他の者に対し、あらかじめ損失補償の債務を負担しないものとする。ただし、債務を負担する必要性、当該府以外の者の財務状況及び損失補償に係る事業の採算性、補償する損失の範囲、補償の限度額の妥当性、損失の確定の時期、債務を負担する場合に財政運営に与える影響その他必要な事項に関し検討を行った結果、やむを得ない理由があると認められる場合に限り、これらの事項を明らかにした上で、債務を負担することができる。</w:t>
                            </w:r>
                          </w:p>
                          <w:p w:rsidR="00434D97" w:rsidRPr="00F67A1B" w:rsidRDefault="00434D97" w:rsidP="00434D97">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 xml:space="preserve">　　　※債務保証も同様の規定（第10条第3項）</w:t>
                            </w:r>
                          </w:p>
                          <w:p w:rsidR="00204107" w:rsidRPr="00F67A1B" w:rsidRDefault="00204107" w:rsidP="00434D97">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 xml:space="preserve">　　　※既往の損失補償・債務保証についても点検・公表（附則第４項）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C494B" id="正方形/長方形 4" o:spid="_x0000_s1028" style="position:absolute;left:0;text-align:left;margin-left:30.75pt;margin-top:5.45pt;width:670.5pt;height:1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" filled="f" strokecolor="black [3213]" strokeweight="1pt">
                <v:stroke dashstyle="3 1"/>
                <v:textbox>
                  <w:txbxContent>
                    <w:p w:rsidR="00434D97" w:rsidRPr="00F67A1B" w:rsidRDefault="00434D97" w:rsidP="00434D97">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（損失補償等の原則禁止）</w:t>
                      </w:r>
                    </w:p>
                    <w:p w:rsidR="00434D97" w:rsidRPr="00F67A1B" w:rsidRDefault="00434D97" w:rsidP="00F67A1B">
                      <w:pPr>
                        <w:ind w:left="270" w:hangingChars="135" w:hanging="270"/>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第１０条　府は、府以外の者の債務に関して、債権者その他の者に対し、あらかじめ損失補償の債務を負担しないものとする。ただし、債務を負担する必要性、当該府以外の者の財務状況及び損失補償に係る事業の採算性、補償する損失の範囲、補償の限度額の妥当性、損失の確定の時期、債務を負担する場合に財政運営に与える影響その他必要な事項に関し検討を行った結果、やむを得ない理由があると認められる場合に限り、これらの事項を明らかにした上で、債務を負担することができる。</w:t>
                      </w:r>
                    </w:p>
                    <w:p w:rsidR="00434D97" w:rsidRPr="00F67A1B" w:rsidRDefault="00434D97" w:rsidP="00434D97">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 xml:space="preserve">　　　※債務保証も同様の規定（第10条第3項）</w:t>
                      </w:r>
                    </w:p>
                    <w:p w:rsidR="00204107" w:rsidRPr="00F67A1B" w:rsidRDefault="00204107" w:rsidP="00434D97">
                      <w:pPr>
                        <w:jc w:val="left"/>
                        <w:rPr>
                          <w:rFonts w:ascii="Meiryo UI" w:eastAsia="Meiryo UI" w:hAnsi="Meiryo UI" w:cs="Meiryo UI"/>
                          <w:color w:val="000000" w:themeColor="text1"/>
                          <w:sz w:val="20"/>
                        </w:rPr>
                      </w:pPr>
                      <w:r w:rsidRPr="00F67A1B">
                        <w:rPr>
                          <w:rFonts w:ascii="Meiryo UI" w:eastAsia="Meiryo UI" w:hAnsi="Meiryo UI" w:cs="Meiryo UI" w:hint="eastAsia"/>
                          <w:color w:val="000000" w:themeColor="text1"/>
                          <w:sz w:val="20"/>
                        </w:rPr>
                        <w:t xml:space="preserve">　　　※既往の損失補償・債務保証についても点検・公表（附則第４項）</w:t>
                      </w:r>
                    </w:p>
                  </w:txbxContent>
                </v:textbox>
              </v:rect>
            </w:pict>
          </mc:Fallback>
        </mc:AlternateContent>
      </w:r>
    </w:p>
    <w:p w:rsidR="0057224A" w:rsidRDefault="0057224A">
      <w:pPr>
        <w:rPr>
          <w:rFonts w:ascii="Meiryo UI" w:eastAsia="Meiryo UI" w:hAnsi="Meiryo UI" w:cs="Meiryo UI"/>
          <w:sz w:val="40"/>
        </w:rPr>
      </w:pPr>
    </w:p>
    <w:p w:rsidR="0057224A" w:rsidRDefault="0057224A" w:rsidP="00391282">
      <w:pPr>
        <w:tabs>
          <w:tab w:val="left" w:pos="360"/>
        </w:tabs>
        <w:ind w:right="960"/>
        <w:rPr>
          <w:rFonts w:ascii="Meiryo UI" w:eastAsia="Meiryo UI" w:hAnsi="Meiryo UI" w:cs="Meiryo UI"/>
          <w:sz w:val="40"/>
        </w:rPr>
      </w:pPr>
    </w:p>
    <w:p w:rsidR="00391282" w:rsidRDefault="00391282" w:rsidP="00391282">
      <w:pPr>
        <w:tabs>
          <w:tab w:val="left" w:pos="360"/>
        </w:tabs>
        <w:ind w:right="960"/>
        <w:rPr>
          <w:rFonts w:ascii="Meiryo UI" w:eastAsia="Meiryo UI" w:hAnsi="Meiryo UI" w:cs="Meiryo UI"/>
          <w:sz w:val="40"/>
        </w:rPr>
      </w:pPr>
    </w:p>
    <w:p w:rsidR="00391282" w:rsidRPr="00212769" w:rsidRDefault="00391282" w:rsidP="00391282">
      <w:pPr>
        <w:tabs>
          <w:tab w:val="left" w:pos="360"/>
        </w:tabs>
        <w:ind w:right="960"/>
        <w:rPr>
          <w:rFonts w:ascii="Meiryo UI" w:eastAsia="Meiryo UI" w:hAnsi="Meiryo UI" w:cs="Meiryo UI"/>
          <w:sz w:val="28"/>
        </w:rPr>
      </w:pPr>
    </w:p>
    <w:sectPr w:rsidR="00391282" w:rsidRPr="00212769" w:rsidSect="00306077">
      <w:pgSz w:w="16838" w:h="11906" w:orient="landscape"/>
      <w:pgMar w:top="851" w:right="1440" w:bottom="233"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61A" w:rsidRDefault="0047061A" w:rsidP="0047061A">
      <w:r>
        <w:separator/>
      </w:r>
    </w:p>
  </w:endnote>
  <w:endnote w:type="continuationSeparator" w:id="0">
    <w:p w:rsidR="0047061A" w:rsidRDefault="0047061A" w:rsidP="0047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61A" w:rsidRDefault="0047061A" w:rsidP="0047061A">
      <w:r>
        <w:separator/>
      </w:r>
    </w:p>
  </w:footnote>
  <w:footnote w:type="continuationSeparator" w:id="0">
    <w:p w:rsidR="0047061A" w:rsidRDefault="0047061A" w:rsidP="00470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8EA"/>
    <w:rsid w:val="00062A15"/>
    <w:rsid w:val="00110A3D"/>
    <w:rsid w:val="001916CD"/>
    <w:rsid w:val="0019435A"/>
    <w:rsid w:val="00204107"/>
    <w:rsid w:val="00212769"/>
    <w:rsid w:val="00255CC4"/>
    <w:rsid w:val="00306077"/>
    <w:rsid w:val="00391282"/>
    <w:rsid w:val="00434D97"/>
    <w:rsid w:val="0047061A"/>
    <w:rsid w:val="0057224A"/>
    <w:rsid w:val="005853B5"/>
    <w:rsid w:val="005D3CC6"/>
    <w:rsid w:val="00600326"/>
    <w:rsid w:val="006F0C72"/>
    <w:rsid w:val="00731B3F"/>
    <w:rsid w:val="007F58D6"/>
    <w:rsid w:val="008D0EF9"/>
    <w:rsid w:val="00C701D6"/>
    <w:rsid w:val="00DA46F6"/>
    <w:rsid w:val="00E0671D"/>
    <w:rsid w:val="00EF4C5C"/>
    <w:rsid w:val="00F5042D"/>
    <w:rsid w:val="00F67A1B"/>
    <w:rsid w:val="00FD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923D5A4"/>
  <w15:docId w15:val="{050AD3B6-AC44-49D0-AF30-95DDA663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1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107"/>
    <w:rPr>
      <w:rFonts w:asciiTheme="majorHAnsi" w:eastAsiaTheme="majorEastAsia" w:hAnsiTheme="majorHAnsi" w:cstheme="majorBidi"/>
      <w:sz w:val="18"/>
      <w:szCs w:val="18"/>
    </w:rPr>
  </w:style>
  <w:style w:type="paragraph" w:styleId="Web">
    <w:name w:val="Normal (Web)"/>
    <w:basedOn w:val="a"/>
    <w:uiPriority w:val="99"/>
    <w:unhideWhenUsed/>
    <w:rsid w:val="00F504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7061A"/>
    <w:pPr>
      <w:tabs>
        <w:tab w:val="center" w:pos="4252"/>
        <w:tab w:val="right" w:pos="8504"/>
      </w:tabs>
      <w:snapToGrid w:val="0"/>
    </w:pPr>
  </w:style>
  <w:style w:type="character" w:customStyle="1" w:styleId="a6">
    <w:name w:val="ヘッダー (文字)"/>
    <w:basedOn w:val="a0"/>
    <w:link w:val="a5"/>
    <w:uiPriority w:val="99"/>
    <w:rsid w:val="0047061A"/>
  </w:style>
  <w:style w:type="paragraph" w:styleId="a7">
    <w:name w:val="footer"/>
    <w:basedOn w:val="a"/>
    <w:link w:val="a8"/>
    <w:uiPriority w:val="99"/>
    <w:unhideWhenUsed/>
    <w:rsid w:val="0047061A"/>
    <w:pPr>
      <w:tabs>
        <w:tab w:val="center" w:pos="4252"/>
        <w:tab w:val="right" w:pos="8504"/>
      </w:tabs>
      <w:snapToGrid w:val="0"/>
    </w:pPr>
  </w:style>
  <w:style w:type="character" w:customStyle="1" w:styleId="a8">
    <w:name w:val="フッター (文字)"/>
    <w:basedOn w:val="a0"/>
    <w:link w:val="a7"/>
    <w:uiPriority w:val="99"/>
    <w:rsid w:val="00470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杉山　伸孝</cp:lastModifiedBy>
  <cp:revision>8</cp:revision>
  <cp:lastPrinted>2018-02-13T10:04:00Z</cp:lastPrinted>
  <dcterms:created xsi:type="dcterms:W3CDTF">2018-01-30T11:14:00Z</dcterms:created>
  <dcterms:modified xsi:type="dcterms:W3CDTF">2022-02-10T12:13:00Z</dcterms:modified>
</cp:coreProperties>
</file>