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6E" w14:textId="77777777" w:rsidR="00DD3CF3" w:rsidRPr="001E1730" w:rsidRDefault="00DD3CF3" w:rsidP="00DD3CF3">
      <w:pPr>
        <w:jc w:val="center"/>
        <w:rPr>
          <w:rFonts w:ascii="ＭＳ ゴシック" w:eastAsia="ＭＳ ゴシック" w:hAnsi="ＭＳ ゴシック" w:hint="eastAsia"/>
          <w:sz w:val="24"/>
        </w:rPr>
      </w:pPr>
    </w:p>
    <w:tbl>
      <w:tblPr>
        <w:tblpPr w:leftFromText="142" w:rightFromText="142" w:vertAnchor="text" w:horzAnchor="margin" w:tblpY="984"/>
        <w:tblW w:w="9520" w:type="dxa"/>
        <w:tblLayout w:type="fixed"/>
        <w:tblCellMar>
          <w:left w:w="13" w:type="dxa"/>
          <w:right w:w="13" w:type="dxa"/>
        </w:tblCellMar>
        <w:tblLook w:val="0000" w:firstRow="0" w:lastRow="0" w:firstColumn="0" w:lastColumn="0" w:noHBand="0" w:noVBand="0"/>
      </w:tblPr>
      <w:tblGrid>
        <w:gridCol w:w="556"/>
        <w:gridCol w:w="4618"/>
        <w:gridCol w:w="4346"/>
      </w:tblGrid>
      <w:tr w:rsidR="004F2C3A" w14:paraId="6CE4424B" w14:textId="77777777" w:rsidTr="00950B83">
        <w:tblPrEx>
          <w:tblCellMar>
            <w:top w:w="0" w:type="dxa"/>
            <w:bottom w:w="0" w:type="dxa"/>
          </w:tblCellMar>
        </w:tblPrEx>
        <w:trPr>
          <w:trHeight w:hRule="exact" w:val="583"/>
        </w:trPr>
        <w:tc>
          <w:tcPr>
            <w:tcW w:w="556" w:type="dxa"/>
            <w:tcBorders>
              <w:top w:val="single" w:sz="4" w:space="0" w:color="000000"/>
              <w:left w:val="single" w:sz="4" w:space="0" w:color="000000"/>
              <w:bottom w:val="single" w:sz="4" w:space="0" w:color="000000"/>
              <w:right w:val="single" w:sz="4" w:space="0" w:color="000000"/>
            </w:tcBorders>
            <w:tcMar>
              <w:top w:w="11" w:type="dxa"/>
              <w:bottom w:w="11" w:type="dxa"/>
            </w:tcMar>
            <w:vAlign w:val="center"/>
          </w:tcPr>
          <w:p w14:paraId="0ABAE868" w14:textId="77777777" w:rsidR="004F2C3A" w:rsidRPr="00830759" w:rsidRDefault="004F2C3A" w:rsidP="00950B83">
            <w:pPr>
              <w:jc w:val="center"/>
              <w:rPr>
                <w:rFonts w:ascii="ＭＳ ゴシック" w:eastAsia="ＭＳ ゴシック" w:hAnsi="ＭＳ ゴシック" w:hint="eastAsia"/>
                <w:w w:val="80"/>
                <w:kern w:val="0"/>
                <w:szCs w:val="21"/>
              </w:rPr>
            </w:pPr>
            <w:r w:rsidRPr="00830759">
              <w:rPr>
                <w:rFonts w:ascii="ＭＳ ゴシック" w:eastAsia="ＭＳ ゴシック" w:hAnsi="ＭＳ ゴシック" w:hint="eastAsia"/>
                <w:kern w:val="0"/>
                <w:szCs w:val="21"/>
              </w:rPr>
              <w:t>発令</w:t>
            </w:r>
          </w:p>
          <w:p w14:paraId="3F729168" w14:textId="77777777" w:rsidR="004F2C3A" w:rsidRPr="00830759" w:rsidRDefault="004F2C3A" w:rsidP="00950B83">
            <w:pPr>
              <w:jc w:val="center"/>
              <w:rPr>
                <w:rFonts w:ascii="ＭＳ ゴシック" w:eastAsia="ＭＳ ゴシック" w:hAnsi="ＭＳ ゴシック"/>
                <w:sz w:val="22"/>
                <w:szCs w:val="22"/>
              </w:rPr>
            </w:pPr>
            <w:r w:rsidRPr="00830759">
              <w:rPr>
                <w:rFonts w:ascii="ＭＳ ゴシック" w:eastAsia="ＭＳ ゴシック" w:hAnsi="ＭＳ ゴシック" w:hint="eastAsia"/>
                <w:kern w:val="0"/>
                <w:sz w:val="22"/>
                <w:szCs w:val="22"/>
              </w:rPr>
              <w:t>区分</w:t>
            </w:r>
          </w:p>
        </w:tc>
        <w:tc>
          <w:tcPr>
            <w:tcW w:w="4618" w:type="dxa"/>
            <w:tcBorders>
              <w:top w:val="single" w:sz="4" w:space="0" w:color="000000"/>
              <w:left w:val="nil"/>
              <w:bottom w:val="single" w:sz="4" w:space="0" w:color="000000"/>
              <w:right w:val="single" w:sz="4" w:space="0" w:color="000000"/>
            </w:tcBorders>
            <w:tcMar>
              <w:top w:w="11" w:type="dxa"/>
              <w:bottom w:w="11" w:type="dxa"/>
            </w:tcMar>
            <w:vAlign w:val="center"/>
          </w:tcPr>
          <w:p w14:paraId="29412264" w14:textId="77777777" w:rsidR="004F2C3A" w:rsidRPr="00830759" w:rsidRDefault="004F2C3A" w:rsidP="00950B83">
            <w:pPr>
              <w:jc w:val="center"/>
              <w:rPr>
                <w:rFonts w:ascii="ＭＳ ゴシック" w:eastAsia="ＭＳ ゴシック" w:hAnsi="ＭＳ ゴシック"/>
                <w:sz w:val="22"/>
                <w:szCs w:val="22"/>
              </w:rPr>
            </w:pPr>
            <w:r w:rsidRPr="00E568D8">
              <w:rPr>
                <w:rFonts w:ascii="ＭＳ ゴシック" w:eastAsia="ＭＳ ゴシック" w:hAnsi="ＭＳ ゴシック" w:hint="eastAsia"/>
                <w:spacing w:val="278"/>
                <w:kern w:val="0"/>
                <w:sz w:val="22"/>
                <w:szCs w:val="22"/>
                <w:fitText w:val="2552" w:id="1683220736"/>
              </w:rPr>
              <w:t>発令基</w:t>
            </w:r>
            <w:r w:rsidRPr="00E568D8">
              <w:rPr>
                <w:rFonts w:ascii="ＭＳ ゴシック" w:eastAsia="ＭＳ ゴシック" w:hAnsi="ＭＳ ゴシック" w:hint="eastAsia"/>
                <w:spacing w:val="2"/>
                <w:kern w:val="0"/>
                <w:sz w:val="22"/>
                <w:szCs w:val="22"/>
                <w:fitText w:val="2552" w:id="1683220736"/>
              </w:rPr>
              <w:t>準</w:t>
            </w:r>
          </w:p>
        </w:tc>
        <w:tc>
          <w:tcPr>
            <w:tcW w:w="4346" w:type="dxa"/>
            <w:tcBorders>
              <w:top w:val="single" w:sz="4" w:space="0" w:color="000000"/>
              <w:left w:val="nil"/>
              <w:bottom w:val="single" w:sz="4" w:space="0" w:color="000000"/>
              <w:right w:val="single" w:sz="4" w:space="0" w:color="000000"/>
            </w:tcBorders>
            <w:tcMar>
              <w:top w:w="11" w:type="dxa"/>
              <w:bottom w:w="11" w:type="dxa"/>
            </w:tcMar>
            <w:vAlign w:val="center"/>
          </w:tcPr>
          <w:p w14:paraId="42D1277A" w14:textId="77777777" w:rsidR="004F2C3A" w:rsidRPr="00830759" w:rsidRDefault="004F2C3A" w:rsidP="00950B83">
            <w:pPr>
              <w:jc w:val="center"/>
              <w:rPr>
                <w:rFonts w:ascii="ＭＳ ゴシック" w:eastAsia="ＭＳ ゴシック" w:hAnsi="ＭＳ ゴシック"/>
                <w:sz w:val="22"/>
                <w:szCs w:val="22"/>
              </w:rPr>
            </w:pPr>
            <w:r w:rsidRPr="00B07771">
              <w:rPr>
                <w:rFonts w:ascii="ＭＳ ゴシック" w:eastAsia="ＭＳ ゴシック" w:hAnsi="ＭＳ ゴシック" w:hint="eastAsia"/>
                <w:spacing w:val="120"/>
                <w:kern w:val="0"/>
                <w:sz w:val="22"/>
                <w:szCs w:val="22"/>
                <w:fitText w:val="2552" w:id="1683220737"/>
              </w:rPr>
              <w:t>解除等の基</w:t>
            </w:r>
            <w:r w:rsidRPr="00B07771">
              <w:rPr>
                <w:rFonts w:ascii="ＭＳ ゴシック" w:eastAsia="ＭＳ ゴシック" w:hAnsi="ＭＳ ゴシック" w:hint="eastAsia"/>
                <w:spacing w:val="15"/>
                <w:kern w:val="0"/>
                <w:sz w:val="22"/>
                <w:szCs w:val="22"/>
                <w:fitText w:val="2552" w:id="1683220737"/>
              </w:rPr>
              <w:t>準</w:t>
            </w:r>
          </w:p>
        </w:tc>
      </w:tr>
      <w:tr w:rsidR="004F2C3A" w14:paraId="5EFFC217" w14:textId="77777777" w:rsidTr="00950B83">
        <w:tblPrEx>
          <w:tblCellMar>
            <w:top w:w="0" w:type="dxa"/>
            <w:bottom w:w="0" w:type="dxa"/>
          </w:tblCellMar>
        </w:tblPrEx>
        <w:trPr>
          <w:trHeight w:hRule="exact" w:val="1381"/>
        </w:trPr>
        <w:tc>
          <w:tcPr>
            <w:tcW w:w="556" w:type="dxa"/>
            <w:tcBorders>
              <w:top w:val="nil"/>
              <w:left w:val="single" w:sz="4" w:space="0" w:color="000000"/>
              <w:bottom w:val="single" w:sz="4" w:space="0" w:color="000000"/>
              <w:right w:val="single" w:sz="4" w:space="0" w:color="000000"/>
            </w:tcBorders>
            <w:tcMar>
              <w:top w:w="11" w:type="dxa"/>
              <w:bottom w:w="11" w:type="dxa"/>
            </w:tcMar>
            <w:vAlign w:val="center"/>
          </w:tcPr>
          <w:p w14:paraId="0BD02252"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予</w:t>
            </w:r>
          </w:p>
          <w:p w14:paraId="4AC16CFE" w14:textId="77777777" w:rsidR="004F2C3A" w:rsidRPr="00830759" w:rsidRDefault="004F2C3A" w:rsidP="00950B83">
            <w:pPr>
              <w:jc w:val="center"/>
              <w:rPr>
                <w:rFonts w:ascii="ＭＳ ゴシック" w:eastAsia="ＭＳ ゴシック" w:hAnsi="ＭＳ ゴシック" w:hint="eastAsia"/>
                <w:sz w:val="22"/>
                <w:szCs w:val="22"/>
              </w:rPr>
            </w:pPr>
          </w:p>
          <w:p w14:paraId="797F37DE" w14:textId="77777777" w:rsidR="004F2C3A" w:rsidRPr="00830759" w:rsidRDefault="004F2C3A" w:rsidP="00950B83">
            <w:pPr>
              <w:jc w:val="center"/>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報</w:t>
            </w:r>
          </w:p>
        </w:tc>
        <w:tc>
          <w:tcPr>
            <w:tcW w:w="4618" w:type="dxa"/>
            <w:tcBorders>
              <w:top w:val="nil"/>
              <w:left w:val="nil"/>
              <w:bottom w:val="single" w:sz="4" w:space="0" w:color="000000"/>
              <w:right w:val="single" w:sz="4" w:space="0" w:color="000000"/>
            </w:tcBorders>
            <w:tcMar>
              <w:top w:w="11" w:type="dxa"/>
              <w:bottom w:w="11" w:type="dxa"/>
            </w:tcMar>
          </w:tcPr>
          <w:p w14:paraId="208F398F"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当該地域の測定点のうち１点以上のオキシダント濃度が0.08ppm以上である大気の汚染の状態になった場合で、かつ、気象条件からみて注意報の発令に至ると認めるとき。</w:t>
            </w:r>
          </w:p>
        </w:tc>
        <w:tc>
          <w:tcPr>
            <w:tcW w:w="4346" w:type="dxa"/>
            <w:tcBorders>
              <w:top w:val="nil"/>
              <w:left w:val="nil"/>
              <w:bottom w:val="single" w:sz="4" w:space="0" w:color="000000"/>
              <w:right w:val="single" w:sz="4" w:space="0" w:color="000000"/>
            </w:tcBorders>
            <w:tcMar>
              <w:top w:w="11" w:type="dxa"/>
              <w:bottom w:w="11" w:type="dxa"/>
            </w:tcMar>
          </w:tcPr>
          <w:p w14:paraId="319FEACF" w14:textId="77777777" w:rsidR="004F2C3A" w:rsidRPr="00830759" w:rsidRDefault="004F2C3A" w:rsidP="00950B83">
            <w:pPr>
              <w:ind w:left="124" w:rightChars="61" w:right="128"/>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大気の汚染の状態が回復したとき、又は気象条件からみて当該大気の汚染の状態が回復すると認めるとき。</w:t>
            </w:r>
          </w:p>
        </w:tc>
      </w:tr>
      <w:tr w:rsidR="004F2C3A" w14:paraId="2B60226F" w14:textId="77777777" w:rsidTr="00950B83">
        <w:tblPrEx>
          <w:tblCellMar>
            <w:top w:w="0" w:type="dxa"/>
            <w:bottom w:w="0" w:type="dxa"/>
          </w:tblCellMar>
        </w:tblPrEx>
        <w:trPr>
          <w:trHeight w:hRule="exact" w:val="1387"/>
        </w:trPr>
        <w:tc>
          <w:tcPr>
            <w:tcW w:w="556" w:type="dxa"/>
            <w:tcBorders>
              <w:top w:val="nil"/>
              <w:left w:val="single" w:sz="4" w:space="0" w:color="000000"/>
              <w:bottom w:val="single" w:sz="4" w:space="0" w:color="000000"/>
              <w:right w:val="single" w:sz="4" w:space="0" w:color="000000"/>
            </w:tcBorders>
            <w:tcMar>
              <w:top w:w="11" w:type="dxa"/>
              <w:bottom w:w="11" w:type="dxa"/>
            </w:tcMar>
            <w:vAlign w:val="center"/>
          </w:tcPr>
          <w:p w14:paraId="14C5E3B8"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注</w:t>
            </w:r>
          </w:p>
          <w:p w14:paraId="06BDCAE3"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意</w:t>
            </w:r>
          </w:p>
          <w:p w14:paraId="3A1D0D0E" w14:textId="77777777" w:rsidR="004F2C3A" w:rsidRPr="00830759" w:rsidRDefault="004F2C3A" w:rsidP="00950B83">
            <w:pPr>
              <w:jc w:val="center"/>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報</w:t>
            </w:r>
          </w:p>
        </w:tc>
        <w:tc>
          <w:tcPr>
            <w:tcW w:w="4618" w:type="dxa"/>
            <w:tcBorders>
              <w:top w:val="nil"/>
              <w:left w:val="nil"/>
              <w:bottom w:val="single" w:sz="4" w:space="0" w:color="000000"/>
              <w:right w:val="single" w:sz="4" w:space="0" w:color="000000"/>
            </w:tcBorders>
            <w:tcMar>
              <w:top w:w="11" w:type="dxa"/>
              <w:bottom w:w="11" w:type="dxa"/>
            </w:tcMar>
          </w:tcPr>
          <w:p w14:paraId="078A9A78"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当該地域の測定点のうち１点以上のオキシダント濃度が0.12ppm以上である大気の汚染の状態になった場合で、かつ、気象条件からみて当該大気の汚染の状態が継続すると認めるとき。</w:t>
            </w:r>
          </w:p>
        </w:tc>
        <w:tc>
          <w:tcPr>
            <w:tcW w:w="4346" w:type="dxa"/>
            <w:tcBorders>
              <w:top w:val="nil"/>
              <w:left w:val="nil"/>
              <w:bottom w:val="single" w:sz="4" w:space="0" w:color="000000"/>
              <w:right w:val="single" w:sz="4" w:space="0" w:color="000000"/>
            </w:tcBorders>
            <w:tcMar>
              <w:top w:w="11" w:type="dxa"/>
              <w:bottom w:w="11" w:type="dxa"/>
            </w:tcMar>
          </w:tcPr>
          <w:p w14:paraId="6B54B2E6"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大気の汚染の状態が回復したとき、又は気象条件からみて当該大気の汚染の状態が回復すると認めるとき。なお、この解除は予報の解除を含むものとする。</w:t>
            </w:r>
          </w:p>
        </w:tc>
      </w:tr>
      <w:tr w:rsidR="004F2C3A" w14:paraId="7928B594" w14:textId="77777777" w:rsidTr="00950B83">
        <w:tblPrEx>
          <w:tblCellMar>
            <w:top w:w="0" w:type="dxa"/>
            <w:bottom w:w="0" w:type="dxa"/>
          </w:tblCellMar>
        </w:tblPrEx>
        <w:trPr>
          <w:trHeight w:hRule="exact" w:val="1392"/>
        </w:trPr>
        <w:tc>
          <w:tcPr>
            <w:tcW w:w="556" w:type="dxa"/>
            <w:tcBorders>
              <w:top w:val="nil"/>
              <w:left w:val="single" w:sz="4" w:space="0" w:color="000000"/>
              <w:bottom w:val="single" w:sz="4" w:space="0" w:color="000000"/>
              <w:right w:val="single" w:sz="4" w:space="0" w:color="000000"/>
            </w:tcBorders>
            <w:tcMar>
              <w:top w:w="11" w:type="dxa"/>
              <w:bottom w:w="11" w:type="dxa"/>
            </w:tcMar>
            <w:vAlign w:val="center"/>
          </w:tcPr>
          <w:p w14:paraId="2215BFFD"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警</w:t>
            </w:r>
          </w:p>
          <w:p w14:paraId="37730136" w14:textId="77777777" w:rsidR="004F2C3A" w:rsidRPr="00830759" w:rsidRDefault="004F2C3A" w:rsidP="00950B83">
            <w:pPr>
              <w:jc w:val="center"/>
              <w:rPr>
                <w:rFonts w:ascii="ＭＳ ゴシック" w:eastAsia="ＭＳ ゴシック" w:hAnsi="ＭＳ ゴシック" w:hint="eastAsia"/>
                <w:sz w:val="22"/>
                <w:szCs w:val="22"/>
              </w:rPr>
            </w:pPr>
          </w:p>
          <w:p w14:paraId="52024637" w14:textId="77777777" w:rsidR="004F2C3A" w:rsidRPr="00830759" w:rsidRDefault="004F2C3A" w:rsidP="00950B83">
            <w:pPr>
              <w:jc w:val="center"/>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報</w:t>
            </w:r>
          </w:p>
        </w:tc>
        <w:tc>
          <w:tcPr>
            <w:tcW w:w="4618" w:type="dxa"/>
            <w:tcBorders>
              <w:top w:val="nil"/>
              <w:left w:val="nil"/>
              <w:bottom w:val="single" w:sz="4" w:space="0" w:color="000000"/>
              <w:right w:val="single" w:sz="4" w:space="0" w:color="000000"/>
            </w:tcBorders>
            <w:tcMar>
              <w:top w:w="11" w:type="dxa"/>
              <w:bottom w:w="11" w:type="dxa"/>
            </w:tcMar>
          </w:tcPr>
          <w:p w14:paraId="3C4C7E67"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当該地域の測定点のうち１点以上のオキシダント濃度が0.24ppm以上である大気の汚染の状態になった場合で、かつ、気象条件からみて当該大気の汚染の状態が継続すると認めるとき。</w:t>
            </w:r>
          </w:p>
        </w:tc>
        <w:tc>
          <w:tcPr>
            <w:tcW w:w="4346" w:type="dxa"/>
            <w:tcBorders>
              <w:top w:val="nil"/>
              <w:left w:val="nil"/>
              <w:bottom w:val="single" w:sz="4" w:space="0" w:color="000000"/>
              <w:right w:val="single" w:sz="4" w:space="0" w:color="000000"/>
            </w:tcBorders>
            <w:tcMar>
              <w:top w:w="11" w:type="dxa"/>
              <w:bottom w:w="11" w:type="dxa"/>
            </w:tcMar>
          </w:tcPr>
          <w:p w14:paraId="5D9A07C3"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大気の汚染の状態が回復したとき、又は気象条件からみて当該大気の汚染の状態が回復すると認めるとき。</w:t>
            </w:r>
          </w:p>
        </w:tc>
      </w:tr>
      <w:tr w:rsidR="004F2C3A" w14:paraId="2A620562" w14:textId="77777777" w:rsidTr="00950B83">
        <w:tblPrEx>
          <w:tblCellMar>
            <w:top w:w="0" w:type="dxa"/>
            <w:bottom w:w="0" w:type="dxa"/>
          </w:tblCellMar>
        </w:tblPrEx>
        <w:trPr>
          <w:trHeight w:hRule="exact" w:val="1946"/>
        </w:trPr>
        <w:tc>
          <w:tcPr>
            <w:tcW w:w="556" w:type="dxa"/>
            <w:tcBorders>
              <w:top w:val="nil"/>
              <w:left w:val="single" w:sz="4" w:space="0" w:color="000000"/>
              <w:bottom w:val="single" w:sz="4" w:space="0" w:color="000000"/>
              <w:right w:val="single" w:sz="4" w:space="0" w:color="000000"/>
            </w:tcBorders>
            <w:tcMar>
              <w:top w:w="11" w:type="dxa"/>
              <w:bottom w:w="11" w:type="dxa"/>
            </w:tcMar>
            <w:vAlign w:val="center"/>
          </w:tcPr>
          <w:p w14:paraId="29CAE4A1"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重</w:t>
            </w:r>
          </w:p>
          <w:p w14:paraId="67B1C3AF"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大</w:t>
            </w:r>
          </w:p>
          <w:p w14:paraId="29AD108E"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緊</w:t>
            </w:r>
          </w:p>
          <w:p w14:paraId="6F60D45A"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急</w:t>
            </w:r>
          </w:p>
          <w:p w14:paraId="70BF6672" w14:textId="77777777" w:rsidR="004F2C3A" w:rsidRPr="00830759" w:rsidRDefault="004F2C3A" w:rsidP="00950B83">
            <w:pPr>
              <w:jc w:val="center"/>
              <w:rPr>
                <w:rFonts w:ascii="ＭＳ ゴシック" w:eastAsia="ＭＳ ゴシック" w:hAnsi="ＭＳ ゴシック" w:hint="eastAsia"/>
                <w:sz w:val="22"/>
                <w:szCs w:val="22"/>
              </w:rPr>
            </w:pPr>
            <w:r w:rsidRPr="00830759">
              <w:rPr>
                <w:rFonts w:ascii="ＭＳ ゴシック" w:eastAsia="ＭＳ ゴシック" w:hAnsi="ＭＳ ゴシック" w:hint="eastAsia"/>
                <w:sz w:val="22"/>
                <w:szCs w:val="22"/>
              </w:rPr>
              <w:t>警</w:t>
            </w:r>
          </w:p>
          <w:p w14:paraId="79CA1706" w14:textId="77777777" w:rsidR="004F2C3A" w:rsidRPr="00830759" w:rsidRDefault="004F2C3A" w:rsidP="00950B83">
            <w:pPr>
              <w:jc w:val="center"/>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報</w:t>
            </w:r>
          </w:p>
        </w:tc>
        <w:tc>
          <w:tcPr>
            <w:tcW w:w="4618" w:type="dxa"/>
            <w:tcBorders>
              <w:top w:val="nil"/>
              <w:left w:val="nil"/>
              <w:bottom w:val="single" w:sz="4" w:space="0" w:color="000000"/>
              <w:right w:val="single" w:sz="4" w:space="0" w:color="000000"/>
            </w:tcBorders>
            <w:tcMar>
              <w:top w:w="11" w:type="dxa"/>
              <w:bottom w:w="11" w:type="dxa"/>
            </w:tcMar>
          </w:tcPr>
          <w:p w14:paraId="58E24BDF"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当該地域の測定点のうち１点以上のオキシダント濃度が0.40ppm以上である大気の汚染の状態になった場合で、かつ、気象条件からみて当該大気の汚染の状態が継続すると認めるとき。</w:t>
            </w:r>
          </w:p>
        </w:tc>
        <w:tc>
          <w:tcPr>
            <w:tcW w:w="4346" w:type="dxa"/>
            <w:tcBorders>
              <w:top w:val="nil"/>
              <w:left w:val="nil"/>
              <w:bottom w:val="single" w:sz="4" w:space="0" w:color="000000"/>
              <w:right w:val="single" w:sz="4" w:space="0" w:color="000000"/>
            </w:tcBorders>
            <w:tcMar>
              <w:top w:w="11" w:type="dxa"/>
              <w:bottom w:w="11" w:type="dxa"/>
            </w:tcMar>
          </w:tcPr>
          <w:p w14:paraId="7C858C3D" w14:textId="77777777" w:rsidR="004F2C3A" w:rsidRPr="00830759" w:rsidRDefault="004F2C3A" w:rsidP="00950B83">
            <w:pPr>
              <w:ind w:left="124" w:rightChars="61" w:right="128"/>
              <w:rPr>
                <w:rFonts w:ascii="ＭＳ ゴシック" w:eastAsia="ＭＳ ゴシック" w:hAnsi="ＭＳ ゴシック"/>
                <w:sz w:val="22"/>
                <w:szCs w:val="22"/>
              </w:rPr>
            </w:pPr>
            <w:r w:rsidRPr="00830759">
              <w:rPr>
                <w:rFonts w:ascii="ＭＳ ゴシック" w:eastAsia="ＭＳ ゴシック" w:hAnsi="ＭＳ ゴシック" w:hint="eastAsia"/>
                <w:sz w:val="22"/>
                <w:szCs w:val="22"/>
              </w:rPr>
              <w:t>大気の汚染の状態が回復したとき、又は気象条件からみて当該大気の汚染の状態が回復すると認めるとき。</w:t>
            </w:r>
          </w:p>
        </w:tc>
      </w:tr>
    </w:tbl>
    <w:p w14:paraId="0D7558F2" w14:textId="77777777" w:rsidR="00950B83" w:rsidRPr="001E1730" w:rsidRDefault="00950B83" w:rsidP="00950B83">
      <w:pPr>
        <w:jc w:val="center"/>
        <w:rPr>
          <w:rFonts w:ascii="ＭＳ 明朝" w:hAnsi="ＭＳ 明朝" w:hint="eastAsia"/>
          <w:b/>
          <w:sz w:val="24"/>
        </w:rPr>
      </w:pPr>
      <w:r w:rsidRPr="001E1730">
        <w:rPr>
          <w:rFonts w:ascii="ＭＳ 明朝" w:hAnsi="ＭＳ 明朝" w:hint="eastAsia"/>
          <w:b/>
          <w:sz w:val="24"/>
        </w:rPr>
        <w:t>オキシダント緊急時等発令基準</w:t>
      </w:r>
    </w:p>
    <w:p w14:paraId="69E1F54F" w14:textId="77777777" w:rsidR="009F3D42" w:rsidRDefault="009F3D42" w:rsidP="00CB5CAD">
      <w:pPr>
        <w:rPr>
          <w:rFonts w:ascii="ＭＳ ゴシック" w:eastAsia="ＭＳ ゴシック" w:hAnsi="ＭＳ ゴシック" w:hint="eastAsia"/>
          <w:sz w:val="24"/>
        </w:rPr>
      </w:pPr>
    </w:p>
    <w:sectPr w:rsidR="009F3D42" w:rsidSect="00306ECF">
      <w:pgSz w:w="11906" w:h="16838" w:code="9"/>
      <w:pgMar w:top="907" w:right="1304"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AA57" w14:textId="77777777" w:rsidR="008E79D3" w:rsidRDefault="008E79D3" w:rsidP="00DD3CF3">
      <w:r>
        <w:separator/>
      </w:r>
    </w:p>
  </w:endnote>
  <w:endnote w:type="continuationSeparator" w:id="0">
    <w:p w14:paraId="7EBBF451" w14:textId="77777777" w:rsidR="008E79D3" w:rsidRDefault="008E79D3" w:rsidP="00D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B6C9" w14:textId="77777777" w:rsidR="008E79D3" w:rsidRDefault="008E79D3" w:rsidP="00DD3CF3">
      <w:r>
        <w:separator/>
      </w:r>
    </w:p>
  </w:footnote>
  <w:footnote w:type="continuationSeparator" w:id="0">
    <w:p w14:paraId="6E95C892" w14:textId="77777777" w:rsidR="008E79D3" w:rsidRDefault="008E79D3" w:rsidP="00DD3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558D"/>
    <w:rsid w:val="000342D6"/>
    <w:rsid w:val="000403ED"/>
    <w:rsid w:val="000625C0"/>
    <w:rsid w:val="0009667B"/>
    <w:rsid w:val="000D1FCD"/>
    <w:rsid w:val="000E6630"/>
    <w:rsid w:val="00136507"/>
    <w:rsid w:val="00154BCF"/>
    <w:rsid w:val="00170F90"/>
    <w:rsid w:val="00175CB1"/>
    <w:rsid w:val="00183BAC"/>
    <w:rsid w:val="001854FD"/>
    <w:rsid w:val="0019162C"/>
    <w:rsid w:val="001A23D0"/>
    <w:rsid w:val="001A57E7"/>
    <w:rsid w:val="001A5DB0"/>
    <w:rsid w:val="001C2A12"/>
    <w:rsid w:val="001C3177"/>
    <w:rsid w:val="001E1730"/>
    <w:rsid w:val="00207F40"/>
    <w:rsid w:val="002200BA"/>
    <w:rsid w:val="002548F7"/>
    <w:rsid w:val="00256C06"/>
    <w:rsid w:val="002702FF"/>
    <w:rsid w:val="002A6F82"/>
    <w:rsid w:val="002B1E31"/>
    <w:rsid w:val="002B5760"/>
    <w:rsid w:val="002D1FFB"/>
    <w:rsid w:val="002E3A35"/>
    <w:rsid w:val="00306ECF"/>
    <w:rsid w:val="00331831"/>
    <w:rsid w:val="0033558D"/>
    <w:rsid w:val="00335F3A"/>
    <w:rsid w:val="00347457"/>
    <w:rsid w:val="003501DA"/>
    <w:rsid w:val="0035178E"/>
    <w:rsid w:val="003579AC"/>
    <w:rsid w:val="00373B67"/>
    <w:rsid w:val="00376190"/>
    <w:rsid w:val="00383459"/>
    <w:rsid w:val="003967CE"/>
    <w:rsid w:val="003A6430"/>
    <w:rsid w:val="003B1B97"/>
    <w:rsid w:val="003C0641"/>
    <w:rsid w:val="003D1EBC"/>
    <w:rsid w:val="003E6E5D"/>
    <w:rsid w:val="003F0625"/>
    <w:rsid w:val="00402068"/>
    <w:rsid w:val="00402870"/>
    <w:rsid w:val="0041295B"/>
    <w:rsid w:val="00432167"/>
    <w:rsid w:val="00495754"/>
    <w:rsid w:val="004A2B6C"/>
    <w:rsid w:val="004C50DF"/>
    <w:rsid w:val="004D2DA0"/>
    <w:rsid w:val="004D40C3"/>
    <w:rsid w:val="004D50CF"/>
    <w:rsid w:val="004F2C3A"/>
    <w:rsid w:val="005068CD"/>
    <w:rsid w:val="005130C4"/>
    <w:rsid w:val="0051424F"/>
    <w:rsid w:val="00581818"/>
    <w:rsid w:val="00582A25"/>
    <w:rsid w:val="005A4CCA"/>
    <w:rsid w:val="005F21E3"/>
    <w:rsid w:val="00606341"/>
    <w:rsid w:val="0060719F"/>
    <w:rsid w:val="006471A4"/>
    <w:rsid w:val="006963F7"/>
    <w:rsid w:val="006A22E5"/>
    <w:rsid w:val="006C3BF9"/>
    <w:rsid w:val="006D363A"/>
    <w:rsid w:val="006F67FA"/>
    <w:rsid w:val="007016D1"/>
    <w:rsid w:val="0071215A"/>
    <w:rsid w:val="007409EA"/>
    <w:rsid w:val="00773B6D"/>
    <w:rsid w:val="00797653"/>
    <w:rsid w:val="007A510F"/>
    <w:rsid w:val="007E1609"/>
    <w:rsid w:val="00813FFD"/>
    <w:rsid w:val="00830759"/>
    <w:rsid w:val="00834DD6"/>
    <w:rsid w:val="00886095"/>
    <w:rsid w:val="008A63CC"/>
    <w:rsid w:val="008D15A7"/>
    <w:rsid w:val="008E2593"/>
    <w:rsid w:val="008E79D3"/>
    <w:rsid w:val="008F6961"/>
    <w:rsid w:val="009200E9"/>
    <w:rsid w:val="0092654A"/>
    <w:rsid w:val="009400C8"/>
    <w:rsid w:val="00945183"/>
    <w:rsid w:val="00950B83"/>
    <w:rsid w:val="00972271"/>
    <w:rsid w:val="009D6D04"/>
    <w:rsid w:val="009E7739"/>
    <w:rsid w:val="009F3D42"/>
    <w:rsid w:val="009F46C1"/>
    <w:rsid w:val="00A0291A"/>
    <w:rsid w:val="00A112F5"/>
    <w:rsid w:val="00A15A12"/>
    <w:rsid w:val="00A73DE9"/>
    <w:rsid w:val="00A81E1B"/>
    <w:rsid w:val="00A9744C"/>
    <w:rsid w:val="00AB2E9E"/>
    <w:rsid w:val="00AB4346"/>
    <w:rsid w:val="00AD76E5"/>
    <w:rsid w:val="00AE580E"/>
    <w:rsid w:val="00AE5A74"/>
    <w:rsid w:val="00B03EAE"/>
    <w:rsid w:val="00B07771"/>
    <w:rsid w:val="00B562AB"/>
    <w:rsid w:val="00B95DD8"/>
    <w:rsid w:val="00BD4D5D"/>
    <w:rsid w:val="00BE5C1D"/>
    <w:rsid w:val="00BF3380"/>
    <w:rsid w:val="00BF503C"/>
    <w:rsid w:val="00C55AC5"/>
    <w:rsid w:val="00C8488E"/>
    <w:rsid w:val="00C922E1"/>
    <w:rsid w:val="00CB22CE"/>
    <w:rsid w:val="00CB5CAD"/>
    <w:rsid w:val="00CB7AA3"/>
    <w:rsid w:val="00CD0A38"/>
    <w:rsid w:val="00CD5C2E"/>
    <w:rsid w:val="00CE16B1"/>
    <w:rsid w:val="00CF57B2"/>
    <w:rsid w:val="00D00F9A"/>
    <w:rsid w:val="00D0680A"/>
    <w:rsid w:val="00D431FD"/>
    <w:rsid w:val="00D80C8F"/>
    <w:rsid w:val="00D81348"/>
    <w:rsid w:val="00DB21B6"/>
    <w:rsid w:val="00DB4DB3"/>
    <w:rsid w:val="00DC153F"/>
    <w:rsid w:val="00DD3CF3"/>
    <w:rsid w:val="00DD6D90"/>
    <w:rsid w:val="00E3537A"/>
    <w:rsid w:val="00E35563"/>
    <w:rsid w:val="00E568D8"/>
    <w:rsid w:val="00E57D6A"/>
    <w:rsid w:val="00E72133"/>
    <w:rsid w:val="00EA5B70"/>
    <w:rsid w:val="00EA6565"/>
    <w:rsid w:val="00EE41F8"/>
    <w:rsid w:val="00EF7794"/>
    <w:rsid w:val="00F05DDC"/>
    <w:rsid w:val="00F074A7"/>
    <w:rsid w:val="00F2768E"/>
    <w:rsid w:val="00F445F6"/>
    <w:rsid w:val="00F54E9D"/>
    <w:rsid w:val="00F5637B"/>
    <w:rsid w:val="00F75A7A"/>
    <w:rsid w:val="00F86E74"/>
    <w:rsid w:val="00F87C75"/>
    <w:rsid w:val="00F94619"/>
    <w:rsid w:val="00FD0722"/>
    <w:rsid w:val="00FD1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E2AA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78" w:lineRule="exact"/>
      <w:jc w:val="both"/>
    </w:pPr>
    <w:rPr>
      <w:rFonts w:ascii="ＭＳ 明朝" w:hAnsi="ＭＳ 明朝" w:cs="ＭＳ 明朝"/>
      <w:sz w:val="21"/>
      <w:szCs w:val="21"/>
    </w:rPr>
  </w:style>
  <w:style w:type="paragraph" w:styleId="a4">
    <w:name w:val="Balloon Text"/>
    <w:basedOn w:val="a"/>
    <w:link w:val="a5"/>
    <w:rsid w:val="0071215A"/>
    <w:rPr>
      <w:rFonts w:ascii="Arial" w:eastAsia="ＭＳ ゴシック" w:hAnsi="Arial"/>
      <w:sz w:val="18"/>
      <w:szCs w:val="18"/>
    </w:rPr>
  </w:style>
  <w:style w:type="character" w:customStyle="1" w:styleId="a5">
    <w:name w:val="吹き出し (文字)"/>
    <w:link w:val="a4"/>
    <w:rsid w:val="0071215A"/>
    <w:rPr>
      <w:rFonts w:ascii="Arial" w:eastAsia="ＭＳ ゴシック" w:hAnsi="Arial" w:cs="Times New Roman"/>
      <w:kern w:val="2"/>
      <w:sz w:val="18"/>
      <w:szCs w:val="18"/>
    </w:rPr>
  </w:style>
  <w:style w:type="paragraph" w:styleId="a6">
    <w:name w:val="header"/>
    <w:basedOn w:val="a"/>
    <w:link w:val="a7"/>
    <w:rsid w:val="00DD3CF3"/>
    <w:pPr>
      <w:tabs>
        <w:tab w:val="center" w:pos="4252"/>
        <w:tab w:val="right" w:pos="8504"/>
      </w:tabs>
      <w:snapToGrid w:val="0"/>
    </w:pPr>
  </w:style>
  <w:style w:type="character" w:customStyle="1" w:styleId="a7">
    <w:name w:val="ヘッダー (文字)"/>
    <w:link w:val="a6"/>
    <w:rsid w:val="00DD3CF3"/>
    <w:rPr>
      <w:kern w:val="2"/>
      <w:sz w:val="21"/>
      <w:szCs w:val="24"/>
    </w:rPr>
  </w:style>
  <w:style w:type="paragraph" w:styleId="a8">
    <w:name w:val="footer"/>
    <w:basedOn w:val="a"/>
    <w:link w:val="a9"/>
    <w:rsid w:val="00DD3CF3"/>
    <w:pPr>
      <w:tabs>
        <w:tab w:val="center" w:pos="4252"/>
        <w:tab w:val="right" w:pos="8504"/>
      </w:tabs>
      <w:snapToGrid w:val="0"/>
    </w:pPr>
  </w:style>
  <w:style w:type="character" w:customStyle="1" w:styleId="a9">
    <w:name w:val="フッター (文字)"/>
    <w:link w:val="a8"/>
    <w:rsid w:val="00DD3CF3"/>
    <w:rPr>
      <w:kern w:val="2"/>
      <w:sz w:val="21"/>
      <w:szCs w:val="24"/>
    </w:rPr>
  </w:style>
  <w:style w:type="table" w:styleId="aa">
    <w:name w:val="Table Grid"/>
    <w:basedOn w:val="a1"/>
    <w:rsid w:val="0092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471A4"/>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677758">
      <w:bodyDiv w:val="1"/>
      <w:marLeft w:val="0"/>
      <w:marRight w:val="0"/>
      <w:marTop w:val="0"/>
      <w:marBottom w:val="0"/>
      <w:divBdr>
        <w:top w:val="none" w:sz="0" w:space="0" w:color="auto"/>
        <w:left w:val="none" w:sz="0" w:space="0" w:color="auto"/>
        <w:bottom w:val="none" w:sz="0" w:space="0" w:color="auto"/>
        <w:right w:val="none" w:sz="0" w:space="0" w:color="auto"/>
      </w:divBdr>
    </w:div>
    <w:div w:id="16478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FA8E-7FE6-40B7-8DE3-48C3B34B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2025-04-14T08:20:00Z</dcterms:created>
  <dcterms:modified xsi:type="dcterms:W3CDTF">2025-04-14T08:20:00Z</dcterms:modified>
</cp:coreProperties>
</file>