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EAAAD" w14:textId="77777777" w:rsidR="00A60B56" w:rsidRDefault="00F37129" w:rsidP="00A60B56">
      <w:pPr>
        <w:spacing w:line="360" w:lineRule="exact"/>
        <w:ind w:leftChars="100" w:left="210" w:firstLineChars="100" w:firstLine="240"/>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助成対象経費</w:t>
      </w:r>
    </w:p>
    <w:p w14:paraId="67ADF991" w14:textId="42974E2B" w:rsidR="00A60B56" w:rsidRPr="004125A9" w:rsidRDefault="00A60B56" w:rsidP="00A60B56">
      <w:pPr>
        <w:spacing w:line="360" w:lineRule="exact"/>
        <w:ind w:leftChars="100" w:left="210" w:firstLineChars="100" w:firstLine="220"/>
        <w:jc w:val="left"/>
        <w:rPr>
          <w:rFonts w:ascii="UD デジタル 教科書体 NK-R" w:eastAsia="UD デジタル 教科書体 NK-R" w:hAnsi="ＭＳ ゴシック"/>
          <w:kern w:val="0"/>
          <w:sz w:val="22"/>
          <w:szCs w:val="24"/>
        </w:rPr>
      </w:pPr>
      <w:r w:rsidRPr="004125A9">
        <w:rPr>
          <w:rFonts w:ascii="UD デジタル 教科書体 NK-R" w:eastAsia="UD デジタル 教科書体 NK-R" w:hAnsi="ＭＳ ゴシック" w:hint="eastAsia"/>
          <w:kern w:val="0"/>
          <w:sz w:val="22"/>
          <w:szCs w:val="24"/>
        </w:rPr>
        <w:t>研究開発・試作等に要する経費であって、下表に該当するもの</w:t>
      </w:r>
      <w:r>
        <w:rPr>
          <w:rFonts w:ascii="UD デジタル 教科書体 NK-R" w:eastAsia="UD デジタル 教科書体 NK-R" w:hAnsi="ＭＳ ゴシック" w:hint="eastAsia"/>
          <w:kern w:val="0"/>
          <w:sz w:val="22"/>
          <w:szCs w:val="24"/>
        </w:rPr>
        <w:t>が対象です</w:t>
      </w:r>
      <w:r w:rsidRPr="004125A9">
        <w:rPr>
          <w:rFonts w:ascii="UD デジタル 教科書体 NK-R" w:eastAsia="UD デジタル 教科書体 NK-R" w:hAnsi="ＭＳ ゴシック" w:hint="eastAsia"/>
          <w:kern w:val="0"/>
          <w:sz w:val="22"/>
          <w:szCs w:val="24"/>
        </w:rPr>
        <w:t>。なお、消費税及び地方消費税</w:t>
      </w:r>
      <w:r>
        <w:rPr>
          <w:rFonts w:ascii="UD デジタル 教科書体 NK-R" w:eastAsia="UD デジタル 教科書体 NK-R" w:hAnsi="ＭＳ ゴシック" w:hint="eastAsia"/>
          <w:kern w:val="0"/>
          <w:sz w:val="22"/>
          <w:szCs w:val="24"/>
        </w:rPr>
        <w:t>を</w:t>
      </w:r>
      <w:r w:rsidRPr="004125A9">
        <w:rPr>
          <w:rFonts w:ascii="UD デジタル 教科書体 NK-R" w:eastAsia="UD デジタル 教科書体 NK-R" w:hAnsi="ＭＳ ゴシック" w:hint="eastAsia"/>
          <w:kern w:val="0"/>
          <w:sz w:val="22"/>
          <w:szCs w:val="24"/>
        </w:rPr>
        <w:t>除きます。</w:t>
      </w:r>
    </w:p>
    <w:tbl>
      <w:tblPr>
        <w:tblStyle w:val="a8"/>
        <w:tblW w:w="0" w:type="auto"/>
        <w:tblInd w:w="421" w:type="dxa"/>
        <w:tblLook w:val="04A0" w:firstRow="1" w:lastRow="0" w:firstColumn="1" w:lastColumn="0" w:noHBand="0" w:noVBand="1"/>
      </w:tblPr>
      <w:tblGrid>
        <w:gridCol w:w="1275"/>
        <w:gridCol w:w="1701"/>
        <w:gridCol w:w="6231"/>
      </w:tblGrid>
      <w:tr w:rsidR="00A60B56" w14:paraId="4CFFCA7A" w14:textId="77777777" w:rsidTr="008D0130">
        <w:tc>
          <w:tcPr>
            <w:tcW w:w="1275" w:type="dxa"/>
            <w:shd w:val="clear" w:color="auto" w:fill="E60012"/>
            <w:vAlign w:val="center"/>
          </w:tcPr>
          <w:p w14:paraId="184C2CBC" w14:textId="77777777" w:rsidR="00A60B56" w:rsidRPr="00B20045" w:rsidRDefault="00A60B56" w:rsidP="008D0130">
            <w:pPr>
              <w:spacing w:line="360" w:lineRule="exact"/>
              <w:jc w:val="center"/>
              <w:rPr>
                <w:rFonts w:ascii="UD デジタル 教科書体 NK-R" w:eastAsia="UD デジタル 教科書体 NK-R" w:hAnsi="ＭＳ ゴシック"/>
                <w:color w:val="FFFFFF" w:themeColor="background1"/>
                <w:sz w:val="20"/>
                <w:szCs w:val="21"/>
              </w:rPr>
            </w:pPr>
            <w:r w:rsidRPr="00B20045">
              <w:rPr>
                <w:rFonts w:ascii="UD デジタル 教科書体 NK-R" w:eastAsia="UD デジタル 教科書体 NK-R" w:hAnsi="ＭＳ ゴシック" w:hint="eastAsia"/>
                <w:color w:val="FFFFFF" w:themeColor="background1"/>
                <w:sz w:val="20"/>
                <w:szCs w:val="21"/>
              </w:rPr>
              <w:t>経費区分</w:t>
            </w:r>
          </w:p>
        </w:tc>
        <w:tc>
          <w:tcPr>
            <w:tcW w:w="1701" w:type="dxa"/>
            <w:shd w:val="clear" w:color="auto" w:fill="E60012"/>
            <w:vAlign w:val="center"/>
          </w:tcPr>
          <w:p w14:paraId="3D5CE1D8" w14:textId="77777777" w:rsidR="00A60B56" w:rsidRPr="00B20045" w:rsidRDefault="00A60B56" w:rsidP="008D0130">
            <w:pPr>
              <w:spacing w:line="360" w:lineRule="exact"/>
              <w:jc w:val="center"/>
              <w:rPr>
                <w:rFonts w:ascii="UD デジタル 教科書体 NK-R" w:eastAsia="UD デジタル 教科書体 NK-R" w:hAnsi="ＭＳ ゴシック"/>
                <w:color w:val="FFFFFF" w:themeColor="background1"/>
                <w:sz w:val="20"/>
                <w:szCs w:val="21"/>
              </w:rPr>
            </w:pPr>
            <w:r w:rsidRPr="00B20045">
              <w:rPr>
                <w:rFonts w:ascii="UD デジタル 教科書体 NK-R" w:eastAsia="UD デジタル 教科書体 NK-R" w:hAnsi="ＭＳ ゴシック" w:hint="eastAsia"/>
                <w:color w:val="FFFFFF" w:themeColor="background1"/>
                <w:sz w:val="20"/>
                <w:szCs w:val="21"/>
              </w:rPr>
              <w:t>細目</w:t>
            </w:r>
          </w:p>
        </w:tc>
        <w:tc>
          <w:tcPr>
            <w:tcW w:w="6231" w:type="dxa"/>
            <w:shd w:val="clear" w:color="auto" w:fill="E60012"/>
            <w:vAlign w:val="center"/>
          </w:tcPr>
          <w:p w14:paraId="2F50E221" w14:textId="77777777" w:rsidR="00A60B56" w:rsidRPr="00B20045" w:rsidRDefault="00A60B56" w:rsidP="008D0130">
            <w:pPr>
              <w:spacing w:line="360" w:lineRule="exact"/>
              <w:jc w:val="center"/>
              <w:rPr>
                <w:rFonts w:ascii="UD デジタル 教科書体 NK-R" w:eastAsia="UD デジタル 教科書体 NK-R" w:hAnsi="ＭＳ ゴシック"/>
                <w:color w:val="FFFFFF" w:themeColor="background1"/>
                <w:sz w:val="20"/>
                <w:szCs w:val="21"/>
              </w:rPr>
            </w:pPr>
            <w:r w:rsidRPr="00B20045">
              <w:rPr>
                <w:rFonts w:ascii="UD デジタル 教科書体 NK-R" w:eastAsia="UD デジタル 教科書体 NK-R" w:hAnsi="ＭＳ ゴシック" w:hint="eastAsia"/>
                <w:color w:val="FFFFFF" w:themeColor="background1"/>
                <w:sz w:val="20"/>
                <w:szCs w:val="21"/>
              </w:rPr>
              <w:t>助成対象経費の内容</w:t>
            </w:r>
          </w:p>
        </w:tc>
      </w:tr>
      <w:tr w:rsidR="00A60B56" w14:paraId="03E42B19" w14:textId="77777777" w:rsidTr="008D0130">
        <w:tc>
          <w:tcPr>
            <w:tcW w:w="1275" w:type="dxa"/>
            <w:vMerge w:val="restart"/>
            <w:vAlign w:val="center"/>
          </w:tcPr>
          <w:p w14:paraId="0C0796E5" w14:textId="77777777" w:rsidR="00A60B56" w:rsidRPr="00B20045" w:rsidRDefault="00A60B56" w:rsidP="008D0130">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技術開発費</w:t>
            </w:r>
          </w:p>
        </w:tc>
        <w:tc>
          <w:tcPr>
            <w:tcW w:w="1701" w:type="dxa"/>
            <w:vAlign w:val="center"/>
          </w:tcPr>
          <w:p w14:paraId="1A348A3D" w14:textId="77777777" w:rsidR="00A60B56" w:rsidRPr="00B20045" w:rsidRDefault="00A60B56" w:rsidP="008D0130">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開発事業費</w:t>
            </w:r>
          </w:p>
        </w:tc>
        <w:tc>
          <w:tcPr>
            <w:tcW w:w="6231" w:type="dxa"/>
          </w:tcPr>
          <w:p w14:paraId="6CA7FEBB" w14:textId="77777777" w:rsidR="00A60B56" w:rsidRPr="00B20045" w:rsidRDefault="00A60B56" w:rsidP="008D0130">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共同研究費、原材料費、消耗品費、機械装置又は工具器具の購入・製造・改良・据付け・借用・保守又は修繕に要する経費</w:t>
            </w:r>
          </w:p>
        </w:tc>
      </w:tr>
      <w:tr w:rsidR="00A60B56" w14:paraId="21BE2B07" w14:textId="77777777" w:rsidTr="008D0130">
        <w:tc>
          <w:tcPr>
            <w:tcW w:w="1275" w:type="dxa"/>
            <w:vMerge/>
            <w:vAlign w:val="center"/>
          </w:tcPr>
          <w:p w14:paraId="63560591" w14:textId="77777777" w:rsidR="00A60B56" w:rsidRPr="00B20045" w:rsidRDefault="00A60B56" w:rsidP="008D0130">
            <w:pPr>
              <w:spacing w:line="360" w:lineRule="exact"/>
              <w:jc w:val="center"/>
              <w:rPr>
                <w:rFonts w:ascii="UD デジタル 教科書体 NK-R" w:eastAsia="UD デジタル 教科書体 NK-R" w:hAnsi="ＭＳ ゴシック"/>
                <w:sz w:val="20"/>
                <w:szCs w:val="21"/>
              </w:rPr>
            </w:pPr>
          </w:p>
        </w:tc>
        <w:tc>
          <w:tcPr>
            <w:tcW w:w="1701" w:type="dxa"/>
            <w:vAlign w:val="center"/>
          </w:tcPr>
          <w:p w14:paraId="7620814F" w14:textId="77777777" w:rsidR="00A60B56" w:rsidRPr="00B20045" w:rsidRDefault="00A60B56" w:rsidP="008D0130">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開発委託費（※）</w:t>
            </w:r>
          </w:p>
        </w:tc>
        <w:tc>
          <w:tcPr>
            <w:tcW w:w="6231" w:type="dxa"/>
          </w:tcPr>
          <w:p w14:paraId="580DBAA5" w14:textId="77777777" w:rsidR="00A60B56" w:rsidRPr="00B20045" w:rsidRDefault="00A60B56" w:rsidP="008D0130">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技術開発事業の一部を委託する経費、外注加工費</w:t>
            </w:r>
          </w:p>
        </w:tc>
      </w:tr>
      <w:tr w:rsidR="00A60B56" w14:paraId="5ABF82F5" w14:textId="77777777" w:rsidTr="008D0130">
        <w:tc>
          <w:tcPr>
            <w:tcW w:w="1275" w:type="dxa"/>
            <w:vAlign w:val="center"/>
          </w:tcPr>
          <w:p w14:paraId="17857247" w14:textId="77777777" w:rsidR="00A60B56" w:rsidRPr="00B20045" w:rsidRDefault="00A60B56" w:rsidP="008D0130">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技術調査費</w:t>
            </w:r>
          </w:p>
        </w:tc>
        <w:tc>
          <w:tcPr>
            <w:tcW w:w="1701" w:type="dxa"/>
            <w:vAlign w:val="center"/>
          </w:tcPr>
          <w:p w14:paraId="757DD340" w14:textId="77777777" w:rsidR="00A60B56" w:rsidRPr="00B20045" w:rsidRDefault="00A60B56" w:rsidP="008D0130">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調査事業費</w:t>
            </w:r>
          </w:p>
        </w:tc>
        <w:tc>
          <w:tcPr>
            <w:tcW w:w="6231" w:type="dxa"/>
          </w:tcPr>
          <w:p w14:paraId="771E26B2" w14:textId="77777777" w:rsidR="00A60B56" w:rsidRPr="00B20045" w:rsidRDefault="00A60B56" w:rsidP="008D0130">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技術調査費、特許調査費、市場調査費、技術波及調査費、試験分析費、展示会出展経費</w:t>
            </w:r>
          </w:p>
        </w:tc>
      </w:tr>
      <w:tr w:rsidR="00A60B56" w14:paraId="2AFE29B5" w14:textId="77777777" w:rsidTr="008D0130">
        <w:tc>
          <w:tcPr>
            <w:tcW w:w="1275" w:type="dxa"/>
            <w:vMerge w:val="restart"/>
            <w:vAlign w:val="center"/>
          </w:tcPr>
          <w:p w14:paraId="000FDA6F" w14:textId="77777777" w:rsidR="00A60B56" w:rsidRPr="00B20045" w:rsidRDefault="00A60B56" w:rsidP="008D0130">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事務費</w:t>
            </w:r>
          </w:p>
        </w:tc>
        <w:tc>
          <w:tcPr>
            <w:tcW w:w="1701" w:type="dxa"/>
            <w:vAlign w:val="center"/>
          </w:tcPr>
          <w:p w14:paraId="7B3B773D" w14:textId="77777777" w:rsidR="00A60B56" w:rsidRPr="00B20045" w:rsidRDefault="00A60B56" w:rsidP="008D0130">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活動費</w:t>
            </w:r>
          </w:p>
        </w:tc>
        <w:tc>
          <w:tcPr>
            <w:tcW w:w="6231" w:type="dxa"/>
          </w:tcPr>
          <w:p w14:paraId="335A51BA" w14:textId="77777777" w:rsidR="00A60B56" w:rsidRPr="00B20045" w:rsidRDefault="00A60B56" w:rsidP="008D0130">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企業への謝金・旅費、共同研究機関への謝金・旅費、外部有識者等への謝金・旅費</w:t>
            </w:r>
          </w:p>
        </w:tc>
      </w:tr>
      <w:tr w:rsidR="00A60B56" w14:paraId="788DCD86" w14:textId="77777777" w:rsidTr="008D0130">
        <w:tc>
          <w:tcPr>
            <w:tcW w:w="1275" w:type="dxa"/>
            <w:vMerge/>
          </w:tcPr>
          <w:p w14:paraId="7392D620" w14:textId="77777777" w:rsidR="00A60B56" w:rsidRPr="00B20045" w:rsidRDefault="00A60B56" w:rsidP="008D0130">
            <w:pPr>
              <w:spacing w:line="360" w:lineRule="exact"/>
              <w:jc w:val="left"/>
              <w:rPr>
                <w:rFonts w:ascii="UD デジタル 教科書体 NK-R" w:eastAsia="UD デジタル 教科書体 NK-R" w:hAnsi="ＭＳ ゴシック"/>
                <w:sz w:val="20"/>
                <w:szCs w:val="21"/>
              </w:rPr>
            </w:pPr>
          </w:p>
        </w:tc>
        <w:tc>
          <w:tcPr>
            <w:tcW w:w="1701" w:type="dxa"/>
            <w:vAlign w:val="center"/>
          </w:tcPr>
          <w:p w14:paraId="632D6D81" w14:textId="77777777" w:rsidR="00A60B56" w:rsidRPr="00B20045" w:rsidRDefault="00A60B56" w:rsidP="008D0130">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事務費</w:t>
            </w:r>
          </w:p>
        </w:tc>
        <w:tc>
          <w:tcPr>
            <w:tcW w:w="6231" w:type="dxa"/>
          </w:tcPr>
          <w:p w14:paraId="60CECCA5" w14:textId="77777777" w:rsidR="00A60B56" w:rsidRPr="00B20045" w:rsidRDefault="00A60B56" w:rsidP="008D0130">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資料購入費、印刷製本費、運搬費、翻訳料、会議費</w:t>
            </w:r>
          </w:p>
        </w:tc>
      </w:tr>
      <w:tr w:rsidR="00A60B56" w14:paraId="6071903B" w14:textId="77777777" w:rsidTr="008D0130">
        <w:tc>
          <w:tcPr>
            <w:tcW w:w="1275" w:type="dxa"/>
            <w:vMerge/>
          </w:tcPr>
          <w:p w14:paraId="731289FC" w14:textId="77777777" w:rsidR="00A60B56" w:rsidRPr="00B20045" w:rsidRDefault="00A60B56" w:rsidP="008D0130">
            <w:pPr>
              <w:spacing w:line="360" w:lineRule="exact"/>
              <w:jc w:val="left"/>
              <w:rPr>
                <w:rFonts w:ascii="UD デジタル 教科書体 NK-R" w:eastAsia="UD デジタル 教科書体 NK-R" w:hAnsi="ＭＳ ゴシック"/>
                <w:sz w:val="20"/>
                <w:szCs w:val="21"/>
              </w:rPr>
            </w:pPr>
          </w:p>
        </w:tc>
        <w:tc>
          <w:tcPr>
            <w:tcW w:w="1701" w:type="dxa"/>
            <w:vAlign w:val="center"/>
          </w:tcPr>
          <w:p w14:paraId="29446F93" w14:textId="77777777" w:rsidR="00A60B56" w:rsidRPr="00B20045" w:rsidRDefault="00A60B56" w:rsidP="008D0130">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その他</w:t>
            </w:r>
          </w:p>
        </w:tc>
        <w:tc>
          <w:tcPr>
            <w:tcW w:w="6231" w:type="dxa"/>
          </w:tcPr>
          <w:p w14:paraId="41792AF3" w14:textId="77777777" w:rsidR="00A60B56" w:rsidRPr="00B20045" w:rsidRDefault="00A60B56" w:rsidP="008D0130">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上記に掲げるもののほか特に必要と認めるもの</w:t>
            </w:r>
          </w:p>
        </w:tc>
      </w:tr>
    </w:tbl>
    <w:p w14:paraId="7FB70D1C" w14:textId="77777777" w:rsidR="00A60B56" w:rsidRPr="00BC02A8" w:rsidRDefault="00A60B56" w:rsidP="00A60B56">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2"/>
          <w:szCs w:val="24"/>
        </w:rPr>
        <w:t xml:space="preserve">　　　　</w:t>
      </w:r>
      <w:r w:rsidRPr="00BC02A8">
        <w:rPr>
          <w:rFonts w:ascii="UD デジタル 教科書体 NK-R" w:eastAsia="UD デジタル 教科書体 NK-R" w:hAnsi="ＭＳ ゴシック" w:hint="eastAsia"/>
          <w:sz w:val="20"/>
          <w:szCs w:val="21"/>
        </w:rPr>
        <w:t>（※）開発委託費は、技術開発費の２分の１以内と</w:t>
      </w:r>
      <w:r>
        <w:rPr>
          <w:rFonts w:ascii="UD デジタル 教科書体 NK-R" w:eastAsia="UD デジタル 教科書体 NK-R" w:hAnsi="ＭＳ ゴシック" w:hint="eastAsia"/>
          <w:sz w:val="20"/>
          <w:szCs w:val="21"/>
        </w:rPr>
        <w:t>します</w:t>
      </w:r>
      <w:r w:rsidRPr="00BC02A8">
        <w:rPr>
          <w:rFonts w:ascii="UD デジタル 教科書体 NK-R" w:eastAsia="UD デジタル 教科書体 NK-R" w:hAnsi="ＭＳ ゴシック" w:hint="eastAsia"/>
          <w:sz w:val="20"/>
          <w:szCs w:val="21"/>
        </w:rPr>
        <w:t>。</w:t>
      </w:r>
    </w:p>
    <w:p w14:paraId="2C7ED7AB" w14:textId="77777777" w:rsidR="00A60B56" w:rsidRPr="004125A9" w:rsidRDefault="00A60B56" w:rsidP="00A60B56">
      <w:pPr>
        <w:spacing w:line="360" w:lineRule="exact"/>
        <w:jc w:val="left"/>
        <w:rPr>
          <w:rFonts w:ascii="UD デジタル 教科書体 NK-R" w:eastAsia="UD デジタル 教科書体 NK-R" w:hAnsi="ＭＳ ゴシック"/>
          <w:sz w:val="22"/>
          <w:szCs w:val="24"/>
        </w:rPr>
      </w:pPr>
    </w:p>
    <w:p w14:paraId="19249590" w14:textId="77777777" w:rsidR="00A60B56" w:rsidRDefault="00A60B56" w:rsidP="00A60B56">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【助成対象経費に係る留意事項】</w:t>
      </w:r>
    </w:p>
    <w:p w14:paraId="2B8A7202" w14:textId="77777777" w:rsidR="00A60B56" w:rsidRDefault="00A60B56" w:rsidP="00A60B56">
      <w:pPr>
        <w:pStyle w:val="a7"/>
        <w:numPr>
          <w:ilvl w:val="0"/>
          <w:numId w:val="1"/>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交付決定日より前に発注、契約、支出を行った経費や助成事業実施期間外に始期又は終期がある契約に係る経費は助成対象外です。例外的に大学又は公設試験研究機関との共同研究については、交付決定前に契約を結んだものも助成対象とします。</w:t>
      </w:r>
      <w:r w:rsidRPr="00A219AC">
        <w:rPr>
          <w:rFonts w:ascii="UD デジタル 教科書体 NK-R" w:eastAsia="UD デジタル 教科書体 NK-R" w:hAnsi="ＭＳ ゴシック" w:hint="eastAsia"/>
          <w:sz w:val="22"/>
          <w:szCs w:val="24"/>
        </w:rPr>
        <w:t>ただし、助成対象金額は、契約金額を契約期間の日数で日割りし、交付決定日から共同研究終了日（又は助成事業完了日のいずれか早い日）までの経過日数に応じて算定した金額とします。</w:t>
      </w:r>
    </w:p>
    <w:p w14:paraId="79446F25" w14:textId="77777777" w:rsidR="00A60B56" w:rsidRPr="00EC4CCE" w:rsidRDefault="00A60B56" w:rsidP="00A60B56">
      <w:pPr>
        <w:pStyle w:val="a7"/>
        <w:numPr>
          <w:ilvl w:val="0"/>
          <w:numId w:val="1"/>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直接人件費に相当する経費は助成対象外です。</w:t>
      </w:r>
    </w:p>
    <w:p w14:paraId="5168D607" w14:textId="77777777" w:rsidR="00A60B56" w:rsidRPr="00EC4CCE" w:rsidRDefault="00A60B56" w:rsidP="00A60B56">
      <w:pPr>
        <w:pStyle w:val="a7"/>
        <w:numPr>
          <w:ilvl w:val="0"/>
          <w:numId w:val="1"/>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パソコン購入費や電話代等の通信費、出張に伴うガソリン代等、その用途に汎用性が認められる経費は助成対象外です。</w:t>
      </w:r>
    </w:p>
    <w:p w14:paraId="3DE7A07C" w14:textId="77777777" w:rsidR="00A60B56" w:rsidRDefault="00A60B56" w:rsidP="00A60B56">
      <w:pPr>
        <w:pStyle w:val="a7"/>
        <w:numPr>
          <w:ilvl w:val="0"/>
          <w:numId w:val="1"/>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振込手数料・代引手数料は助成対象外です。ただし、覚書や請求書等の記載により、両者が合意の上、取引価格の内数としている場合は除きます。</w:t>
      </w:r>
    </w:p>
    <w:p w14:paraId="7A049BFF" w14:textId="77777777" w:rsidR="00A60B56" w:rsidRDefault="00A60B56" w:rsidP="00A60B56">
      <w:pPr>
        <w:pStyle w:val="a7"/>
        <w:numPr>
          <w:ilvl w:val="0"/>
          <w:numId w:val="1"/>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特許調査は、出願費用（いわゆる「出願前調査」「審査請求前調査」）、中間手続費用（拒絶理由通知への対応費用）、設定登録費用とします。</w:t>
      </w:r>
    </w:p>
    <w:p w14:paraId="1DE17582" w14:textId="77777777" w:rsidR="00A60B56" w:rsidRPr="00EC4CCE" w:rsidRDefault="00A60B56" w:rsidP="00A60B56">
      <w:pPr>
        <w:pStyle w:val="a7"/>
        <w:numPr>
          <w:ilvl w:val="0"/>
          <w:numId w:val="1"/>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「展示会出展経費」は、助成金によって、新たに開発した試作品等を出展する場合のみ対象とし、本格的な販売活動につながる出展経費は助成対象外です。</w:t>
      </w:r>
    </w:p>
    <w:p w14:paraId="6D65B70B" w14:textId="77777777" w:rsidR="00A60B56" w:rsidRDefault="00A60B56" w:rsidP="00A60B56">
      <w:pPr>
        <w:pStyle w:val="a7"/>
        <w:numPr>
          <w:ilvl w:val="0"/>
          <w:numId w:val="1"/>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国又は他の地方公共団体等から交付されている補助金等が充当される経費や国又は他の地方公共団体等の補助金等の対象経費として申請しているものを</w:t>
      </w:r>
      <w:r w:rsidRPr="00BE01AF">
        <w:rPr>
          <w:rFonts w:ascii="UD デジタル 教科書体 NK-R" w:eastAsia="UD デジタル 教科書体 NK-R" w:hAnsi="ＭＳ ゴシック" w:hint="eastAsia"/>
          <w:sz w:val="22"/>
          <w:szCs w:val="24"/>
        </w:rPr>
        <w:t>助成金の申請における助成対象経費に計上することはできません。</w:t>
      </w:r>
    </w:p>
    <w:p w14:paraId="722C1163" w14:textId="77777777" w:rsidR="00A60B56" w:rsidRPr="00BE01AF" w:rsidRDefault="00A60B56" w:rsidP="00A60B56">
      <w:pPr>
        <w:pStyle w:val="a7"/>
        <w:numPr>
          <w:ilvl w:val="0"/>
          <w:numId w:val="1"/>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上記のほか、飲食・娯楽・接待等の費用などの社会通念上、公的な助成金として交付することが不適切と認められる経費は助成対象外です。</w:t>
      </w:r>
    </w:p>
    <w:p w14:paraId="658360DB" w14:textId="1FA3EE7D" w:rsidR="00F37129" w:rsidRPr="00A60B56" w:rsidRDefault="00F37129" w:rsidP="00F37129">
      <w:pPr>
        <w:spacing w:line="360" w:lineRule="exact"/>
        <w:jc w:val="left"/>
        <w:rPr>
          <w:rFonts w:ascii="UD デジタル 教科書体 NK-B" w:eastAsia="UD デジタル 教科書体 NK-B" w:hAnsi="ＭＳ ゴシック"/>
          <w:sz w:val="24"/>
          <w:szCs w:val="24"/>
        </w:rPr>
      </w:pPr>
    </w:p>
    <w:sectPr w:rsidR="00F37129" w:rsidRPr="00A60B56" w:rsidSect="00F371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D5D6E" w14:textId="77777777" w:rsidR="002004C6" w:rsidRDefault="002004C6" w:rsidP="00ED0CF4">
      <w:pPr>
        <w:spacing w:line="240" w:lineRule="auto"/>
      </w:pPr>
      <w:r>
        <w:separator/>
      </w:r>
    </w:p>
  </w:endnote>
  <w:endnote w:type="continuationSeparator" w:id="0">
    <w:p w14:paraId="55E29572" w14:textId="77777777" w:rsidR="002004C6" w:rsidRDefault="002004C6" w:rsidP="00ED0C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EEBA0" w14:textId="77777777" w:rsidR="002004C6" w:rsidRDefault="002004C6" w:rsidP="00ED0CF4">
      <w:pPr>
        <w:spacing w:line="240" w:lineRule="auto"/>
      </w:pPr>
      <w:r>
        <w:separator/>
      </w:r>
    </w:p>
  </w:footnote>
  <w:footnote w:type="continuationSeparator" w:id="0">
    <w:p w14:paraId="719E79C4" w14:textId="77777777" w:rsidR="002004C6" w:rsidRDefault="002004C6" w:rsidP="00ED0C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73A2C"/>
    <w:multiLevelType w:val="hybridMultilevel"/>
    <w:tmpl w:val="BE8C72C4"/>
    <w:lvl w:ilvl="0" w:tplc="42AACC22">
      <w:start w:val="4"/>
      <w:numFmt w:val="bullet"/>
      <w:lvlText w:val="・"/>
      <w:lvlJc w:val="left"/>
      <w:pPr>
        <w:ind w:left="684" w:hanging="360"/>
      </w:pPr>
      <w:rPr>
        <w:rFonts w:ascii="UD デジタル 教科書体 NK-R" w:eastAsia="UD デジタル 教科書体 NK-R" w:hAnsi="ＭＳ ゴシック" w:cstheme="minorBidi"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108"/>
    <w:rsid w:val="000A2164"/>
    <w:rsid w:val="00127789"/>
    <w:rsid w:val="002004C6"/>
    <w:rsid w:val="00577BAF"/>
    <w:rsid w:val="00704665"/>
    <w:rsid w:val="00A60B56"/>
    <w:rsid w:val="00BE108A"/>
    <w:rsid w:val="00DF2D15"/>
    <w:rsid w:val="00ED0CF4"/>
    <w:rsid w:val="00F37129"/>
    <w:rsid w:val="00FF5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3C732A"/>
  <w15:chartTrackingRefBased/>
  <w15:docId w15:val="{151DAF6A-EE75-4125-8240-934FCBF0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CF4"/>
    <w:pPr>
      <w:spacing w:line="12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CF4"/>
    <w:pPr>
      <w:tabs>
        <w:tab w:val="center" w:pos="4252"/>
        <w:tab w:val="right" w:pos="8504"/>
      </w:tabs>
      <w:snapToGrid w:val="0"/>
    </w:pPr>
  </w:style>
  <w:style w:type="character" w:customStyle="1" w:styleId="a4">
    <w:name w:val="ヘッダー (文字)"/>
    <w:basedOn w:val="a0"/>
    <w:link w:val="a3"/>
    <w:uiPriority w:val="99"/>
    <w:rsid w:val="00ED0CF4"/>
  </w:style>
  <w:style w:type="paragraph" w:styleId="a5">
    <w:name w:val="footer"/>
    <w:basedOn w:val="a"/>
    <w:link w:val="a6"/>
    <w:uiPriority w:val="99"/>
    <w:unhideWhenUsed/>
    <w:rsid w:val="00ED0CF4"/>
    <w:pPr>
      <w:tabs>
        <w:tab w:val="center" w:pos="4252"/>
        <w:tab w:val="right" w:pos="8504"/>
      </w:tabs>
      <w:snapToGrid w:val="0"/>
    </w:pPr>
  </w:style>
  <w:style w:type="character" w:customStyle="1" w:styleId="a6">
    <w:name w:val="フッター (文字)"/>
    <w:basedOn w:val="a0"/>
    <w:link w:val="a5"/>
    <w:uiPriority w:val="99"/>
    <w:rsid w:val="00ED0CF4"/>
  </w:style>
  <w:style w:type="paragraph" w:styleId="a7">
    <w:name w:val="List Paragraph"/>
    <w:basedOn w:val="a"/>
    <w:uiPriority w:val="34"/>
    <w:qFormat/>
    <w:rsid w:val="00ED0CF4"/>
    <w:pPr>
      <w:ind w:leftChars="400" w:left="840"/>
    </w:pPr>
  </w:style>
  <w:style w:type="table" w:styleId="a8">
    <w:name w:val="Table Grid"/>
    <w:basedOn w:val="a1"/>
    <w:uiPriority w:val="39"/>
    <w:rsid w:val="00ED0CF4"/>
    <w:pPr>
      <w:spacing w:line="12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D0CF4"/>
    <w:rPr>
      <w:sz w:val="18"/>
      <w:szCs w:val="18"/>
    </w:rPr>
  </w:style>
  <w:style w:type="paragraph" w:styleId="aa">
    <w:name w:val="annotation text"/>
    <w:basedOn w:val="a"/>
    <w:link w:val="ab"/>
    <w:uiPriority w:val="99"/>
    <w:unhideWhenUsed/>
    <w:rsid w:val="00ED0CF4"/>
    <w:pPr>
      <w:jc w:val="left"/>
    </w:pPr>
  </w:style>
  <w:style w:type="character" w:customStyle="1" w:styleId="ab">
    <w:name w:val="コメント文字列 (文字)"/>
    <w:basedOn w:val="a0"/>
    <w:link w:val="aa"/>
    <w:uiPriority w:val="99"/>
    <w:rsid w:val="00ED0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吉峯　理茉</dc:creator>
  <cp:keywords/>
  <dc:description/>
  <cp:lastModifiedBy>吉峯　理茉</cp:lastModifiedBy>
  <cp:revision>8</cp:revision>
  <cp:lastPrinted>2026-04-15T05:53:00Z</cp:lastPrinted>
  <dcterms:created xsi:type="dcterms:W3CDTF">2026-04-15T03:13:00Z</dcterms:created>
  <dcterms:modified xsi:type="dcterms:W3CDTF">2026-04-27T08:47:00Z</dcterms:modified>
</cp:coreProperties>
</file>