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A8A9" w14:textId="19DB45F9" w:rsidR="00FB49EB" w:rsidRPr="00C176A0" w:rsidRDefault="00297D2D" w:rsidP="00FB49EB">
      <w:pPr>
        <w:rPr>
          <w:rFonts w:ascii="UD デジタル 教科書体 N-R" w:eastAsia="UD デジタル 教科書体 N-R" w:hAnsi="HG丸ｺﾞｼｯｸM-PRO"/>
          <w:b/>
          <w:color w:val="1F4E79" w:themeColor="accent1" w:themeShade="80"/>
          <w:sz w:val="28"/>
          <w:szCs w:val="28"/>
        </w:rPr>
      </w:pPr>
      <w:r>
        <w:tab/>
      </w:r>
      <w:bookmarkStart w:id="0" w:name="用語集"/>
      <w:r w:rsidR="00FB49EB" w:rsidRPr="00C176A0">
        <w:rPr>
          <w:rFonts w:ascii="UD デジタル 教科書体 N-R" w:eastAsia="UD デジタル 教科書体 N-R" w:hAnsi="HG丸ｺﾞｼｯｸM-PRO" w:hint="eastAsia"/>
          <w:b/>
          <w:color w:val="1F4E79" w:themeColor="accent1" w:themeShade="80"/>
          <w:sz w:val="32"/>
          <w:szCs w:val="28"/>
        </w:rPr>
        <w:t>用語集</w:t>
      </w:r>
      <w:bookmarkEnd w:id="0"/>
      <w:r w:rsidR="00E64D87" w:rsidRPr="00C176A0">
        <w:rPr>
          <w:rFonts w:ascii="UD デジタル 教科書体 N-R" w:eastAsia="UD デジタル 教科書体 N-R" w:hAnsi="HG丸ｺﾞｼｯｸM-PRO" w:hint="eastAsia"/>
          <w:b/>
          <w:color w:val="1F4E79" w:themeColor="accent1" w:themeShade="80"/>
          <w:sz w:val="24"/>
          <w:szCs w:val="24"/>
        </w:rPr>
        <w:t xml:space="preserve">　（Ｐ</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４</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２２</w:t>
      </w:r>
      <w:r w:rsidR="00E64D87" w:rsidRPr="00C176A0">
        <w:rPr>
          <w:rFonts w:ascii="UD デジタル 教科書体 N-R" w:eastAsia="UD デジタル 教科書体 N-R" w:hAnsi="HG丸ｺﾞｼｯｸM-PRO"/>
          <w:b/>
          <w:color w:val="1F4E79" w:themeColor="accent1" w:themeShade="80"/>
          <w:sz w:val="24"/>
          <w:szCs w:val="24"/>
        </w:rPr>
        <w:t>の</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b/>
          <w:color w:val="1F4E79" w:themeColor="accent1" w:themeShade="80"/>
          <w:sz w:val="24"/>
          <w:szCs w:val="24"/>
        </w:rPr>
        <w:t xml:space="preserve">印の番号を説明しています。）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4"/>
        <w:gridCol w:w="6804"/>
      </w:tblGrid>
      <w:tr w:rsidR="00FB49EB" w:rsidRPr="00C176A0" w14:paraId="764A32E5" w14:textId="77777777" w:rsidTr="00457864">
        <w:trPr>
          <w:trHeight w:val="396"/>
        </w:trPr>
        <w:tc>
          <w:tcPr>
            <w:tcW w:w="2553" w:type="dxa"/>
            <w:gridSpan w:val="2"/>
          </w:tcPr>
          <w:p w14:paraId="7DD3445E"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用語</w:t>
            </w:r>
          </w:p>
        </w:tc>
        <w:tc>
          <w:tcPr>
            <w:tcW w:w="6804" w:type="dxa"/>
          </w:tcPr>
          <w:p w14:paraId="2CF2B659"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本計画における意味</w:t>
            </w:r>
          </w:p>
        </w:tc>
      </w:tr>
      <w:tr w:rsidR="00457864" w:rsidRPr="00C176A0" w14:paraId="6C88DC73" w14:textId="77777777" w:rsidTr="00457864">
        <w:trPr>
          <w:trHeight w:val="396"/>
        </w:trPr>
        <w:tc>
          <w:tcPr>
            <w:tcW w:w="709" w:type="dxa"/>
          </w:tcPr>
          <w:p w14:paraId="3F021598" w14:textId="4E3A1F6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w:t>
            </w:r>
          </w:p>
        </w:tc>
        <w:tc>
          <w:tcPr>
            <w:tcW w:w="1844" w:type="dxa"/>
          </w:tcPr>
          <w:p w14:paraId="5DB2589C" w14:textId="00E230C1"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アクセシブルな書籍</w:t>
            </w:r>
          </w:p>
        </w:tc>
        <w:tc>
          <w:tcPr>
            <w:tcW w:w="6804" w:type="dxa"/>
          </w:tcPr>
          <w:p w14:paraId="4E033804" w14:textId="00750FB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とは、利用しやすいさまをいい、「アクセシブルな書籍」は、読書バリアフリー法第２条第２項の「視覚障害者等が利用しやすい書籍」のこと。点字図書、拡大図書、録音図書、触る絵本、LLブック、布の絵本等、視覚障がい者等が、その内容を容易に認識することができる書籍。</w:t>
            </w:r>
          </w:p>
        </w:tc>
      </w:tr>
      <w:tr w:rsidR="00457864" w:rsidRPr="00C176A0" w14:paraId="53450A8D" w14:textId="77777777" w:rsidTr="00457864">
        <w:trPr>
          <w:trHeight w:val="396"/>
        </w:trPr>
        <w:tc>
          <w:tcPr>
            <w:tcW w:w="709" w:type="dxa"/>
          </w:tcPr>
          <w:p w14:paraId="28937EA2" w14:textId="000A98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２</w:t>
            </w:r>
          </w:p>
        </w:tc>
        <w:tc>
          <w:tcPr>
            <w:tcW w:w="1844" w:type="dxa"/>
          </w:tcPr>
          <w:p w14:paraId="3D6DE844" w14:textId="27D4A4DF"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tc>
        <w:tc>
          <w:tcPr>
            <w:tcW w:w="6804" w:type="dxa"/>
          </w:tcPr>
          <w:p w14:paraId="3C744342" w14:textId="706A53C5" w:rsidR="00457864" w:rsidRPr="00C176A0" w:rsidRDefault="00A05373" w:rsidP="00A05373">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６つの点を組み合わせて、文字や記号、数字、アルファベットを表す点字で記された図書。点字と点図（点を使って図や絵を表したもの）を使った点訳絵本もある。</w:t>
            </w:r>
          </w:p>
        </w:tc>
      </w:tr>
      <w:tr w:rsidR="00457864" w:rsidRPr="00C176A0" w14:paraId="3626B6F5" w14:textId="77777777" w:rsidTr="00457864">
        <w:trPr>
          <w:trHeight w:val="396"/>
        </w:trPr>
        <w:tc>
          <w:tcPr>
            <w:tcW w:w="709" w:type="dxa"/>
          </w:tcPr>
          <w:p w14:paraId="75A722C5" w14:textId="505F92D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３</w:t>
            </w:r>
          </w:p>
        </w:tc>
        <w:tc>
          <w:tcPr>
            <w:tcW w:w="1844" w:type="dxa"/>
          </w:tcPr>
          <w:p w14:paraId="27EDE850" w14:textId="0A64AC96"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tc>
        <w:tc>
          <w:tcPr>
            <w:tcW w:w="6804" w:type="dxa"/>
          </w:tcPr>
          <w:p w14:paraId="6CF60B91" w14:textId="533DBE33"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457864" w:rsidRPr="00C176A0" w14:paraId="5604F71D" w14:textId="77777777" w:rsidTr="00457864">
        <w:trPr>
          <w:trHeight w:val="396"/>
        </w:trPr>
        <w:tc>
          <w:tcPr>
            <w:tcW w:w="709" w:type="dxa"/>
          </w:tcPr>
          <w:p w14:paraId="309305FD" w14:textId="621E4B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４</w:t>
            </w:r>
          </w:p>
        </w:tc>
        <w:tc>
          <w:tcPr>
            <w:tcW w:w="1844" w:type="dxa"/>
          </w:tcPr>
          <w:p w14:paraId="13597F2C" w14:textId="754C234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tc>
        <w:tc>
          <w:tcPr>
            <w:tcW w:w="6804" w:type="dxa"/>
          </w:tcPr>
          <w:p w14:paraId="6B7080AA" w14:textId="04F35EC7"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457864" w:rsidRPr="00C176A0" w14:paraId="69270A3C" w14:textId="77777777" w:rsidTr="00457864">
        <w:trPr>
          <w:trHeight w:val="396"/>
        </w:trPr>
        <w:tc>
          <w:tcPr>
            <w:tcW w:w="709" w:type="dxa"/>
          </w:tcPr>
          <w:p w14:paraId="3F0A8EAC" w14:textId="7528E8A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５</w:t>
            </w:r>
          </w:p>
        </w:tc>
        <w:tc>
          <w:tcPr>
            <w:tcW w:w="1844" w:type="dxa"/>
          </w:tcPr>
          <w:p w14:paraId="13102252" w14:textId="328E2A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tc>
        <w:tc>
          <w:tcPr>
            <w:tcW w:w="6804" w:type="dxa"/>
          </w:tcPr>
          <w:p w14:paraId="6D01625A" w14:textId="1303EFF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457864" w:rsidRPr="00C176A0" w14:paraId="2F4AEBD5" w14:textId="77777777" w:rsidTr="00457864">
        <w:trPr>
          <w:trHeight w:val="396"/>
        </w:trPr>
        <w:tc>
          <w:tcPr>
            <w:tcW w:w="709" w:type="dxa"/>
          </w:tcPr>
          <w:p w14:paraId="71E395EB" w14:textId="45F1D1C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６</w:t>
            </w:r>
          </w:p>
        </w:tc>
        <w:tc>
          <w:tcPr>
            <w:tcW w:w="1844" w:type="dxa"/>
          </w:tcPr>
          <w:p w14:paraId="42FB5966" w14:textId="308A9CD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サピエ図書館</w:t>
            </w:r>
          </w:p>
        </w:tc>
        <w:tc>
          <w:tcPr>
            <w:tcW w:w="6804" w:type="dxa"/>
          </w:tcPr>
          <w:p w14:paraId="3FA16FCD" w14:textId="50AF35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障がい者及び視覚による表現の認識に障がいのある人に対して点字データ、デイジーデータ等を提供するネットワーク。日本点字図書館がシステムを管理し、全国視覚障害者情報提供施設協会が運営を行っている。正式名称は「視覚障害者情報総合ネットワーク」。</w:t>
            </w:r>
          </w:p>
        </w:tc>
      </w:tr>
      <w:tr w:rsidR="00EC089E" w:rsidRPr="00C176A0" w14:paraId="7FB0E4FE" w14:textId="77777777" w:rsidTr="00457864">
        <w:trPr>
          <w:trHeight w:val="396"/>
        </w:trPr>
        <w:tc>
          <w:tcPr>
            <w:tcW w:w="709" w:type="dxa"/>
          </w:tcPr>
          <w:p w14:paraId="63261E71" w14:textId="76E36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4" w:type="dxa"/>
          </w:tcPr>
          <w:p w14:paraId="486ACAEA" w14:textId="0BE0E22D"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点字図書館</w:t>
            </w:r>
          </w:p>
        </w:tc>
        <w:tc>
          <w:tcPr>
            <w:tcW w:w="6804" w:type="dxa"/>
          </w:tcPr>
          <w:p w14:paraId="4D519471" w14:textId="77777777"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点字、録音、デイジー図書等の製作・貸出やレファレンスサービス、デイジー図書再生機の貸出等、目の見えない、見えにくい人などへの情報提供サービスを行っている施設。</w:t>
            </w:r>
          </w:p>
          <w:p w14:paraId="43F74222" w14:textId="6D90204B"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大阪府内には、大阪府立福祉情報コミュニケーションセンター点字図書館、大阪市立早川福祉会館点字図書室、社会福祉法人日本ライトハウス情報文化センター、堺市立健康福祉プラザ点字図書館が</w:t>
            </w:r>
            <w:r w:rsidR="00C06307" w:rsidRPr="00566AF3">
              <w:rPr>
                <w:rFonts w:ascii="UD デジタル 教科書体 N-R" w:eastAsia="UD デジタル 教科書体 N-R" w:hAnsi="HG丸ｺﾞｼｯｸM-PRO" w:hint="eastAsia"/>
                <w:sz w:val="22"/>
                <w:szCs w:val="21"/>
              </w:rPr>
              <w:t>ある</w:t>
            </w:r>
            <w:r w:rsidRPr="00566AF3">
              <w:rPr>
                <w:rFonts w:ascii="UD デジタル 教科書体 N-R" w:eastAsia="UD デジタル 教科書体 N-R" w:hAnsi="HG丸ｺﾞｼｯｸM-PRO" w:hint="eastAsia"/>
                <w:sz w:val="22"/>
                <w:szCs w:val="21"/>
              </w:rPr>
              <w:t>。</w:t>
            </w:r>
          </w:p>
        </w:tc>
      </w:tr>
      <w:tr w:rsidR="00EC089E" w:rsidRPr="00C176A0" w14:paraId="522F5139" w14:textId="77777777" w:rsidTr="00457864">
        <w:trPr>
          <w:trHeight w:val="396"/>
        </w:trPr>
        <w:tc>
          <w:tcPr>
            <w:tcW w:w="709" w:type="dxa"/>
          </w:tcPr>
          <w:p w14:paraId="7165E61C" w14:textId="7763F6DF"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4" w:type="dxa"/>
          </w:tcPr>
          <w:p w14:paraId="6D39BCED" w14:textId="6DBCA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点訳</w:t>
            </w:r>
          </w:p>
        </w:tc>
        <w:tc>
          <w:tcPr>
            <w:tcW w:w="6804" w:type="dxa"/>
          </w:tcPr>
          <w:p w14:paraId="5B11BA92" w14:textId="79C2A240"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文字や文章を点字化すること。</w:t>
            </w:r>
          </w:p>
        </w:tc>
      </w:tr>
      <w:tr w:rsidR="00EC089E" w:rsidRPr="00C176A0" w14:paraId="3238EFC6" w14:textId="77777777" w:rsidTr="00457864">
        <w:trPr>
          <w:trHeight w:val="396"/>
        </w:trPr>
        <w:tc>
          <w:tcPr>
            <w:tcW w:w="709" w:type="dxa"/>
          </w:tcPr>
          <w:p w14:paraId="65F444A9" w14:textId="38F71981"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4" w:type="dxa"/>
          </w:tcPr>
          <w:p w14:paraId="66FAEFC5" w14:textId="75424B3B"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音訳</w:t>
            </w:r>
          </w:p>
        </w:tc>
        <w:tc>
          <w:tcPr>
            <w:tcW w:w="6804" w:type="dxa"/>
          </w:tcPr>
          <w:p w14:paraId="43CD3361" w14:textId="0B4D0D93"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文字や文章を音声化すること。</w:t>
            </w:r>
          </w:p>
        </w:tc>
      </w:tr>
    </w:tbl>
    <w:p w14:paraId="6D5EAC9E" w14:textId="0C182CEA"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rPr>
        <w:br w:type="page"/>
      </w:r>
    </w:p>
    <w:p w14:paraId="308C87A8" w14:textId="394F8036" w:rsidR="00CA3A8B" w:rsidRPr="00C176A0" w:rsidRDefault="003715E7"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noProof/>
          <w:color w:val="44546A" w:themeColor="text2"/>
          <w:sz w:val="36"/>
          <w:szCs w:val="32"/>
        </w:rPr>
        <w:lastRenderedPageBreak/>
        <mc:AlternateContent>
          <mc:Choice Requires="wps">
            <w:drawing>
              <wp:anchor distT="0" distB="0" distL="114300" distR="114300" simplePos="0" relativeHeight="251941888" behindDoc="0" locked="0" layoutInCell="1" allowOverlap="1" wp14:anchorId="45F77697" wp14:editId="39F67B33">
                <wp:simplePos x="0" y="0"/>
                <wp:positionH relativeFrom="margin">
                  <wp:posOffset>5620385</wp:posOffset>
                </wp:positionH>
                <wp:positionV relativeFrom="paragraph">
                  <wp:posOffset>-2011045</wp:posOffset>
                </wp:positionV>
                <wp:extent cx="914400" cy="297180"/>
                <wp:effectExtent l="0" t="0" r="19685" b="26670"/>
                <wp:wrapNone/>
                <wp:docPr id="37" name="テキスト ボックス 37"/>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7353C302" w14:textId="77777777" w:rsidR="003715E7" w:rsidRDefault="00CA3738" w:rsidP="003715E7">
                            <w:hyperlink w:anchor="目次" w:history="1">
                              <w:r w:rsidR="003715E7" w:rsidRPr="001C4259">
                                <w:rPr>
                                  <w:rStyle w:val="ab"/>
                                  <w:rFonts w:hint="eastAsia"/>
                                </w:rPr>
                                <w:t>目次</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77697" id="_x0000_t202" coordsize="21600,21600" o:spt="202" path="m,l,21600r21600,l21600,xe">
                <v:stroke joinstyle="miter"/>
                <v:path gradientshapeok="t" o:connecttype="rect"/>
              </v:shapetype>
              <v:shape id="テキスト ボックス 37" o:spid="_x0000_s1026" type="#_x0000_t202" style="position:absolute;margin-left:442.55pt;margin-top:-158.35pt;width:1in;height:23.4pt;z-index:2519418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lMawIAALkEAAAOAAAAZHJzL2Uyb0RvYy54bWysVElu2zAU3RfoHQjuG9mOMxmRAzdBigJB&#10;EiApsqYpyhZK8RMkYyldxkDRQ/QKRdc9jy7SR3rI0K6Kbqg/D+//r+OTttZsoZyvyOS8v9PjTBlJ&#10;RWVmOf90e/7ukDMfhCmEJqNy/qA8Pxm/fXPc2JEa0Jx0oRxDEONHjc35PAQ7yjIv56oWfoesMlCW&#10;5GoRwLpZVjjRIHqts0Gvt5815ArrSCrvIT1bKfk4xS9LJcNVWXoVmM45agvpdemdxjcbH4vRzAk7&#10;r+S6DPEPVdSiMki6DXUmgmD3rvojVF1JR57KsCOpzqgsK6lSD+im33vVzc1cWJV6ATjebmHy/y+s&#10;vFxcO1YVOd894MyIGjPqll+7xx/d469u+Y11y+/dctk9/gTPYAPAGutH8Lux8Azte2ox+I3cQxhx&#10;aEtXxy86ZNAD+oct3KoNTEJ41B8Oe9BIqAZHB/3DNI7sydk6Hz4oqlkkcu4wzQSyWFz4gEJgujGJ&#10;uTzpqjivtE5M3CB1qh1bCMxeh1QiPF5YacOanO/v7vVS4Be6GHrrP9VCfo5NvowAThsIIySr1iMV&#10;2mmbMB3sb3CZUvEAuBytNtBbeV4h/oXw4Vo4rBxwwBmFKzylJhRFa4qzObkvf5NHe2wCtJw1WOGc&#10;G9wYZ/qjwYYkdLHxiRnuHQyQwT3XTJ9rzH19SsCpj3O1MpHRPugNWTqq73Brk5gTKmEkMuc8bMjT&#10;sDor3KpUk0kywo5bES7MjZUxdJxLRPW2vRPOrqcasA6XtFl1MXo13JVt9DQ0uQ9UVmnyEeYVpmv0&#10;cR9pOOtbjgf4nE9WT3+c8W8AAAD//wMAUEsDBBQABgAIAAAAIQCMHaUm4wAAAA4BAAAPAAAAZHJz&#10;L2Rvd25yZXYueG1sTI/LTsMwEEX3SPyDNUjsWuehhCSNU6EKVkiIFiS6dOLJQ8R2FLtt+HumK7qc&#10;O0d3zpTbRY/sjLMbrBEQrgNgaBqrBtMJ+Pp8XWXAnJdGydEaFPCLDrbV/V0pC2UvZo/ng+8YlRhX&#10;SAG991PBuWt61NKt7YSGdq2dtfQ0zh1Xs7xQuR55FAQp13IwdKGXE+56bH4OJy3gfZfaJK6XrH35&#10;eLP7ro35MfkW4vFhed4A87j4fxiu+qQOFTnV9mSUY6OALEtCQgWs4jB9AnZFgiinrKYsSvMceFXy&#10;2zeqPwAAAP//AwBQSwECLQAUAAYACAAAACEAtoM4kv4AAADhAQAAEwAAAAAAAAAAAAAAAAAAAAAA&#10;W0NvbnRlbnRfVHlwZXNdLnhtbFBLAQItABQABgAIAAAAIQA4/SH/1gAAAJQBAAALAAAAAAAAAAAA&#10;AAAAAC8BAABfcmVscy8ucmVsc1BLAQItABQABgAIAAAAIQCLEzlMawIAALkEAAAOAAAAAAAAAAAA&#10;AAAAAC4CAABkcnMvZTJvRG9jLnhtbFBLAQItABQABgAIAAAAIQCMHaUm4wAAAA4BAAAPAAAAAAAA&#10;AAAAAAAAAMUEAABkcnMvZG93bnJldi54bWxQSwUGAAAAAAQABADzAAAA1QUAAAAA&#10;" fillcolor="white [3201]" strokeweight=".5pt">
                <v:textbox>
                  <w:txbxContent>
                    <w:p w14:paraId="7353C302" w14:textId="77777777" w:rsidR="003715E7" w:rsidRDefault="00FD3D94" w:rsidP="003715E7">
                      <w:hyperlink w:anchor="目次" w:history="1">
                        <w:r w:rsidR="003715E7" w:rsidRPr="001C4259">
                          <w:rPr>
                            <w:rStyle w:val="ab"/>
                            <w:rFonts w:hint="eastAsia"/>
                          </w:rPr>
                          <w:t>目次</w:t>
                        </w:r>
                      </w:hyperlink>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61D875E0" w14:textId="77777777" w:rsidTr="00113357">
        <w:trPr>
          <w:trHeight w:val="396"/>
        </w:trPr>
        <w:tc>
          <w:tcPr>
            <w:tcW w:w="709" w:type="dxa"/>
          </w:tcPr>
          <w:p w14:paraId="685E15E7" w14:textId="220BFD58"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4" w:type="dxa"/>
          </w:tcPr>
          <w:p w14:paraId="7C7B2411" w14:textId="0E9BD99A"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特別支援学校</w:t>
            </w:r>
          </w:p>
          <w:p w14:paraId="1B23A89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（支援学校）</w:t>
            </w:r>
          </w:p>
        </w:tc>
        <w:tc>
          <w:tcPr>
            <w:tcW w:w="6804" w:type="dxa"/>
          </w:tcPr>
          <w:p w14:paraId="4208ACC2" w14:textId="4C9013EC"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学校教育法第72条に定められている、視覚・聴覚・知的障がい者、肢体不自由者又は病弱者（身体虚弱者を含む。）のための学校。大阪府が所管する特別支援学校は、校名に「特別」をつけず、「支援学校」としている。</w:t>
            </w:r>
          </w:p>
        </w:tc>
      </w:tr>
      <w:tr w:rsidR="006D7973" w:rsidRPr="00C176A0" w14:paraId="0E52559E" w14:textId="77777777" w:rsidTr="00113357">
        <w:trPr>
          <w:trHeight w:val="396"/>
        </w:trPr>
        <w:tc>
          <w:tcPr>
            <w:tcW w:w="709" w:type="dxa"/>
          </w:tcPr>
          <w:p w14:paraId="482F05B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4" w:type="dxa"/>
          </w:tcPr>
          <w:p w14:paraId="4EFA1FA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読書支援機器</w:t>
            </w:r>
          </w:p>
        </w:tc>
        <w:tc>
          <w:tcPr>
            <w:tcW w:w="6804" w:type="dxa"/>
          </w:tcPr>
          <w:p w14:paraId="6C9E41E1" w14:textId="7CB4BBD1"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視覚障がい者等の読書を支援するための機器で、点字ディスプレイ、デイジープレイヤー、拡大読書器等がある。</w:t>
            </w:r>
          </w:p>
        </w:tc>
      </w:tr>
      <w:tr w:rsidR="006D7973" w:rsidRPr="00C176A0" w14:paraId="5C0030C5" w14:textId="77777777" w:rsidTr="00113357">
        <w:trPr>
          <w:trHeight w:val="396"/>
        </w:trPr>
        <w:tc>
          <w:tcPr>
            <w:tcW w:w="709" w:type="dxa"/>
          </w:tcPr>
          <w:p w14:paraId="07AB521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4" w:type="dxa"/>
          </w:tcPr>
          <w:p w14:paraId="5277E41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ピアサポート</w:t>
            </w:r>
          </w:p>
        </w:tc>
        <w:tc>
          <w:tcPr>
            <w:tcW w:w="6804" w:type="dxa"/>
          </w:tcPr>
          <w:p w14:paraId="5C76FE21"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「仲間同士の支え合い」を表す言葉。ここでは、障がい当事者による支援のこと。</w:t>
            </w:r>
          </w:p>
        </w:tc>
      </w:tr>
      <w:tr w:rsidR="006D7973" w:rsidRPr="00C176A0" w14:paraId="798A9C3E" w14:textId="77777777" w:rsidTr="00113357">
        <w:trPr>
          <w:trHeight w:val="396"/>
        </w:trPr>
        <w:tc>
          <w:tcPr>
            <w:tcW w:w="709" w:type="dxa"/>
          </w:tcPr>
          <w:p w14:paraId="0E5BEE4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4" w:type="dxa"/>
          </w:tcPr>
          <w:p w14:paraId="77D0E52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拡大読書器</w:t>
            </w:r>
          </w:p>
        </w:tc>
        <w:tc>
          <w:tcPr>
            <w:tcW w:w="6804" w:type="dxa"/>
          </w:tcPr>
          <w:p w14:paraId="23F4987C"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カメラで撮影した文字や画像を拡大したり、背景と文字を白黒表示することにより、読み書きを支援する機器。据置型と持ち運びができる携帯型などがある。</w:t>
            </w:r>
          </w:p>
        </w:tc>
      </w:tr>
      <w:tr w:rsidR="006D7973" w:rsidRPr="00C176A0" w14:paraId="0C546CA1" w14:textId="77777777" w:rsidTr="00113357">
        <w:trPr>
          <w:trHeight w:val="396"/>
        </w:trPr>
        <w:tc>
          <w:tcPr>
            <w:tcW w:w="709" w:type="dxa"/>
          </w:tcPr>
          <w:p w14:paraId="5598F68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※14</w:t>
            </w:r>
          </w:p>
        </w:tc>
        <w:tc>
          <w:tcPr>
            <w:tcW w:w="1844" w:type="dxa"/>
          </w:tcPr>
          <w:p w14:paraId="68356FA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ピクトグラム</w:t>
            </w:r>
          </w:p>
        </w:tc>
        <w:tc>
          <w:tcPr>
            <w:tcW w:w="6804" w:type="dxa"/>
          </w:tcPr>
          <w:p w14:paraId="6508593D"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絵文字や絵を使った図表を用いて、情報や注意を示すために表示される記号。</w:t>
            </w:r>
          </w:p>
        </w:tc>
      </w:tr>
      <w:tr w:rsidR="006D7973" w:rsidRPr="00C176A0" w14:paraId="56FE2E02" w14:textId="77777777" w:rsidTr="00113357">
        <w:trPr>
          <w:trHeight w:val="396"/>
        </w:trPr>
        <w:tc>
          <w:tcPr>
            <w:tcW w:w="709" w:type="dxa"/>
          </w:tcPr>
          <w:p w14:paraId="1DD80C7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※15</w:t>
            </w:r>
          </w:p>
        </w:tc>
        <w:tc>
          <w:tcPr>
            <w:tcW w:w="1844" w:type="dxa"/>
          </w:tcPr>
          <w:p w14:paraId="04622E7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ICTサポート</w:t>
            </w:r>
          </w:p>
          <w:p w14:paraId="459DFFF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センター</w:t>
            </w:r>
          </w:p>
        </w:tc>
        <w:tc>
          <w:tcPr>
            <w:tcW w:w="6804" w:type="dxa"/>
          </w:tcPr>
          <w:p w14:paraId="5970C9E5"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障がい者等の</w:t>
            </w:r>
            <w:r w:rsidRPr="00566AF3">
              <w:rPr>
                <w:rFonts w:ascii="UD デジタル 教科書体 N-R" w:eastAsia="UD デジタル 教科書体 N-R" w:hAnsi="HG丸ｺﾞｼｯｸM-PRO"/>
                <w:sz w:val="22"/>
                <w:szCs w:val="21"/>
              </w:rPr>
              <w:t>ICT（情報通信技術）の利用機会の拡大や活用能力の向上を目的として、パソコンボランティアの養成や派遣、ICT機器の紹介、貸出・利用に係る相談、サピエ図書館等のインターネットサービスの利用支援等を行う拠点。大阪府では、大阪府ITステーションで障がい者向けIT支援機器・ソフトの展示も含め実施しています。</w:t>
            </w:r>
          </w:p>
        </w:tc>
      </w:tr>
      <w:tr w:rsidR="006D7973" w:rsidRPr="00C176A0" w14:paraId="792811B7" w14:textId="77777777" w:rsidTr="00113357">
        <w:trPr>
          <w:trHeight w:val="396"/>
        </w:trPr>
        <w:tc>
          <w:tcPr>
            <w:tcW w:w="709" w:type="dxa"/>
          </w:tcPr>
          <w:p w14:paraId="7037D8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※16</w:t>
            </w:r>
          </w:p>
        </w:tc>
        <w:tc>
          <w:tcPr>
            <w:tcW w:w="1844" w:type="dxa"/>
          </w:tcPr>
          <w:p w14:paraId="2969001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tc>
        <w:tc>
          <w:tcPr>
            <w:tcW w:w="6804" w:type="dxa"/>
          </w:tcPr>
          <w:p w14:paraId="3C35F66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7D3BC60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6D7973" w:rsidRPr="00C176A0" w14:paraId="12A63227" w14:textId="77777777" w:rsidTr="00113357">
        <w:trPr>
          <w:trHeight w:val="396"/>
        </w:trPr>
        <w:tc>
          <w:tcPr>
            <w:tcW w:w="709" w:type="dxa"/>
          </w:tcPr>
          <w:p w14:paraId="113C955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※17</w:t>
            </w:r>
          </w:p>
        </w:tc>
        <w:tc>
          <w:tcPr>
            <w:tcW w:w="1844" w:type="dxa"/>
          </w:tcPr>
          <w:p w14:paraId="5C39E7D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tc>
        <w:tc>
          <w:tcPr>
            <w:tcW w:w="6804" w:type="dxa"/>
          </w:tcPr>
          <w:p w14:paraId="347F4C7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6D7973" w:rsidRPr="00C176A0" w14:paraId="4F5D5C60" w14:textId="77777777" w:rsidTr="00113357">
        <w:tc>
          <w:tcPr>
            <w:tcW w:w="709" w:type="dxa"/>
          </w:tcPr>
          <w:p w14:paraId="0CDEB46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※18</w:t>
            </w:r>
          </w:p>
        </w:tc>
        <w:tc>
          <w:tcPr>
            <w:tcW w:w="1844" w:type="dxa"/>
            <w:shd w:val="clear" w:color="auto" w:fill="auto"/>
          </w:tcPr>
          <w:p w14:paraId="56BA6ED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通級</w:t>
            </w:r>
          </w:p>
        </w:tc>
        <w:tc>
          <w:tcPr>
            <w:tcW w:w="6804" w:type="dxa"/>
            <w:shd w:val="clear" w:color="auto" w:fill="auto"/>
          </w:tcPr>
          <w:p w14:paraId="4939F44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中学校、義務教育学校、高等学校又は中等教育学校の通常の学級に籍をおき、大部分の授業を通常の学級で受けながら、一部、障がいに応じた個別の指導を通常の学級以外の場（通級指導教室等）で受ける指導形態のこと。</w:t>
            </w:r>
          </w:p>
        </w:tc>
      </w:tr>
    </w:tbl>
    <w:p w14:paraId="36A8FC6C" w14:textId="167FBD1D"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rPr>
        <w:br w:type="page"/>
      </w:r>
    </w:p>
    <w:p w14:paraId="50DA0D96" w14:textId="77777777" w:rsidR="006D7973" w:rsidRPr="00C176A0" w:rsidRDefault="006D7973" w:rsidP="00235AE2">
      <w:pPr>
        <w:rPr>
          <w:rFonts w:ascii="UD デジタル 教科書体 N-R" w:eastAsia="UD デジタル 教科書体 N-R" w:hAnsi="HG丸ｺﾞｼｯｸM-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1657A964" w14:textId="77777777" w:rsidTr="00113357">
        <w:tc>
          <w:tcPr>
            <w:tcW w:w="709" w:type="dxa"/>
          </w:tcPr>
          <w:p w14:paraId="00EB2C9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※19</w:t>
            </w:r>
          </w:p>
        </w:tc>
        <w:tc>
          <w:tcPr>
            <w:tcW w:w="1844" w:type="dxa"/>
            <w:shd w:val="clear" w:color="auto" w:fill="auto"/>
          </w:tcPr>
          <w:p w14:paraId="59195B77"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リーディングスタッフ（特別支援教育コーディネーター）</w:t>
            </w:r>
          </w:p>
        </w:tc>
        <w:tc>
          <w:tcPr>
            <w:tcW w:w="6804" w:type="dxa"/>
            <w:shd w:val="clear" w:color="auto" w:fill="auto"/>
          </w:tcPr>
          <w:p w14:paraId="3CD6C53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w:t>
            </w:r>
          </w:p>
        </w:tc>
      </w:tr>
      <w:tr w:rsidR="006D7973" w:rsidRPr="00C176A0" w14:paraId="7A0EAF4F" w14:textId="77777777" w:rsidTr="00113357">
        <w:tc>
          <w:tcPr>
            <w:tcW w:w="709" w:type="dxa"/>
          </w:tcPr>
          <w:p w14:paraId="3C0A2AD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※20</w:t>
            </w:r>
          </w:p>
        </w:tc>
        <w:tc>
          <w:tcPr>
            <w:tcW w:w="1844" w:type="dxa"/>
            <w:shd w:val="clear" w:color="auto" w:fill="auto"/>
          </w:tcPr>
          <w:p w14:paraId="6D1A0E7C"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特定書籍</w:t>
            </w:r>
          </w:p>
        </w:tc>
        <w:tc>
          <w:tcPr>
            <w:tcW w:w="6804" w:type="dxa"/>
            <w:shd w:val="clear" w:color="auto" w:fill="auto"/>
          </w:tcPr>
          <w:p w14:paraId="1BAA9479"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著作権法第37条第１項又は第３項本文の規定により製作される視覚障がい者等が利用しやすい書籍。</w:t>
            </w:r>
          </w:p>
        </w:tc>
      </w:tr>
      <w:tr w:rsidR="006D7973" w:rsidRPr="00C176A0" w14:paraId="5F5DB6D8" w14:textId="77777777" w:rsidTr="00113357">
        <w:tc>
          <w:tcPr>
            <w:tcW w:w="709" w:type="dxa"/>
          </w:tcPr>
          <w:p w14:paraId="2068633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※21</w:t>
            </w:r>
          </w:p>
        </w:tc>
        <w:tc>
          <w:tcPr>
            <w:tcW w:w="1844" w:type="dxa"/>
            <w:shd w:val="clear" w:color="auto" w:fill="auto"/>
          </w:tcPr>
          <w:p w14:paraId="5FB3C040"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特定電子書籍</w:t>
            </w:r>
          </w:p>
        </w:tc>
        <w:tc>
          <w:tcPr>
            <w:tcW w:w="6804" w:type="dxa"/>
            <w:shd w:val="clear" w:color="auto" w:fill="auto"/>
          </w:tcPr>
          <w:p w14:paraId="0DE32D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著作権法第37条第２項又は第３項本文の規定により製作される視覚障がい者等が利用しやすい電子書籍等。</w:t>
            </w:r>
          </w:p>
        </w:tc>
      </w:tr>
      <w:tr w:rsidR="006D7973" w:rsidRPr="00C176A0" w14:paraId="0B658883" w14:textId="77777777" w:rsidTr="00113357">
        <w:tc>
          <w:tcPr>
            <w:tcW w:w="709" w:type="dxa"/>
          </w:tcPr>
          <w:p w14:paraId="293C75D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※22</w:t>
            </w:r>
          </w:p>
        </w:tc>
        <w:tc>
          <w:tcPr>
            <w:tcW w:w="1844" w:type="dxa"/>
            <w:shd w:val="clear" w:color="auto" w:fill="auto"/>
          </w:tcPr>
          <w:p w14:paraId="0F820FE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tc>
        <w:tc>
          <w:tcPr>
            <w:tcW w:w="6804" w:type="dxa"/>
            <w:shd w:val="clear" w:color="auto" w:fill="auto"/>
          </w:tcPr>
          <w:p w14:paraId="0BA9C7E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6D7973" w:rsidRPr="00C176A0" w14:paraId="19CD0384" w14:textId="77777777" w:rsidTr="00113357">
        <w:tc>
          <w:tcPr>
            <w:tcW w:w="709" w:type="dxa"/>
          </w:tcPr>
          <w:p w14:paraId="5132BC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※23</w:t>
            </w:r>
          </w:p>
        </w:tc>
        <w:tc>
          <w:tcPr>
            <w:tcW w:w="1844" w:type="dxa"/>
            <w:shd w:val="clear" w:color="auto" w:fill="auto"/>
          </w:tcPr>
          <w:p w14:paraId="2277E7C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対面朗読（リーディング）</w:t>
            </w:r>
          </w:p>
        </w:tc>
        <w:tc>
          <w:tcPr>
            <w:tcW w:w="6804" w:type="dxa"/>
            <w:shd w:val="clear" w:color="auto" w:fill="auto"/>
          </w:tcPr>
          <w:p w14:paraId="6D02A6F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視覚による読書に困難を感じている人を対象として、本や雑誌等を代読すること。</w:t>
            </w:r>
          </w:p>
        </w:tc>
      </w:tr>
      <w:tr w:rsidR="006D7973" w:rsidRPr="00C176A0" w14:paraId="747992E6" w14:textId="77777777" w:rsidTr="00113357">
        <w:tc>
          <w:tcPr>
            <w:tcW w:w="709" w:type="dxa"/>
          </w:tcPr>
          <w:p w14:paraId="690C9D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※24</w:t>
            </w:r>
          </w:p>
        </w:tc>
        <w:tc>
          <w:tcPr>
            <w:tcW w:w="1844" w:type="dxa"/>
            <w:shd w:val="clear" w:color="auto" w:fill="auto"/>
          </w:tcPr>
          <w:p w14:paraId="23F2854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レファレンス</w:t>
            </w:r>
          </w:p>
          <w:p w14:paraId="29EF77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サービス</w:t>
            </w:r>
          </w:p>
        </w:tc>
        <w:tc>
          <w:tcPr>
            <w:tcW w:w="6804" w:type="dxa"/>
            <w:shd w:val="clear" w:color="auto" w:fill="auto"/>
          </w:tcPr>
          <w:p w14:paraId="62D084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資料や情報を求める利用者に対して、図書館の資料やデータを使って文献の紹介・提供などを行うサービス。</w:t>
            </w:r>
          </w:p>
        </w:tc>
      </w:tr>
    </w:tbl>
    <w:p w14:paraId="4D9B45EA" w14:textId="77777777"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786FED6" w14:textId="1B58287C"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E5C9B9A" w14:textId="77619D26" w:rsidR="00CA3A8B" w:rsidRPr="00C176A0" w:rsidRDefault="00CA3A8B" w:rsidP="00CA3A8B">
      <w:pPr>
        <w:rPr>
          <w:rFonts w:ascii="UD デジタル 教科書体 N-R" w:eastAsia="UD デジタル 教科書体 N-R" w:hAnsi="HG丸ｺﾞｼｯｸM-PRO"/>
          <w:b/>
          <w:color w:val="1F4E79" w:themeColor="accent1" w:themeShade="80"/>
          <w:sz w:val="32"/>
          <w:szCs w:val="28"/>
        </w:rPr>
      </w:pPr>
    </w:p>
    <w:sectPr w:rsidR="00CA3A8B" w:rsidRPr="00C176A0" w:rsidSect="00CA3738">
      <w:footerReference w:type="default" r:id="rId11"/>
      <w:type w:val="continuous"/>
      <w:pgSz w:w="11906" w:h="16838"/>
      <w:pgMar w:top="1134" w:right="1134" w:bottom="1559" w:left="1134" w:header="851" w:footer="284"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738"/>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3D94"/>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4.xml><?xml version="1.0" encoding="utf-8"?>
<ds:datastoreItem xmlns:ds="http://schemas.openxmlformats.org/officeDocument/2006/customXml" ds:itemID="{EACD08A9-49B6-4CD1-8EDA-C84FD8019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25</cp:revision>
  <cp:lastPrinted>2026-03-19T01:51:00Z</cp:lastPrinted>
  <dcterms:created xsi:type="dcterms:W3CDTF">2026-03-18T01:58:00Z</dcterms:created>
  <dcterms:modified xsi:type="dcterms:W3CDTF">2026-03-26T08:34:00Z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