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9A6A" w14:textId="1B41525B" w:rsidR="00C560F9" w:rsidRPr="00A00C2B" w:rsidRDefault="00591D3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0C2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843FC" w:rsidRPr="00A00C2B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C560F9" w:rsidRPr="00A00C2B">
        <w:rPr>
          <w:rFonts w:ascii="ＭＳ ゴシック" w:eastAsia="ＭＳ ゴシック" w:hAnsi="ＭＳ ゴシック" w:hint="eastAsia"/>
          <w:sz w:val="28"/>
          <w:szCs w:val="28"/>
        </w:rPr>
        <w:t>年度大阪府立支援学校高等部及び幼稚部</w:t>
      </w:r>
    </w:p>
    <w:p w14:paraId="2B83BDC9" w14:textId="77777777" w:rsidR="00C560F9" w:rsidRPr="00A00C2B" w:rsidRDefault="00DC51C5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0C2B">
        <w:rPr>
          <w:rFonts w:ascii="ＭＳ ゴシック" w:eastAsia="ＭＳ ゴシック" w:hAnsi="ＭＳ ゴシック" w:hint="eastAsia"/>
          <w:sz w:val="28"/>
          <w:szCs w:val="28"/>
        </w:rPr>
        <w:t>入学者決定方針</w:t>
      </w:r>
    </w:p>
    <w:p w14:paraId="7814835C" w14:textId="77777777" w:rsidR="00C560F9" w:rsidRPr="00A00C2B" w:rsidRDefault="00C560F9" w:rsidP="0098272C">
      <w:pPr>
        <w:rPr>
          <w:rFonts w:ascii="ＭＳ ゴシック" w:eastAsia="ＭＳ ゴシック" w:hAnsi="ＭＳ ゴシック"/>
          <w:sz w:val="22"/>
          <w:szCs w:val="22"/>
        </w:rPr>
      </w:pPr>
    </w:p>
    <w:p w14:paraId="46005B3B" w14:textId="77777777" w:rsidR="00C560F9" w:rsidRPr="00A00C2B" w:rsidRDefault="00C560F9" w:rsidP="0098272C">
      <w:pPr>
        <w:ind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大阪府立支援学校（大阪府立知的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高等支援学校職業学科を除く。）の高等部及び幼稚部入学者の決定は、以下の方針に基づいて、各支援学校長が行う。</w:t>
      </w:r>
    </w:p>
    <w:p w14:paraId="16B8B530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70BA23E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１　募集人員</w:t>
      </w:r>
    </w:p>
    <w:p w14:paraId="245BFA05" w14:textId="77777777" w:rsidR="00C560F9" w:rsidRPr="00A00C2B" w:rsidRDefault="00F84A0E" w:rsidP="00B83BE4">
      <w:pPr>
        <w:ind w:leftChars="150" w:left="340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大阪府立視覚支援学校高等部専攻科の募集人員</w:t>
      </w:r>
      <w:r w:rsidR="00C560F9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は別に定める。なお、入学予定者数が募集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人員</w:t>
      </w:r>
      <w:r w:rsidR="00C560F9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に満たないときは、追加募集を行うことがある。</w:t>
      </w:r>
    </w:p>
    <w:p w14:paraId="77934EF4" w14:textId="77777777" w:rsidR="00C560F9" w:rsidRPr="00A00C2B" w:rsidRDefault="00C560F9" w:rsidP="0098272C">
      <w:pPr>
        <w:ind w:left="118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</w:p>
    <w:p w14:paraId="6948EF3C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ＭＳ ゴシック" w:eastAsia="ＭＳ ゴシック" w:hAnsi="ＭＳ ゴシック" w:cs="ＭＳ 明朝" w:hint="eastAsia"/>
          <w:kern w:val="0"/>
          <w:sz w:val="24"/>
        </w:rPr>
        <w:t>２</w:t>
      </w:r>
      <w:r w:rsidRPr="00A00C2B">
        <w:rPr>
          <w:rFonts w:ascii="ＭＳ ゴシック" w:eastAsia="ＭＳ ゴシック" w:hAnsi="ＭＳ ゴシック" w:hint="eastAsia"/>
          <w:sz w:val="24"/>
        </w:rPr>
        <w:t xml:space="preserve">　志願できる者</w:t>
      </w:r>
    </w:p>
    <w:p w14:paraId="2E0EAFBC" w14:textId="77777777" w:rsidR="00C560F9" w:rsidRPr="00A00C2B" w:rsidRDefault="00C560F9" w:rsidP="00B83BE4">
      <w:pPr>
        <w:ind w:leftChars="150" w:left="340" w:firstLineChars="100" w:firstLine="237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応募資格は、「大阪府立支援学校高等部及び幼稚部入学者決定実施要項」（以下「入学者決定実施要項」という。）により定める。</w:t>
      </w:r>
    </w:p>
    <w:p w14:paraId="04787819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CA3FE6C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３　検査方法等</w:t>
      </w:r>
    </w:p>
    <w:p w14:paraId="5A643692" w14:textId="77777777" w:rsidR="00C560F9" w:rsidRPr="00A00C2B" w:rsidRDefault="00C560F9" w:rsidP="0098272C">
      <w:pPr>
        <w:ind w:leftChars="50" w:left="586" w:hangingChars="200" w:hanging="473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(1) 入学者の決定は、</w:t>
      </w:r>
      <w:r w:rsidR="008A22D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大阪府教育委員会が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入学者決定実施要項で定める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志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願書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及び出身学校長が提出する書類並びに入学のための検査（以下「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検査」という。）の結果を資料として行う。ただし、大阪府立視覚支援学校・聴覚支援学校の幼稚部の志願者は、出身学校長が提出する書類は不要とする。</w:t>
      </w:r>
    </w:p>
    <w:p w14:paraId="518E67DD" w14:textId="77777777" w:rsidR="00C560F9" w:rsidRPr="00A00C2B" w:rsidRDefault="00C560F9" w:rsidP="0098272C">
      <w:pPr>
        <w:ind w:firstLineChars="50" w:firstLine="118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(2) </w:t>
      </w:r>
      <w:r w:rsidR="008A22D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検査は、当該校において行う。</w:t>
      </w:r>
    </w:p>
    <w:p w14:paraId="5F33678B" w14:textId="77777777" w:rsidR="006F0BC6" w:rsidRPr="00A00C2B" w:rsidRDefault="0098272C" w:rsidP="002E0352">
      <w:pPr>
        <w:ind w:firstLineChars="50" w:firstLine="118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(3)</w:t>
      </w:r>
      <w:r w:rsidRPr="00A00C2B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8B49D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やむを得ず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="008B49D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検査を実施できない場合には、</w:t>
      </w:r>
      <w:r w:rsidR="006F0BC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検査に準じた検査又</w:t>
      </w:r>
    </w:p>
    <w:p w14:paraId="52182CAA" w14:textId="77777777" w:rsidR="00024273" w:rsidRPr="00A00C2B" w:rsidRDefault="0098272C" w:rsidP="006F0BC6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は教育相談を当該校長が実施する</w:t>
      </w:r>
      <w:r w:rsidR="002E0352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ことにより、</w:t>
      </w:r>
      <w:r w:rsidR="00024273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入学者決定</w:t>
      </w:r>
      <w:r w:rsidR="002E0352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検査の一部又はすべてを省</w:t>
      </w:r>
    </w:p>
    <w:p w14:paraId="0476688D" w14:textId="77777777" w:rsidR="0098272C" w:rsidRPr="00A00C2B" w:rsidRDefault="002E0352" w:rsidP="006F0BC6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略して行うことができる。</w:t>
      </w:r>
    </w:p>
    <w:p w14:paraId="4D95A730" w14:textId="77777777" w:rsidR="00C560F9" w:rsidRPr="00A00C2B" w:rsidRDefault="00C560F9" w:rsidP="00EB7395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3BBE99" w14:textId="77777777" w:rsidR="00C560F9" w:rsidRPr="00A00C2B" w:rsidRDefault="00C560F9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４　出願期間、</w:t>
      </w:r>
      <w:r w:rsidR="00EF5A42" w:rsidRPr="00A00C2B">
        <w:rPr>
          <w:rFonts w:ascii="ＭＳ ゴシック" w:eastAsia="ＭＳ ゴシック" w:hAnsi="ＭＳ ゴシック" w:hint="eastAsia"/>
          <w:sz w:val="24"/>
        </w:rPr>
        <w:t>入学者決定</w:t>
      </w:r>
      <w:r w:rsidRPr="00A00C2B">
        <w:rPr>
          <w:rFonts w:ascii="ＭＳ ゴシック" w:eastAsia="ＭＳ ゴシック" w:hAnsi="ＭＳ ゴシック" w:hint="eastAsia"/>
          <w:sz w:val="24"/>
        </w:rPr>
        <w:t>検査及び入学予定者発表の期日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701"/>
        <w:gridCol w:w="2126"/>
        <w:gridCol w:w="1985"/>
        <w:gridCol w:w="1955"/>
      </w:tblGrid>
      <w:tr w:rsidR="00C560F9" w:rsidRPr="00A00C2B" w14:paraId="6F8C210D" w14:textId="77777777" w:rsidTr="008843FC">
        <w:trPr>
          <w:trHeight w:val="170"/>
        </w:trPr>
        <w:tc>
          <w:tcPr>
            <w:tcW w:w="1588" w:type="dxa"/>
            <w:shd w:val="clear" w:color="auto" w:fill="auto"/>
          </w:tcPr>
          <w:p w14:paraId="6C0BA51B" w14:textId="22EEFD1C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学校種別</w:t>
            </w:r>
          </w:p>
        </w:tc>
        <w:tc>
          <w:tcPr>
            <w:tcW w:w="1701" w:type="dxa"/>
            <w:shd w:val="clear" w:color="auto" w:fill="auto"/>
          </w:tcPr>
          <w:p w14:paraId="15C9FF7D" w14:textId="526FB3BA" w:rsidR="00C560F9" w:rsidRPr="00A00C2B" w:rsidRDefault="00140FC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部及び</w:t>
            </w:r>
            <w:r w:rsidR="0066327C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015B1509" w14:textId="77777777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出願期間</w:t>
            </w:r>
          </w:p>
        </w:tc>
        <w:tc>
          <w:tcPr>
            <w:tcW w:w="1985" w:type="dxa"/>
            <w:shd w:val="clear" w:color="auto" w:fill="auto"/>
          </w:tcPr>
          <w:p w14:paraId="1E42BDB5" w14:textId="77777777" w:rsidR="00C560F9" w:rsidRPr="00A00C2B" w:rsidRDefault="008A22D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入学者決定検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査</w:t>
            </w:r>
          </w:p>
        </w:tc>
        <w:tc>
          <w:tcPr>
            <w:tcW w:w="1955" w:type="dxa"/>
            <w:shd w:val="clear" w:color="auto" w:fill="auto"/>
          </w:tcPr>
          <w:p w14:paraId="01748E84" w14:textId="77777777" w:rsidR="00C560F9" w:rsidRPr="00A00C2B" w:rsidRDefault="00C560F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入学予定者発表</w:t>
            </w:r>
          </w:p>
        </w:tc>
      </w:tr>
      <w:tr w:rsidR="00C560F9" w:rsidRPr="00A00C2B" w14:paraId="5195205C" w14:textId="77777777" w:rsidTr="008843FC">
        <w:trPr>
          <w:trHeight w:val="743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6DDCCFAB" w14:textId="77777777" w:rsidR="00CA3A83" w:rsidRPr="00A00C2B" w:rsidRDefault="00C560F9" w:rsidP="00CA3A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proofErr w:type="gramStart"/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視覚</w:t>
            </w:r>
            <w:r w:rsidR="00CA3A83"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障がい</w:t>
            </w:r>
            <w:proofErr w:type="gramEnd"/>
          </w:p>
          <w:p w14:paraId="4B17BBF2" w14:textId="77777777" w:rsidR="00C560F9" w:rsidRPr="00A00C2B" w:rsidRDefault="00C560F9" w:rsidP="00CA3A8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2113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高等部専攻科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C9207" w14:textId="2EA82723" w:rsidR="00E24F14" w:rsidRPr="00A00C2B" w:rsidRDefault="00E24F14" w:rsidP="00E24F1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="00AF26D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5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日(金)から</w:t>
            </w:r>
          </w:p>
          <w:p w14:paraId="656ADED9" w14:textId="3B63E2BB" w:rsidR="008D48B0" w:rsidRPr="00A00C2B" w:rsidRDefault="00E24F14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１月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19"/>
              </w:rPr>
              <w:t>22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日(金)まで</w:t>
            </w:r>
          </w:p>
          <w:p w14:paraId="4FF40F89" w14:textId="77777777" w:rsidR="00E24F14" w:rsidRPr="00A00C2B" w:rsidRDefault="00E24F14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9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(土、日を除く)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04D967" w14:textId="42A439E2" w:rsidR="00C560F9" w:rsidRPr="00A00C2B" w:rsidRDefault="00A747E2" w:rsidP="00ED3B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="008843FC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8843FC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土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2152E12" w14:textId="4B7E860A" w:rsidR="00C560F9" w:rsidRPr="00A00C2B" w:rsidRDefault="00A747E2" w:rsidP="00ED3B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2月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</w:p>
        </w:tc>
      </w:tr>
      <w:tr w:rsidR="00C560F9" w:rsidRPr="00A00C2B" w14:paraId="5B72D227" w14:textId="77777777" w:rsidTr="008843FC">
        <w:trPr>
          <w:trHeight w:val="285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74F9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67DAC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高等部本科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01370" w14:textId="130FAC15" w:rsidR="00C560F9" w:rsidRPr="00A00C2B" w:rsidRDefault="00A747E2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="00AF26D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から</w:t>
            </w:r>
          </w:p>
          <w:p w14:paraId="1C469584" w14:textId="6EFE69F4" w:rsidR="008D48B0" w:rsidRPr="00A00C2B" w:rsidRDefault="00A747E2" w:rsidP="00303E8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1月</w:t>
            </w:r>
            <w:r w:rsidR="008843FC" w:rsidRPr="00A00C2B">
              <w:rPr>
                <w:rFonts w:ascii="HG丸ｺﾞｼｯｸM-PRO" w:eastAsia="HG丸ｺﾞｼｯｸM-PRO" w:hAnsi="HG丸ｺﾞｼｯｸM-PRO"/>
                <w:sz w:val="20"/>
                <w:szCs w:val="22"/>
              </w:rPr>
              <w:t>29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日</w:t>
            </w:r>
            <w:r w:rsidR="008F1C89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(金)</w:t>
            </w:r>
            <w:r w:rsidR="00C560F9" w:rsidRPr="00A00C2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まで</w:t>
            </w:r>
          </w:p>
          <w:p w14:paraId="5AE2BD19" w14:textId="77777777" w:rsidR="00C560F9" w:rsidRPr="00A00C2B" w:rsidRDefault="00C560F9" w:rsidP="008D48B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(</w:t>
            </w:r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幼稚部及び</w:t>
            </w:r>
            <w:proofErr w:type="gramStart"/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聴覚障がい</w:t>
            </w:r>
            <w:proofErr w:type="gramEnd"/>
            <w:r w:rsidR="00F93A00"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支援学校高等部専攻科は</w:t>
            </w:r>
            <w:r w:rsidRPr="00A00C2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土、日を除く)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77D413F" w14:textId="387A797C" w:rsidR="00C560F9" w:rsidRPr="00A00C2B" w:rsidRDefault="008F1C89" w:rsidP="00AC5100">
            <w:pPr>
              <w:tabs>
                <w:tab w:val="left" w:pos="2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="001D6B18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AA4170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木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CED92" w14:textId="070CE999" w:rsidR="00C560F9" w:rsidRPr="00A00C2B" w:rsidRDefault="008F1C89" w:rsidP="00E75D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3月</w:t>
            </w:r>
            <w:r w:rsidR="008843FC" w:rsidRPr="00A00C2B">
              <w:rPr>
                <w:rFonts w:ascii="HG丸ｺﾞｼｯｸM-PRO" w:eastAsia="HG丸ｺﾞｼｯｸM-PRO" w:hAnsi="HG丸ｺﾞｼｯｸM-PRO"/>
                <w:sz w:val="22"/>
                <w:szCs w:val="22"/>
              </w:rPr>
              <w:t>15</w:t>
            </w: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(</w:t>
            </w:r>
            <w:r w:rsidR="00AA4170"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月</w:t>
            </w:r>
            <w:r w:rsidRPr="00A00C2B">
              <w:rPr>
                <w:rFonts w:ascii="HG丸ｺﾞｼｯｸM-PRO" w:eastAsia="HG丸ｺﾞｼｯｸM-PRO" w:hAnsi="HG丸ｺﾞｼｯｸM-PRO" w:hint="eastAsia"/>
                <w:sz w:val="20"/>
                <w:szCs w:val="19"/>
              </w:rPr>
              <w:t>)</w:t>
            </w:r>
          </w:p>
        </w:tc>
      </w:tr>
      <w:tr w:rsidR="00C560F9" w:rsidRPr="00A00C2B" w14:paraId="257EAF8F" w14:textId="77777777" w:rsidTr="008843FC">
        <w:trPr>
          <w:trHeight w:val="262"/>
        </w:trPr>
        <w:tc>
          <w:tcPr>
            <w:tcW w:w="1588" w:type="dxa"/>
            <w:vMerge/>
            <w:shd w:val="clear" w:color="auto" w:fill="auto"/>
          </w:tcPr>
          <w:p w14:paraId="5EF51362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F5820C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幼稚部</w:t>
            </w:r>
          </w:p>
        </w:tc>
        <w:tc>
          <w:tcPr>
            <w:tcW w:w="2126" w:type="dxa"/>
            <w:vMerge/>
            <w:shd w:val="clear" w:color="auto" w:fill="auto"/>
          </w:tcPr>
          <w:p w14:paraId="378AF25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87F76FA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7D043553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382F38BF" w14:textId="77777777" w:rsidTr="008843FC">
        <w:trPr>
          <w:trHeight w:val="279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0821C4EA" w14:textId="77777777" w:rsidR="00CA3A83" w:rsidRPr="00A00C2B" w:rsidRDefault="00C560F9" w:rsidP="00BE21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proofErr w:type="gramStart"/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聴覚</w:t>
            </w:r>
            <w:r w:rsidR="00CA3A83"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障がい</w:t>
            </w:r>
            <w:proofErr w:type="gramEnd"/>
          </w:p>
          <w:p w14:paraId="128BEED2" w14:textId="77777777" w:rsidR="00C560F9" w:rsidRPr="00A00C2B" w:rsidRDefault="00C560F9" w:rsidP="00BE21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5AF67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高等部専攻科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36D656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C98BD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2C078969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51E2E08B" w14:textId="77777777" w:rsidTr="008843FC">
        <w:trPr>
          <w:trHeight w:val="255"/>
        </w:trPr>
        <w:tc>
          <w:tcPr>
            <w:tcW w:w="1588" w:type="dxa"/>
            <w:vMerge/>
            <w:shd w:val="clear" w:color="auto" w:fill="auto"/>
            <w:vAlign w:val="center"/>
          </w:tcPr>
          <w:p w14:paraId="06A0B95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F278F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高等部本科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18B24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7CB10D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2FA11657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3568AA87" w14:textId="77777777" w:rsidTr="008843FC">
        <w:trPr>
          <w:trHeight w:val="274"/>
        </w:trPr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D25A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9C2B1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幼稚部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EF06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F92258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740A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560F9" w:rsidRPr="00A00C2B" w14:paraId="51DEA7DC" w14:textId="77777777" w:rsidTr="008843FC">
        <w:trPr>
          <w:trHeight w:val="1022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BEAF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知的</w:t>
            </w:r>
            <w:proofErr w:type="gramStart"/>
            <w:r w:rsidR="00CA3A83"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</w:t>
            </w:r>
            <w:proofErr w:type="gramEnd"/>
          </w:p>
          <w:p w14:paraId="6639F78B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肢体不自由</w:t>
            </w:r>
          </w:p>
          <w:p w14:paraId="58DA83A2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病弱</w:t>
            </w:r>
          </w:p>
          <w:p w14:paraId="51F8CC8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支援学校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EF05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00C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高等部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407174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D326E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945DC9" w14:textId="77777777" w:rsidR="00C560F9" w:rsidRPr="00A00C2B" w:rsidRDefault="00C560F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5DA7378" w14:textId="77777777" w:rsidR="00C560F9" w:rsidRPr="00A00C2B" w:rsidRDefault="00C560F9" w:rsidP="00EB7395">
      <w:pPr>
        <w:spacing w:line="1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88CA68D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５　併願等</w:t>
      </w:r>
    </w:p>
    <w:p w14:paraId="16DE2E8A" w14:textId="5CC1DAB7" w:rsidR="00C560F9" w:rsidRPr="00A00C2B" w:rsidRDefault="00C560F9" w:rsidP="008A22DB">
      <w:pPr>
        <w:ind w:leftChars="62" w:left="584" w:hangingChars="187" w:hanging="443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(1) 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本入学者決定に出願する者は、令和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年度大阪府公立高等学校入学者選抜</w:t>
      </w:r>
      <w:r w:rsidR="00436CB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</w:t>
      </w:r>
      <w:r w:rsidR="00DB5C96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</w:t>
      </w:r>
      <w:r w:rsidR="0011728B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高等支援学校職業学科入学者選抜において、併願することができる。</w:t>
      </w:r>
    </w:p>
    <w:p w14:paraId="64AC2A44" w14:textId="5A1EBD8D" w:rsidR="00C560F9" w:rsidRPr="00A00C2B" w:rsidRDefault="00C560F9" w:rsidP="008A22DB">
      <w:pPr>
        <w:ind w:leftChars="63" w:left="628" w:hangingChars="205" w:hanging="485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(2) </w:t>
      </w:r>
      <w:r w:rsidR="009D430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年度大阪府公立高等学校入学者選抜</w:t>
      </w:r>
      <w:r w:rsidR="00436CBE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及び</w:t>
      </w:r>
      <w:r w:rsidR="00315AED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8843FC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年度大阪府立知的</w:t>
      </w:r>
      <w:proofErr w:type="gramStart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障がい</w:t>
      </w:r>
      <w:proofErr w:type="gramEnd"/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高等支援学校職業学科入学者選抜の合格者は、本入学者決定</w:t>
      </w:r>
      <w:r w:rsidR="00F93A00"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による</w:t>
      </w: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入学資格を失う。</w:t>
      </w:r>
    </w:p>
    <w:p w14:paraId="3BDE4D24" w14:textId="77777777" w:rsidR="00C560F9" w:rsidRPr="00A00C2B" w:rsidRDefault="00C560F9" w:rsidP="009827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424122" w14:textId="77777777" w:rsidR="00C560F9" w:rsidRPr="00A00C2B" w:rsidRDefault="00C560F9" w:rsidP="0098272C">
      <w:pPr>
        <w:rPr>
          <w:rFonts w:ascii="ＭＳ ゴシック" w:eastAsia="ＭＳ ゴシック" w:hAnsi="ＭＳ ゴシック"/>
          <w:sz w:val="24"/>
        </w:rPr>
      </w:pPr>
      <w:r w:rsidRPr="00A00C2B">
        <w:rPr>
          <w:rFonts w:ascii="ＭＳ ゴシック" w:eastAsia="ＭＳ ゴシック" w:hAnsi="ＭＳ ゴシック" w:hint="eastAsia"/>
          <w:sz w:val="24"/>
        </w:rPr>
        <w:t>６　その他</w:t>
      </w:r>
    </w:p>
    <w:p w14:paraId="3AC99423" w14:textId="77777777" w:rsidR="00C560F9" w:rsidRDefault="00C560F9" w:rsidP="00BD331B">
      <w:pPr>
        <w:ind w:firstLineChars="250" w:firstLine="592"/>
        <w:rPr>
          <w:rFonts w:ascii="HG丸ｺﾞｼｯｸM-PRO" w:eastAsia="HG丸ｺﾞｼｯｸM-PRO" w:hAnsi="HG丸ｺﾞｼｯｸM-PRO"/>
          <w:sz w:val="22"/>
          <w:szCs w:val="22"/>
        </w:rPr>
      </w:pPr>
      <w:r w:rsidRPr="00A00C2B">
        <w:rPr>
          <w:rFonts w:ascii="HG丸ｺﾞｼｯｸM-PRO" w:eastAsia="HG丸ｺﾞｼｯｸM-PRO" w:hAnsi="HG丸ｺﾞｼｯｸM-PRO" w:hint="eastAsia"/>
          <w:sz w:val="22"/>
          <w:szCs w:val="22"/>
        </w:rPr>
        <w:t>入学者の決定に関し必要な事項は、大阪府教育委員会が別に定める。</w:t>
      </w:r>
    </w:p>
    <w:sectPr w:rsidR="00C560F9" w:rsidSect="006B4665">
      <w:footerReference w:type="default" r:id="rId8"/>
      <w:footerReference w:type="first" r:id="rId9"/>
      <w:pgSz w:w="11906" w:h="16838" w:code="9"/>
      <w:pgMar w:top="851" w:right="1134" w:bottom="851" w:left="1134" w:header="851" w:footer="295" w:gutter="0"/>
      <w:pgNumType w:fmt="decimalFullWidth" w:start="23"/>
      <w:cols w:space="425"/>
      <w:titlePg/>
      <w:docGrid w:type="linesAndChars" w:linePitch="33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C132" w14:textId="77777777" w:rsidR="00EB233B" w:rsidRDefault="00EB233B">
      <w:r>
        <w:separator/>
      </w:r>
    </w:p>
  </w:endnote>
  <w:endnote w:type="continuationSeparator" w:id="0">
    <w:p w14:paraId="2B33A05A" w14:textId="77777777" w:rsidR="00EB233B" w:rsidRDefault="00E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0EFB" w14:textId="77777777" w:rsidR="00C560F9" w:rsidRDefault="00C560F9">
    <w:pPr>
      <w:pStyle w:val="a7"/>
      <w:jc w:val="center"/>
    </w:pPr>
  </w:p>
  <w:p w14:paraId="738F7B56" w14:textId="77777777" w:rsidR="00C560F9" w:rsidRDefault="00C560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168A" w14:textId="77777777" w:rsidR="00CF34BB" w:rsidRPr="00CF34BB" w:rsidRDefault="00CF34BB">
    <w:pPr>
      <w:pStyle w:val="a7"/>
      <w:jc w:val="center"/>
      <w:rPr>
        <w:rFonts w:ascii="HG丸ｺﾞｼｯｸM-PRO" w:eastAsia="HG丸ｺﾞｼｯｸM-PRO" w:hAnsi="HG丸ｺﾞｼｯｸM-PRO"/>
      </w:rPr>
    </w:pPr>
  </w:p>
  <w:p w14:paraId="37C57C9B" w14:textId="77777777" w:rsidR="00C560F9" w:rsidRDefault="00C560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D3EF" w14:textId="77777777" w:rsidR="00EB233B" w:rsidRDefault="00EB233B">
      <w:r>
        <w:separator/>
      </w:r>
    </w:p>
  </w:footnote>
  <w:footnote w:type="continuationSeparator" w:id="0">
    <w:p w14:paraId="1F0AFCF1" w14:textId="77777777" w:rsidR="00EB233B" w:rsidRDefault="00EB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705D"/>
    <w:multiLevelType w:val="hybridMultilevel"/>
    <w:tmpl w:val="33DAA286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31ECBBBC">
      <w:start w:val="1"/>
      <w:numFmt w:val="aiueoFullWidth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C81679"/>
    <w:multiLevelType w:val="hybridMultilevel"/>
    <w:tmpl w:val="AED814D2"/>
    <w:lvl w:ilvl="0" w:tplc="C6C05072">
      <w:start w:val="1"/>
      <w:numFmt w:val="decimal"/>
      <w:lvlText w:val="(%1)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" w15:restartNumberingAfterBreak="0">
    <w:nsid w:val="1E944739"/>
    <w:multiLevelType w:val="hybridMultilevel"/>
    <w:tmpl w:val="3258C8AC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9C1C651E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405071"/>
    <w:multiLevelType w:val="hybridMultilevel"/>
    <w:tmpl w:val="732AAD68"/>
    <w:lvl w:ilvl="0" w:tplc="67602AD4">
      <w:start w:val="1"/>
      <w:numFmt w:val="decimalFullWidth"/>
      <w:lvlText w:val="(%1)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4" w15:restartNumberingAfterBreak="0">
    <w:nsid w:val="233A2AD2"/>
    <w:multiLevelType w:val="hybridMultilevel"/>
    <w:tmpl w:val="ECA2C5E0"/>
    <w:lvl w:ilvl="0" w:tplc="C3BA44B4">
      <w:start w:val="1"/>
      <w:numFmt w:val="decimal"/>
      <w:lvlText w:val="(%1)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428A674F"/>
    <w:multiLevelType w:val="hybridMultilevel"/>
    <w:tmpl w:val="6A24411E"/>
    <w:lvl w:ilvl="0" w:tplc="983C9F0C">
      <w:start w:val="1"/>
      <w:numFmt w:val="decimal"/>
      <w:lvlText w:val="(%1)"/>
      <w:lvlJc w:val="left"/>
      <w:pPr>
        <w:ind w:left="10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5" w:hanging="420"/>
      </w:pPr>
    </w:lvl>
  </w:abstractNum>
  <w:abstractNum w:abstractNumId="6" w15:restartNumberingAfterBreak="0">
    <w:nsid w:val="467825A4"/>
    <w:multiLevelType w:val="hybridMultilevel"/>
    <w:tmpl w:val="CDCE1404"/>
    <w:lvl w:ilvl="0" w:tplc="67D83D5E">
      <w:numFmt w:val="bullet"/>
      <w:lvlText w:val="・"/>
      <w:lvlJc w:val="left"/>
      <w:pPr>
        <w:tabs>
          <w:tab w:val="num" w:pos="766"/>
        </w:tabs>
        <w:ind w:left="766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6"/>
        </w:tabs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</w:abstractNum>
  <w:abstractNum w:abstractNumId="7" w15:restartNumberingAfterBreak="0">
    <w:nsid w:val="59AE2A19"/>
    <w:multiLevelType w:val="hybridMultilevel"/>
    <w:tmpl w:val="FFAAB990"/>
    <w:lvl w:ilvl="0" w:tplc="C3BA44B4">
      <w:start w:val="1"/>
      <w:numFmt w:val="decimal"/>
      <w:lvlText w:val="(%1)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5B7D1387"/>
    <w:multiLevelType w:val="hybridMultilevel"/>
    <w:tmpl w:val="480C5FAE"/>
    <w:lvl w:ilvl="0" w:tplc="54CCA4F8">
      <w:numFmt w:val="bullet"/>
      <w:lvlText w:val="・"/>
      <w:lvlJc w:val="left"/>
      <w:pPr>
        <w:tabs>
          <w:tab w:val="num" w:pos="617"/>
        </w:tabs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7"/>
        </w:tabs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</w:abstractNum>
  <w:abstractNum w:abstractNumId="9" w15:restartNumberingAfterBreak="0">
    <w:nsid w:val="6E0C06FC"/>
    <w:multiLevelType w:val="hybridMultilevel"/>
    <w:tmpl w:val="1F5ED898"/>
    <w:lvl w:ilvl="0" w:tplc="92B0FB54">
      <w:start w:val="1"/>
      <w:numFmt w:val="decimal"/>
      <w:lvlText w:val="(%1)"/>
      <w:lvlJc w:val="left"/>
      <w:pPr>
        <w:ind w:left="900" w:hanging="480"/>
      </w:pPr>
      <w:rPr>
        <w:rFonts w:hint="default"/>
      </w:rPr>
    </w:lvl>
    <w:lvl w:ilvl="1" w:tplc="9C1C651E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3E"/>
    <w:rsid w:val="00010D3D"/>
    <w:rsid w:val="0001630F"/>
    <w:rsid w:val="00024273"/>
    <w:rsid w:val="00032351"/>
    <w:rsid w:val="000E0FD1"/>
    <w:rsid w:val="000F0580"/>
    <w:rsid w:val="00116CEC"/>
    <w:rsid w:val="0011728B"/>
    <w:rsid w:val="00140FC6"/>
    <w:rsid w:val="001D6B18"/>
    <w:rsid w:val="002420B5"/>
    <w:rsid w:val="002707A9"/>
    <w:rsid w:val="002B05AB"/>
    <w:rsid w:val="002E0352"/>
    <w:rsid w:val="00303E8E"/>
    <w:rsid w:val="00315AED"/>
    <w:rsid w:val="00340283"/>
    <w:rsid w:val="00380669"/>
    <w:rsid w:val="003A4744"/>
    <w:rsid w:val="003A5FA5"/>
    <w:rsid w:val="003C5969"/>
    <w:rsid w:val="00407F08"/>
    <w:rsid w:val="00436CBE"/>
    <w:rsid w:val="004730AA"/>
    <w:rsid w:val="004C018B"/>
    <w:rsid w:val="004C30FD"/>
    <w:rsid w:val="004D063A"/>
    <w:rsid w:val="00500C4D"/>
    <w:rsid w:val="00552320"/>
    <w:rsid w:val="005804B3"/>
    <w:rsid w:val="00591D3B"/>
    <w:rsid w:val="005A1256"/>
    <w:rsid w:val="005B5D90"/>
    <w:rsid w:val="0062141B"/>
    <w:rsid w:val="0066327C"/>
    <w:rsid w:val="006656C7"/>
    <w:rsid w:val="006A2933"/>
    <w:rsid w:val="006B4665"/>
    <w:rsid w:val="006F0BC6"/>
    <w:rsid w:val="007519B1"/>
    <w:rsid w:val="007F04B3"/>
    <w:rsid w:val="00810070"/>
    <w:rsid w:val="00846B9E"/>
    <w:rsid w:val="00852E5F"/>
    <w:rsid w:val="008843FC"/>
    <w:rsid w:val="00890625"/>
    <w:rsid w:val="008A101B"/>
    <w:rsid w:val="008A22DB"/>
    <w:rsid w:val="008A5FEE"/>
    <w:rsid w:val="008B3E99"/>
    <w:rsid w:val="008B49DE"/>
    <w:rsid w:val="008D268C"/>
    <w:rsid w:val="008D48B0"/>
    <w:rsid w:val="008E3A91"/>
    <w:rsid w:val="008F1C89"/>
    <w:rsid w:val="009277E9"/>
    <w:rsid w:val="0098272C"/>
    <w:rsid w:val="009B546C"/>
    <w:rsid w:val="009C34AF"/>
    <w:rsid w:val="009D430E"/>
    <w:rsid w:val="00A00C2B"/>
    <w:rsid w:val="00A02520"/>
    <w:rsid w:val="00A747E2"/>
    <w:rsid w:val="00A85415"/>
    <w:rsid w:val="00A93208"/>
    <w:rsid w:val="00AA4170"/>
    <w:rsid w:val="00AC407B"/>
    <w:rsid w:val="00AC5100"/>
    <w:rsid w:val="00AD1D31"/>
    <w:rsid w:val="00AF26DC"/>
    <w:rsid w:val="00AF2EED"/>
    <w:rsid w:val="00B3473E"/>
    <w:rsid w:val="00B632A1"/>
    <w:rsid w:val="00B83BE4"/>
    <w:rsid w:val="00B84969"/>
    <w:rsid w:val="00BD331B"/>
    <w:rsid w:val="00BD471F"/>
    <w:rsid w:val="00BE2172"/>
    <w:rsid w:val="00C560F9"/>
    <w:rsid w:val="00C621B0"/>
    <w:rsid w:val="00C805BA"/>
    <w:rsid w:val="00CA3A83"/>
    <w:rsid w:val="00CA4C63"/>
    <w:rsid w:val="00CB4F24"/>
    <w:rsid w:val="00CF34BB"/>
    <w:rsid w:val="00CF3F81"/>
    <w:rsid w:val="00D01353"/>
    <w:rsid w:val="00D165FF"/>
    <w:rsid w:val="00D358E8"/>
    <w:rsid w:val="00D4334F"/>
    <w:rsid w:val="00D549D1"/>
    <w:rsid w:val="00DA1F0A"/>
    <w:rsid w:val="00DB5C96"/>
    <w:rsid w:val="00DC51C5"/>
    <w:rsid w:val="00DF6427"/>
    <w:rsid w:val="00E112E6"/>
    <w:rsid w:val="00E144E9"/>
    <w:rsid w:val="00E24F14"/>
    <w:rsid w:val="00E45AE2"/>
    <w:rsid w:val="00E75D82"/>
    <w:rsid w:val="00EA2146"/>
    <w:rsid w:val="00EB233B"/>
    <w:rsid w:val="00EB7395"/>
    <w:rsid w:val="00ED3BB0"/>
    <w:rsid w:val="00EF5A42"/>
    <w:rsid w:val="00F10566"/>
    <w:rsid w:val="00F35793"/>
    <w:rsid w:val="00F83E15"/>
    <w:rsid w:val="00F84A0E"/>
    <w:rsid w:val="00F93A00"/>
    <w:rsid w:val="00F9620A"/>
    <w:rsid w:val="00FA2629"/>
    <w:rsid w:val="00FD330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94B4EE"/>
  <w15:chartTrackingRefBased/>
  <w15:docId w15:val="{7F653B71-91F7-4258-8E33-5681499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customStyle="1" w:styleId="a9">
    <w:name w:val="一太郎"/>
    <w:link w:val="a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aa">
    <w:name w:val="一太郎 (文字)"/>
    <w:link w:val="a9"/>
    <w:rPr>
      <w:rFonts w:cs="ＭＳ 明朝"/>
      <w:spacing w:val="-1"/>
      <w:sz w:val="24"/>
      <w:szCs w:val="24"/>
    </w:rPr>
  </w:style>
  <w:style w:type="paragraph" w:styleId="ab">
    <w:name w:val="Plain Text"/>
    <w:basedOn w:val="a"/>
    <w:link w:val="ac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annotation reference"/>
    <w:basedOn w:val="a0"/>
    <w:rsid w:val="0066327C"/>
    <w:rPr>
      <w:sz w:val="18"/>
      <w:szCs w:val="18"/>
    </w:rPr>
  </w:style>
  <w:style w:type="paragraph" w:styleId="ae">
    <w:name w:val="annotation text"/>
    <w:basedOn w:val="a"/>
    <w:link w:val="af"/>
    <w:rsid w:val="0066327C"/>
    <w:pPr>
      <w:jc w:val="left"/>
    </w:pPr>
  </w:style>
  <w:style w:type="character" w:customStyle="1" w:styleId="af">
    <w:name w:val="コメント文字列 (文字)"/>
    <w:basedOn w:val="a0"/>
    <w:link w:val="ae"/>
    <w:rsid w:val="0066327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6327C"/>
    <w:rPr>
      <w:b/>
      <w:bCs/>
    </w:rPr>
  </w:style>
  <w:style w:type="character" w:customStyle="1" w:styleId="af1">
    <w:name w:val="コメント内容 (文字)"/>
    <w:basedOn w:val="af"/>
    <w:link w:val="af0"/>
    <w:rsid w:val="006632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9989-2CE6-464C-BD46-3D6F380A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903</Words>
  <Characters>113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（案１）</vt:lpstr>
      <vt:lpstr>（案１）</vt:lpstr>
    </vt:vector>
  </TitlesOfParts>
  <Company>大阪府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（案１）</dc:title>
  <dc:subject/>
  <cp:keywords/>
  <dc:description/>
  <cp:revision>6</cp:revision>
  <cp:lastPrinted>2022-03-08T01:56:00Z</cp:lastPrinted>
  <dcterms:created xsi:type="dcterms:W3CDTF">2026-03-02T07:13:00Z</dcterms:created>
  <dcterms:modified xsi:type="dcterms:W3CDTF">2026-03-16T04:22:00Z</dcterms:modified>
</cp:coreProperties>
</file>