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9C7955" w:rsidP="009C7955">
      <w:pPr>
        <w:autoSpaceDE w:val="0"/>
        <w:autoSpaceDN w:val="0"/>
        <w:jc w:val="center"/>
        <w:rPr>
          <w:rFonts w:asciiTheme="minorEastAsia" w:eastAsiaTheme="minorEastAsia" w:hAnsiTheme="minorEastAsia"/>
          <w:szCs w:val="24"/>
        </w:rPr>
      </w:pPr>
      <w:r w:rsidRPr="00D154F6">
        <w:rPr>
          <w:rFonts w:asciiTheme="minorEastAsia" w:eastAsiaTheme="minorEastAsia" w:hAnsiTheme="minorEastAsia" w:hint="eastAsia"/>
          <w:szCs w:val="24"/>
        </w:rPr>
        <w:t>国際金融都市OSAKA推進委員会</w:t>
      </w:r>
      <w:r w:rsidR="00CD18C0">
        <w:rPr>
          <w:rFonts w:asciiTheme="minorEastAsia" w:eastAsiaTheme="minorEastAsia" w:hAnsiTheme="minorEastAsia" w:hint="eastAsia"/>
          <w:szCs w:val="24"/>
        </w:rPr>
        <w:t>規約</w:t>
      </w:r>
      <w:bookmarkStart w:id="0" w:name="_GoBack"/>
      <w:bookmarkEnd w:id="0"/>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lastRenderedPageBreak/>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lastRenderedPageBreak/>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D18C0"/>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1A334D"/>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A364-B761-46D4-ABFE-A7F7B606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2021-03-18T13:09:00Z</cp:lastPrinted>
  <dcterms:created xsi:type="dcterms:W3CDTF">2021-03-02T04:54:00Z</dcterms:created>
  <dcterms:modified xsi:type="dcterms:W3CDTF">2021-03-29T05:55:00Z</dcterms:modified>
</cp:coreProperties>
</file>