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8F" w:rsidRDefault="00FD1A8F" w:rsidP="002F7290">
      <w:pPr>
        <w:pStyle w:val="1"/>
      </w:pPr>
      <w:bookmarkStart w:id="0" w:name="_GoBack"/>
      <w:bookmarkEnd w:id="0"/>
      <w:r>
        <w:rPr>
          <w:rFonts w:hint="eastAsia"/>
        </w:rPr>
        <w:t>国民経済計算体系（</w:t>
      </w:r>
      <w:r w:rsidRPr="00B45C6D">
        <w:rPr>
          <w:rFonts w:ascii="ＭＳ Ｐゴシック" w:eastAsia="ＭＳ Ｐゴシック" w:hAnsi="ＭＳ Ｐゴシック" w:hint="eastAsia"/>
        </w:rPr>
        <w:t>SNA</w:t>
      </w:r>
      <w:r>
        <w:rPr>
          <w:rFonts w:hint="eastAsia"/>
        </w:rPr>
        <w:t>）への対応</w:t>
      </w:r>
    </w:p>
    <w:p w:rsidR="00FD1A8F" w:rsidRPr="00F83F6A" w:rsidRDefault="00FD1A8F" w:rsidP="00EF19A4">
      <w:pPr>
        <w:rPr>
          <w:rFonts w:ascii="ＭＳ ゴシック" w:eastAsia="ＭＳ ゴシック"/>
          <w:b/>
          <w:bCs/>
          <w:sz w:val="24"/>
        </w:rPr>
      </w:pPr>
    </w:p>
    <w:p w:rsidR="00FD1A8F" w:rsidRPr="00A0572B" w:rsidRDefault="00FD1A8F" w:rsidP="00FB3E6E">
      <w:pPr>
        <w:pStyle w:val="2"/>
      </w:pPr>
      <w:r w:rsidRPr="00A0572B">
        <w:rPr>
          <w:rFonts w:hint="eastAsia"/>
        </w:rPr>
        <w:t xml:space="preserve">　国及び大阪府における推計の沿革、並びに</w:t>
      </w:r>
      <w:r w:rsidRPr="00A0572B">
        <w:rPr>
          <w:rFonts w:ascii="ＭＳ Ｐゴシック" w:eastAsia="ＭＳ Ｐゴシック" w:hAnsi="ＭＳ Ｐゴシック" w:hint="eastAsia"/>
        </w:rPr>
        <w:t>SNA</w:t>
      </w:r>
      <w:r w:rsidRPr="00A0572B">
        <w:rPr>
          <w:rFonts w:hint="eastAsia"/>
        </w:rPr>
        <w:t>への対応</w:t>
      </w:r>
    </w:p>
    <w:p w:rsidR="00FD1A8F" w:rsidRPr="0040195F" w:rsidRDefault="00FD1A8F" w:rsidP="00EF19A4">
      <w:pPr>
        <w:ind w:firstLineChars="100" w:firstLine="210"/>
        <w:rPr>
          <w:rFonts w:ascii="ＭＳ 明朝" w:hAnsi="ＭＳ 明朝"/>
        </w:rPr>
      </w:pPr>
      <w:r w:rsidRPr="0040195F">
        <w:rPr>
          <w:rFonts w:ascii="ＭＳ 明朝" w:hint="eastAsia"/>
        </w:rPr>
        <w:t>国民所得統計は、</w:t>
      </w:r>
      <w:r w:rsidRPr="0040195F">
        <w:rPr>
          <w:rFonts w:ascii="ＭＳ 明朝" w:hAnsi="ＭＳ 明朝" w:hint="eastAsia"/>
        </w:rPr>
        <w:t>内閣統計局（現総務省）が1928（</w:t>
      </w:r>
      <w:r w:rsidRPr="0040195F">
        <w:rPr>
          <w:rFonts w:ascii="ＭＳ 明朝" w:hint="eastAsia"/>
        </w:rPr>
        <w:t>昭和３）年に「大正</w:t>
      </w:r>
      <w:r w:rsidRPr="0040195F">
        <w:rPr>
          <w:rFonts w:ascii="ＭＳ 明朝" w:hAnsi="ＭＳ 明朝" w:hint="eastAsia"/>
        </w:rPr>
        <w:t>14</w:t>
      </w:r>
      <w:r w:rsidRPr="0040195F">
        <w:rPr>
          <w:rFonts w:ascii="ＭＳ 明朝" w:hint="eastAsia"/>
        </w:rPr>
        <w:t>年における国民所得」をまとめたものが</w:t>
      </w:r>
      <w:r w:rsidRPr="0040195F">
        <w:rPr>
          <w:rFonts w:ascii="ＭＳ 明朝" w:hAnsi="ＭＳ 明朝" w:hint="eastAsia"/>
        </w:rPr>
        <w:t>最初である。以後第2次世界大戦前から、幾つか国民所得の推計が行われてきた。そして戦後においては、国民所得の総額に重点を置く推計から、経済の構造的循環をとらえる国民所得勘定へと発展し、1953（昭和28）年に「昭和26年国民所得報告」として閣議報告されて以来、毎年政府による推計及び公表が行われている。</w:t>
      </w:r>
    </w:p>
    <w:p w:rsidR="00FD1A8F" w:rsidRPr="0040195F" w:rsidRDefault="00FD1A8F" w:rsidP="00EF19A4">
      <w:pPr>
        <w:ind w:firstLineChars="100" w:firstLine="210"/>
        <w:rPr>
          <w:rFonts w:ascii="ＭＳ 明朝"/>
        </w:rPr>
      </w:pPr>
      <w:r w:rsidRPr="0040195F">
        <w:rPr>
          <w:rFonts w:ascii="ＭＳ 明朝" w:hAnsi="ＭＳ 明朝" w:hint="eastAsia"/>
        </w:rPr>
        <w:t>一国の経済状態についての記録として、国民所得統計は幾度かの改訂を経ながら推計を続けてきたが、1978（昭和53）年には1968（昭和43）年の国際連合の勧告に基づき、従来の「国民所得統計」から、国際的な基準である「国民経済計算体系（</w:t>
      </w:r>
      <w:r w:rsidRPr="0040195F">
        <w:rPr>
          <w:rFonts w:ascii="ＭＳ 明朝" w:hAnsi="ＭＳ 明朝" w:hint="eastAsia"/>
          <w:u w:val="double"/>
        </w:rPr>
        <w:t>S</w:t>
      </w:r>
      <w:r w:rsidRPr="0040195F">
        <w:rPr>
          <w:rFonts w:ascii="ＭＳ 明朝" w:hAnsi="ＭＳ 明朝" w:hint="eastAsia"/>
        </w:rPr>
        <w:t xml:space="preserve">ystem of </w:t>
      </w:r>
      <w:r w:rsidRPr="0040195F">
        <w:rPr>
          <w:rFonts w:ascii="ＭＳ 明朝" w:hAnsi="ＭＳ 明朝" w:hint="eastAsia"/>
          <w:u w:val="double"/>
        </w:rPr>
        <w:t>N</w:t>
      </w:r>
      <w:r w:rsidRPr="0040195F">
        <w:rPr>
          <w:rFonts w:ascii="ＭＳ 明朝" w:hAnsi="ＭＳ 明朝" w:hint="eastAsia"/>
        </w:rPr>
        <w:t xml:space="preserve">ational </w:t>
      </w:r>
      <w:r w:rsidRPr="0040195F">
        <w:rPr>
          <w:rFonts w:ascii="ＭＳ 明朝" w:hAnsi="ＭＳ 明朝" w:hint="eastAsia"/>
          <w:u w:val="double"/>
        </w:rPr>
        <w:t>A</w:t>
      </w:r>
      <w:r w:rsidRPr="0040195F">
        <w:rPr>
          <w:rFonts w:ascii="ＭＳ 明朝" w:hAnsi="ＭＳ 明朝" w:hint="eastAsia"/>
        </w:rPr>
        <w:t>ccounts：いわゆる68SNA）」に移行した。これにより、国民所得統計を中心に、産業連関表、資金循環表、国民貸借対照表及び国際収支</w:t>
      </w:r>
      <w:r w:rsidRPr="0040195F">
        <w:rPr>
          <w:rFonts w:ascii="ＭＳ 明朝" w:hint="eastAsia"/>
        </w:rPr>
        <w:t>表の５つの勘定を体系的、整合的に統合し、国全体の経済活動をモノ（財貨・サービス）、カネ（所得及び金融資産・負債）、フローとストックの側面から多角的、総合的に分析、把握できるようになった。</w:t>
      </w:r>
    </w:p>
    <w:p w:rsidR="00FD1A8F" w:rsidRPr="0040195F" w:rsidRDefault="00FD1A8F" w:rsidP="00EF19A4">
      <w:pPr>
        <w:ind w:firstLineChars="100" w:firstLine="210"/>
        <w:rPr>
          <w:rFonts w:ascii="ＭＳ 明朝"/>
        </w:rPr>
      </w:pPr>
      <w:r w:rsidRPr="0040195F">
        <w:rPr>
          <w:rFonts w:ascii="ＭＳ 明朝" w:hint="eastAsia"/>
        </w:rPr>
        <w:t>その後、国際連合において、経済社会環境の変化等に対応するため</w:t>
      </w:r>
      <w:r w:rsidRPr="0040195F">
        <w:rPr>
          <w:rFonts w:ascii="ＭＳ 明朝" w:hAnsi="ＭＳ Ｐ明朝" w:hint="eastAsia"/>
        </w:rPr>
        <w:t>68SNA</w:t>
      </w:r>
      <w:r w:rsidRPr="0040195F">
        <w:rPr>
          <w:rFonts w:ascii="ＭＳ 明朝" w:hint="eastAsia"/>
        </w:rPr>
        <w:t>の改定作業が進められ、</w:t>
      </w:r>
      <w:r w:rsidRPr="0040195F">
        <w:rPr>
          <w:rFonts w:ascii="ＭＳ 明朝" w:hAnsi="ＭＳ Ｐ明朝" w:hint="eastAsia"/>
        </w:rPr>
        <w:t>1993</w:t>
      </w:r>
      <w:r w:rsidRPr="0040195F">
        <w:rPr>
          <w:rFonts w:ascii="ＭＳ 明朝" w:hint="eastAsia"/>
        </w:rPr>
        <w:t>（平成５）年、新たな国民経済計算の基準として「</w:t>
      </w:r>
      <w:r w:rsidRPr="0040195F">
        <w:rPr>
          <w:rFonts w:ascii="ＭＳ 明朝" w:hAnsi="ＭＳ Ｐ明朝" w:hint="eastAsia"/>
        </w:rPr>
        <w:t>1993</w:t>
      </w:r>
      <w:r w:rsidRPr="0040195F">
        <w:rPr>
          <w:rFonts w:ascii="ＭＳ 明朝" w:hint="eastAsia"/>
        </w:rPr>
        <w:t>年国民経済計算体系（</w:t>
      </w:r>
      <w:r w:rsidRPr="0040195F">
        <w:rPr>
          <w:rFonts w:ascii="ＭＳ 明朝" w:hAnsi="ＭＳ Ｐ明朝" w:hint="eastAsia"/>
        </w:rPr>
        <w:t>System of National Accounts 1993</w:t>
      </w:r>
      <w:r w:rsidRPr="0040195F">
        <w:rPr>
          <w:rFonts w:ascii="ＭＳ 明朝" w:hAnsi="ＭＳ Ｐゴシック" w:hint="eastAsia"/>
        </w:rPr>
        <w:t>：</w:t>
      </w:r>
      <w:r w:rsidRPr="0040195F">
        <w:rPr>
          <w:rFonts w:ascii="ＭＳ 明朝" w:hint="eastAsia"/>
        </w:rPr>
        <w:t>いわゆる</w:t>
      </w:r>
      <w:r w:rsidRPr="0040195F">
        <w:rPr>
          <w:rFonts w:ascii="ＭＳ 明朝" w:hAnsi="ＭＳ Ｐ明朝" w:hint="eastAsia"/>
        </w:rPr>
        <w:t>93SNA</w:t>
      </w:r>
      <w:r w:rsidRPr="0040195F">
        <w:rPr>
          <w:rFonts w:ascii="ＭＳ 明朝" w:hint="eastAsia"/>
        </w:rPr>
        <w:t>）」の使用が勧告された。この勧告に基づき、国では</w:t>
      </w:r>
      <w:r w:rsidRPr="0040195F">
        <w:rPr>
          <w:rFonts w:ascii="ＭＳ 明朝" w:hAnsi="ＭＳ Ｐ明朝" w:hint="eastAsia"/>
        </w:rPr>
        <w:t>2000</w:t>
      </w:r>
      <w:r w:rsidRPr="0040195F">
        <w:rPr>
          <w:rFonts w:ascii="ＭＳ 明朝" w:hint="eastAsia"/>
        </w:rPr>
        <w:t>（平成</w:t>
      </w:r>
      <w:r w:rsidRPr="0040195F">
        <w:rPr>
          <w:rFonts w:ascii="ＭＳ 明朝" w:hAnsi="ＭＳ Ｐ明朝" w:hint="eastAsia"/>
        </w:rPr>
        <w:t>12</w:t>
      </w:r>
      <w:r w:rsidRPr="0040195F">
        <w:rPr>
          <w:rFonts w:ascii="ＭＳ 明朝" w:hint="eastAsia"/>
        </w:rPr>
        <w:t>）年に</w:t>
      </w:r>
      <w:r w:rsidRPr="0040195F">
        <w:rPr>
          <w:rFonts w:ascii="ＭＳ 明朝" w:hAnsi="ＭＳ Ｐ明朝" w:hint="eastAsia"/>
        </w:rPr>
        <w:t>68SNA</w:t>
      </w:r>
      <w:r w:rsidRPr="0040195F">
        <w:rPr>
          <w:rFonts w:ascii="ＭＳ 明朝" w:hint="eastAsia"/>
        </w:rPr>
        <w:t>から</w:t>
      </w:r>
      <w:r w:rsidRPr="0040195F">
        <w:rPr>
          <w:rFonts w:ascii="ＭＳ 明朝" w:hAnsi="ＭＳ Ｐ明朝" w:hint="eastAsia"/>
        </w:rPr>
        <w:t>93SNA</w:t>
      </w:r>
      <w:r w:rsidRPr="0040195F">
        <w:rPr>
          <w:rFonts w:ascii="ＭＳ 明朝" w:hint="eastAsia"/>
        </w:rPr>
        <w:t>に移行した。</w:t>
      </w:r>
    </w:p>
    <w:p w:rsidR="00FD1A8F" w:rsidRPr="0040195F" w:rsidRDefault="00FD1A8F" w:rsidP="00EF19A4">
      <w:pPr>
        <w:ind w:firstLineChars="100" w:firstLine="210"/>
        <w:rPr>
          <w:rFonts w:ascii="ＭＳ 明朝"/>
        </w:rPr>
      </w:pPr>
      <w:r w:rsidRPr="0040195F">
        <w:rPr>
          <w:rFonts w:ascii="ＭＳ 明朝" w:hint="eastAsia"/>
        </w:rPr>
        <w:t>大阪府では、昭和</w:t>
      </w:r>
      <w:r w:rsidRPr="0040195F">
        <w:rPr>
          <w:rFonts w:ascii="ＭＳ 明朝" w:hAnsi="ＭＳ Ｐ明朝" w:hint="eastAsia"/>
        </w:rPr>
        <w:t>25</w:t>
      </w:r>
      <w:r w:rsidRPr="0040195F">
        <w:rPr>
          <w:rFonts w:ascii="ＭＳ 明朝" w:hint="eastAsia"/>
        </w:rPr>
        <w:t>年版（暦年）から「大阪府民所得（統計）」の推計を開始し、昭和45年度版からは国民所得統計の改訂に伴い計算体系や表章形式を改め、昭和</w:t>
      </w:r>
      <w:r w:rsidRPr="0040195F">
        <w:rPr>
          <w:rFonts w:ascii="ＭＳ 明朝" w:hAnsi="ＭＳ Ｐ明朝" w:hint="eastAsia"/>
        </w:rPr>
        <w:t>53</w:t>
      </w:r>
      <w:r w:rsidRPr="0040195F">
        <w:rPr>
          <w:rFonts w:ascii="ＭＳ 明朝" w:hint="eastAsia"/>
        </w:rPr>
        <w:t>年版からは国との整合性を確保するため段階的に</w:t>
      </w:r>
      <w:r w:rsidRPr="0040195F">
        <w:rPr>
          <w:rFonts w:ascii="ＭＳ 明朝" w:hAnsi="ＭＳ Ｐ明朝" w:hint="eastAsia"/>
        </w:rPr>
        <w:t>68SNA</w:t>
      </w:r>
      <w:r w:rsidRPr="0040195F">
        <w:rPr>
          <w:rFonts w:ascii="ＭＳ 明朝" w:hint="eastAsia"/>
        </w:rPr>
        <w:t>へ移行を図り、平成３年度版からは統計の名称を「大阪府民経済計算」と改めた上で、</w:t>
      </w:r>
      <w:r w:rsidRPr="0040195F">
        <w:rPr>
          <w:rFonts w:ascii="ＭＳ 明朝" w:hAnsi="ＭＳ Ｐ明朝" w:hint="eastAsia"/>
        </w:rPr>
        <w:t>68SNA</w:t>
      </w:r>
      <w:r w:rsidRPr="0040195F">
        <w:rPr>
          <w:rFonts w:ascii="ＭＳ 明朝" w:hint="eastAsia"/>
        </w:rPr>
        <w:t>に即した県民経済計算標準方式により推計を行ってきた。</w:t>
      </w:r>
    </w:p>
    <w:p w:rsidR="00FD1A8F" w:rsidRPr="0040195F" w:rsidRDefault="00FD1A8F" w:rsidP="00EF19A4">
      <w:pPr>
        <w:ind w:firstLineChars="100" w:firstLine="210"/>
        <w:rPr>
          <w:rFonts w:ascii="ＭＳ 明朝"/>
        </w:rPr>
      </w:pPr>
      <w:r w:rsidRPr="0040195F">
        <w:rPr>
          <w:rFonts w:ascii="ＭＳ 明朝" w:hint="eastAsia"/>
        </w:rPr>
        <w:t>上記のとおり国が</w:t>
      </w:r>
      <w:r w:rsidRPr="0040195F">
        <w:rPr>
          <w:rFonts w:ascii="ＭＳ 明朝" w:hAnsi="ＭＳ Ｐ明朝" w:hint="eastAsia"/>
        </w:rPr>
        <w:t>93SNA</w:t>
      </w:r>
      <w:r w:rsidRPr="0040195F">
        <w:rPr>
          <w:rFonts w:ascii="ＭＳ 明朝" w:hint="eastAsia"/>
        </w:rPr>
        <w:t>に移行したことにより、国との整合性を確保するため、本府においても内閣府から示された</w:t>
      </w:r>
      <w:r w:rsidRPr="0040195F">
        <w:rPr>
          <w:rFonts w:ascii="ＭＳ 明朝" w:hAnsi="ＭＳ Ｐ明朝" w:hint="eastAsia"/>
        </w:rPr>
        <w:t>93SNA</w:t>
      </w:r>
      <w:r>
        <w:rPr>
          <w:rFonts w:ascii="ＭＳ 明朝" w:hint="eastAsia"/>
        </w:rPr>
        <w:t>による「県民経済計算標準方式</w:t>
      </w:r>
      <w:r w:rsidRPr="0040195F">
        <w:rPr>
          <w:rFonts w:ascii="ＭＳ 明朝" w:hint="eastAsia"/>
        </w:rPr>
        <w:t>（平成</w:t>
      </w:r>
      <w:r w:rsidRPr="0040195F">
        <w:rPr>
          <w:rFonts w:ascii="ＭＳ 明朝" w:hAnsi="ＭＳ Ｐ明朝" w:hint="eastAsia"/>
        </w:rPr>
        <w:t>14</w:t>
      </w:r>
      <w:r w:rsidRPr="0040195F">
        <w:rPr>
          <w:rFonts w:ascii="ＭＳ 明朝" w:hint="eastAsia"/>
        </w:rPr>
        <w:t>年版）」に基づき移行作業を進め、「平成</w:t>
      </w:r>
      <w:r w:rsidRPr="0040195F">
        <w:rPr>
          <w:rFonts w:ascii="ＭＳ 明朝" w:hAnsi="ＭＳ Ｐ明朝" w:hint="eastAsia"/>
        </w:rPr>
        <w:t>12</w:t>
      </w:r>
      <w:r w:rsidRPr="0040195F">
        <w:rPr>
          <w:rFonts w:ascii="ＭＳ 明朝" w:hint="eastAsia"/>
        </w:rPr>
        <w:t>年度確報」から</w:t>
      </w:r>
      <w:r w:rsidRPr="0040195F">
        <w:rPr>
          <w:rFonts w:ascii="ＭＳ 明朝" w:hAnsi="ＭＳ Ｐ明朝" w:hint="eastAsia"/>
        </w:rPr>
        <w:t>93SNA</w:t>
      </w:r>
      <w:r w:rsidRPr="0040195F">
        <w:rPr>
          <w:rFonts w:ascii="ＭＳ 明朝" w:hint="eastAsia"/>
        </w:rPr>
        <w:t>に移行した。</w:t>
      </w:r>
    </w:p>
    <w:p w:rsidR="00FD1A8F" w:rsidRPr="0040195F" w:rsidRDefault="00FD1A8F" w:rsidP="00EF19A4">
      <w:pPr>
        <w:ind w:firstLineChars="100" w:firstLine="210"/>
        <w:rPr>
          <w:rFonts w:ascii="ＭＳ 明朝"/>
        </w:rPr>
      </w:pPr>
      <w:r w:rsidRPr="0040195F">
        <w:rPr>
          <w:rFonts w:ascii="ＭＳ 明朝" w:hint="eastAsia"/>
        </w:rPr>
        <w:t>国民経済計算及び県民経済計算では、5年ごとに基準改定を行うこととされており、「平成22年度確報」での国の基準改定に伴い、「府民経済計算」においても改定した。これにより、名目値のベンチマーク年である体系基準年を平成12暦年から平成17暦年に変更した。また、物価の総合指数であるデフレーターの基準を「平成12暦年＝100」から「平成17暦年=100」に変更した。</w:t>
      </w:r>
    </w:p>
    <w:p w:rsidR="00FD1A8F" w:rsidRDefault="00FD1A8F" w:rsidP="00EF19A4"/>
    <w:p w:rsidR="00FD1A8F" w:rsidRPr="00A0572B" w:rsidRDefault="00FD1A8F" w:rsidP="00EF19A4">
      <w:pPr>
        <w:pStyle w:val="2"/>
      </w:pPr>
      <w:r w:rsidRPr="00A0572B">
        <w:rPr>
          <w:rFonts w:hint="eastAsia"/>
        </w:rPr>
        <w:t xml:space="preserve">　</w:t>
      </w:r>
      <w:r w:rsidRPr="00A0572B">
        <w:rPr>
          <w:rFonts w:ascii="ＭＳ Ｐゴシック" w:eastAsia="ＭＳ Ｐゴシック" w:hAnsi="ＭＳ Ｐゴシック" w:hint="eastAsia"/>
        </w:rPr>
        <w:t>93SNA</w:t>
      </w:r>
      <w:r w:rsidRPr="00A0572B">
        <w:rPr>
          <w:rFonts w:hint="eastAsia"/>
        </w:rPr>
        <w:t>移行に伴う主な変更点</w:t>
      </w:r>
    </w:p>
    <w:p w:rsidR="00FD1A8F" w:rsidRPr="0040195F" w:rsidRDefault="00FD1A8F" w:rsidP="00EF19A4">
      <w:pPr>
        <w:ind w:firstLineChars="100" w:firstLine="210"/>
        <w:rPr>
          <w:rFonts w:ascii="ＭＳ 明朝" w:hAnsi="ＭＳ 明朝"/>
          <w:bCs/>
          <w:szCs w:val="21"/>
        </w:rPr>
      </w:pPr>
      <w:r w:rsidRPr="0040195F">
        <w:rPr>
          <w:rFonts w:ascii="ＭＳ 明朝" w:hAnsi="ＭＳ Ｐ明朝" w:hint="eastAsia"/>
          <w:bCs/>
          <w:szCs w:val="21"/>
        </w:rPr>
        <w:t>93</w:t>
      </w:r>
      <w:r w:rsidRPr="0040195F">
        <w:rPr>
          <w:rFonts w:ascii="ＭＳ 明朝" w:hAnsi="ＭＳ Ｐ明朝" w:hint="eastAsia"/>
        </w:rPr>
        <w:t>SNA</w:t>
      </w:r>
      <w:r w:rsidRPr="0040195F">
        <w:rPr>
          <w:rFonts w:ascii="ＭＳ 明朝" w:hAnsi="ＭＳ 明朝" w:hint="eastAsia"/>
          <w:bCs/>
          <w:szCs w:val="21"/>
        </w:rPr>
        <w:t>への移行（平成12年度確報より）に伴い、県民経済計算では新しい概念の導入や表章形式の変更などの改定が行われている。</w:t>
      </w:r>
    </w:p>
    <w:p w:rsidR="00FD1A8F" w:rsidRPr="0040195F" w:rsidRDefault="00FD1A8F" w:rsidP="00EF19A4">
      <w:pPr>
        <w:ind w:left="315" w:hangingChars="150" w:hanging="315"/>
        <w:rPr>
          <w:rFonts w:ascii="ＭＳ 明朝" w:hAnsi="ＭＳ 明朝"/>
          <w:bCs/>
          <w:szCs w:val="21"/>
        </w:rPr>
      </w:pPr>
      <w:r w:rsidRPr="0040195F">
        <w:rPr>
          <w:rFonts w:ascii="ＭＳ 明朝" w:hAnsi="ＭＳ 明朝" w:hint="eastAsia"/>
          <w:bCs/>
          <w:szCs w:val="21"/>
        </w:rPr>
        <w:t>① コンピューター・ソフトウェアへの支出を、これまでの中間投入扱いではなく、投資として総固定資本形成に計上し、無形固定資本として扱うこととなった。</w:t>
      </w:r>
    </w:p>
    <w:p w:rsidR="00FD1A8F" w:rsidRPr="0040195F" w:rsidRDefault="00FD1A8F" w:rsidP="00EF19A4">
      <w:pPr>
        <w:ind w:left="315" w:hangingChars="150" w:hanging="315"/>
        <w:rPr>
          <w:rFonts w:ascii="ＭＳ 明朝" w:hAnsi="ＭＳ 明朝"/>
          <w:bCs/>
          <w:szCs w:val="21"/>
        </w:rPr>
      </w:pPr>
      <w:r w:rsidRPr="0040195F">
        <w:rPr>
          <w:rFonts w:ascii="ＭＳ 明朝" w:hAnsi="ＭＳ 明朝" w:hint="eastAsia"/>
          <w:bCs/>
          <w:szCs w:val="21"/>
        </w:rPr>
        <w:t>② 一般政府が所有する資産（社会資本）について、これまで減耗しないものとして扱ってきたが、</w:t>
      </w:r>
      <w:r w:rsidRPr="0040195F">
        <w:rPr>
          <w:rFonts w:ascii="ＭＳ 明朝" w:hAnsi="ＭＳ Ｐ明朝" w:hint="eastAsia"/>
          <w:bCs/>
          <w:szCs w:val="21"/>
        </w:rPr>
        <w:t>93</w:t>
      </w:r>
      <w:r w:rsidRPr="0040195F">
        <w:rPr>
          <w:rFonts w:ascii="ＭＳ 明朝" w:hAnsi="ＭＳ Ｐ明朝" w:hint="eastAsia"/>
        </w:rPr>
        <w:t>SNA</w:t>
      </w:r>
      <w:r w:rsidRPr="0040195F">
        <w:rPr>
          <w:rFonts w:ascii="ＭＳ 明朝" w:hAnsi="ＭＳ 明朝" w:hint="eastAsia"/>
          <w:bCs/>
          <w:szCs w:val="21"/>
        </w:rPr>
        <w:t>では、有限の耐用年数を有するものとして、新たに固定資本減耗を計上し、これを政府</w:t>
      </w:r>
      <w:r w:rsidRPr="0040195F">
        <w:rPr>
          <w:rFonts w:ascii="ＭＳ 明朝" w:hAnsi="ＭＳ 明朝" w:hint="eastAsia"/>
          <w:bCs/>
          <w:szCs w:val="21"/>
        </w:rPr>
        <w:lastRenderedPageBreak/>
        <w:t>サービス産出額の構成項目とすることとなった。</w:t>
      </w:r>
    </w:p>
    <w:p w:rsidR="00FD1A8F" w:rsidRPr="0040195F" w:rsidRDefault="00FD1A8F" w:rsidP="00EF19A4">
      <w:pPr>
        <w:ind w:left="315" w:hangingChars="150" w:hanging="315"/>
        <w:rPr>
          <w:rFonts w:ascii="ＭＳ 明朝" w:hAnsi="ＭＳ 明朝"/>
          <w:bCs/>
          <w:szCs w:val="21"/>
        </w:rPr>
      </w:pPr>
      <w:r w:rsidRPr="0040195F">
        <w:rPr>
          <w:rFonts w:ascii="ＭＳ 明朝" w:hAnsi="ＭＳ 明朝" w:hint="eastAsia"/>
          <w:bCs/>
          <w:szCs w:val="21"/>
        </w:rPr>
        <w:t>③ 消費概念について、当該サービスの費用を誰が負担したかという「最終消費支出」概念と、誰がその便益を受けたかという側面に注目した「</w:t>
      </w:r>
      <w:r w:rsidRPr="0040195F">
        <w:rPr>
          <w:rFonts w:ascii="ＭＳ 明朝" w:hAnsi="ＭＳ 明朝" w:hint="eastAsia"/>
          <w:bCs/>
          <w:szCs w:val="21"/>
          <w:u w:val="wave"/>
        </w:rPr>
        <w:t>現実</w:t>
      </w:r>
      <w:r>
        <w:rPr>
          <w:rFonts w:ascii="ＭＳ 明朝" w:hAnsi="ＭＳ 明朝" w:hint="eastAsia"/>
          <w:bCs/>
          <w:szCs w:val="21"/>
        </w:rPr>
        <w:t>最終消費</w:t>
      </w:r>
      <w:r w:rsidRPr="0040195F">
        <w:rPr>
          <w:rFonts w:ascii="ＭＳ 明朝" w:hAnsi="ＭＳ 明朝" w:hint="eastAsia"/>
          <w:bCs/>
          <w:szCs w:val="21"/>
        </w:rPr>
        <w:t>」概念に二元化することとなった。</w:t>
      </w:r>
    </w:p>
    <w:p w:rsidR="00FD1A8F" w:rsidRPr="0040195F" w:rsidRDefault="00FD1A8F" w:rsidP="00EF19A4">
      <w:pPr>
        <w:ind w:left="315" w:hangingChars="150" w:hanging="315"/>
        <w:rPr>
          <w:rFonts w:ascii="ＭＳ 明朝" w:hAnsi="ＭＳ 明朝"/>
          <w:bCs/>
          <w:szCs w:val="21"/>
        </w:rPr>
      </w:pPr>
      <w:r w:rsidRPr="0040195F">
        <w:rPr>
          <w:rFonts w:ascii="ＭＳ 明朝" w:hAnsi="ＭＳ 明朝" w:hint="eastAsia"/>
          <w:bCs/>
          <w:szCs w:val="21"/>
        </w:rPr>
        <w:t>④ その他、制度部門別所得支出勘定の細分化、産業分類の変更、制度部門内での様々な分類変更などの改定が行われている。</w:t>
      </w:r>
    </w:p>
    <w:p w:rsidR="00FD1A8F" w:rsidRPr="0040195F" w:rsidRDefault="00FD1A8F" w:rsidP="00EF19A4">
      <w:pPr>
        <w:ind w:left="210" w:hangingChars="100" w:hanging="210"/>
        <w:rPr>
          <w:rFonts w:ascii="ＭＳ 明朝" w:hAnsi="ＭＳ 明朝"/>
          <w:bCs/>
          <w:szCs w:val="21"/>
        </w:rPr>
      </w:pPr>
    </w:p>
    <w:p w:rsidR="00FD1A8F" w:rsidRPr="0040195F" w:rsidRDefault="00FD1A8F" w:rsidP="00EF19A4">
      <w:pPr>
        <w:numPr>
          <w:ilvl w:val="0"/>
          <w:numId w:val="4"/>
        </w:numPr>
        <w:rPr>
          <w:rFonts w:ascii="ＭＳ 明朝"/>
        </w:rPr>
      </w:pPr>
      <w:r w:rsidRPr="0040195F">
        <w:rPr>
          <w:rFonts w:ascii="ＭＳ 明朝" w:hint="eastAsia"/>
        </w:rPr>
        <w:t>なお、</w:t>
      </w:r>
      <w:r w:rsidRPr="0040195F">
        <w:rPr>
          <w:rFonts w:ascii="ＭＳ 明朝" w:hAnsi="ＭＳ Ｐ明朝" w:hint="eastAsia"/>
        </w:rPr>
        <w:t>93SNA</w:t>
      </w:r>
      <w:r w:rsidRPr="0040195F">
        <w:rPr>
          <w:rFonts w:ascii="ＭＳ 明朝" w:hint="eastAsia"/>
        </w:rPr>
        <w:t>の特徴、内容、推計方法については、内閣府経済社会総合研究所が公表している「解説パンフレット新しい国民経済計算（</w:t>
      </w:r>
      <w:r w:rsidRPr="0040195F">
        <w:rPr>
          <w:rFonts w:ascii="ＭＳ 明朝" w:hAnsi="ＭＳ Ｐ明朝" w:hint="eastAsia"/>
        </w:rPr>
        <w:t>93SNA</w:t>
      </w:r>
      <w:r w:rsidRPr="0040195F">
        <w:rPr>
          <w:rFonts w:ascii="ＭＳ 明朝" w:hint="eastAsia"/>
        </w:rPr>
        <w:t>）」等を参考にしてください。</w:t>
      </w:r>
    </w:p>
    <w:p w:rsidR="00FD1A8F" w:rsidRDefault="00FD1A8F" w:rsidP="00EF19A4"/>
    <w:p w:rsidR="00FD1A8F" w:rsidRPr="009D4DC1" w:rsidRDefault="00FD1A8F" w:rsidP="00EF19A4">
      <w:pPr>
        <w:pStyle w:val="2"/>
      </w:pPr>
      <w:r w:rsidRPr="009D4DC1">
        <w:rPr>
          <w:rFonts w:hint="eastAsia"/>
        </w:rPr>
        <w:t xml:space="preserve">　実質化方法の変更</w:t>
      </w:r>
    </w:p>
    <w:p w:rsidR="00FD1A8F" w:rsidRPr="006D7FAB" w:rsidRDefault="00FD1A8F" w:rsidP="00EF19A4">
      <w:pPr>
        <w:ind w:firstLineChars="100" w:firstLine="210"/>
        <w:rPr>
          <w:rFonts w:ascii="ＭＳ 明朝" w:hAnsi="ＭＳ 明朝"/>
          <w:bCs/>
          <w:szCs w:val="21"/>
        </w:rPr>
      </w:pPr>
      <w:r w:rsidRPr="006D7FAB">
        <w:rPr>
          <w:rFonts w:ascii="ＭＳ 明朝" w:hAnsi="ＭＳ 明朝" w:hint="eastAsia"/>
          <w:bCs/>
          <w:szCs w:val="21"/>
        </w:rPr>
        <w:t>国民経済計算では、総合的な物価指数（デフレーター）を固定基準年方式で算出してきたが、平成</w:t>
      </w:r>
      <w:r>
        <w:rPr>
          <w:rFonts w:ascii="ＭＳ 明朝" w:hAnsi="ＭＳ 明朝" w:hint="eastAsia"/>
          <w:bCs/>
          <w:szCs w:val="21"/>
        </w:rPr>
        <w:t>16</w:t>
      </w:r>
      <w:r w:rsidRPr="006D7FAB">
        <w:rPr>
          <w:rFonts w:ascii="ＭＳ 明朝" w:hAnsi="ＭＳ 明朝" w:hint="eastAsia"/>
          <w:bCs/>
          <w:szCs w:val="21"/>
        </w:rPr>
        <w:t>年公表分から国内総生産</w:t>
      </w:r>
      <w:r>
        <w:rPr>
          <w:rFonts w:ascii="ＭＳ 明朝" w:hAnsi="ＭＳ 明朝" w:hint="eastAsia"/>
          <w:bCs/>
          <w:szCs w:val="21"/>
        </w:rPr>
        <w:t>（支出側）</w:t>
      </w:r>
      <w:r w:rsidRPr="006D7FAB">
        <w:rPr>
          <w:rFonts w:ascii="ＭＳ 明朝" w:hAnsi="ＭＳ 明朝" w:hint="eastAsia"/>
          <w:bCs/>
          <w:szCs w:val="21"/>
        </w:rPr>
        <w:t>については連鎖方式によるデフレーター及び実質値を正式系列とすることとなった。また、「平成16年度確報」からは国内総生産</w:t>
      </w:r>
      <w:r>
        <w:rPr>
          <w:rFonts w:ascii="ＭＳ 明朝" w:hAnsi="ＭＳ 明朝" w:hint="eastAsia"/>
          <w:bCs/>
          <w:szCs w:val="21"/>
        </w:rPr>
        <w:t>（生産側）</w:t>
      </w:r>
      <w:r w:rsidRPr="006D7FAB">
        <w:rPr>
          <w:rFonts w:ascii="ＭＳ 明朝" w:hAnsi="ＭＳ 明朝" w:hint="eastAsia"/>
          <w:bCs/>
          <w:szCs w:val="21"/>
        </w:rPr>
        <w:t>にも連鎖方式を導入した。</w:t>
      </w:r>
    </w:p>
    <w:p w:rsidR="00FD1A8F" w:rsidRPr="006D7FAB" w:rsidRDefault="00FD1A8F" w:rsidP="00EF19A4">
      <w:pPr>
        <w:ind w:firstLineChars="100" w:firstLine="210"/>
        <w:rPr>
          <w:rFonts w:ascii="ＭＳ 明朝" w:hAnsi="ＭＳ 明朝"/>
          <w:bCs/>
          <w:szCs w:val="21"/>
        </w:rPr>
      </w:pPr>
      <w:r w:rsidRPr="006D7FAB">
        <w:rPr>
          <w:rFonts w:ascii="ＭＳ 明朝" w:hAnsi="ＭＳ 明朝" w:hint="eastAsia"/>
          <w:bCs/>
          <w:szCs w:val="21"/>
        </w:rPr>
        <w:t>大阪府民経済計算では、「平成16年度確報」から府内総生産</w:t>
      </w:r>
      <w:r>
        <w:rPr>
          <w:rFonts w:ascii="ＭＳ 明朝" w:hAnsi="ＭＳ 明朝" w:hint="eastAsia"/>
          <w:bCs/>
          <w:szCs w:val="21"/>
        </w:rPr>
        <w:t>（生産側）</w:t>
      </w:r>
      <w:r w:rsidRPr="006D7FAB">
        <w:rPr>
          <w:rFonts w:ascii="ＭＳ 明朝" w:hAnsi="ＭＳ 明朝" w:hint="eastAsia"/>
          <w:bCs/>
          <w:szCs w:val="21"/>
        </w:rPr>
        <w:t>に連鎖方式を導入した。</w:t>
      </w:r>
    </w:p>
    <w:p w:rsidR="00FD1A8F" w:rsidRPr="006D7FAB" w:rsidRDefault="00FD1A8F" w:rsidP="00EF19A4">
      <w:pPr>
        <w:rPr>
          <w:rFonts w:ascii="ＭＳ 明朝" w:hAnsi="ＭＳ 明朝"/>
          <w:bCs/>
          <w:szCs w:val="21"/>
        </w:rPr>
      </w:pPr>
    </w:p>
    <w:p w:rsidR="00FD1A8F" w:rsidRPr="006D7FAB" w:rsidRDefault="00FD1A8F" w:rsidP="00EF19A4">
      <w:pPr>
        <w:ind w:firstLineChars="100" w:firstLine="210"/>
        <w:rPr>
          <w:rFonts w:ascii="ＭＳ ゴシック" w:eastAsia="ＭＳ ゴシック" w:hAnsi="ＭＳ ゴシック"/>
          <w:bCs/>
          <w:szCs w:val="21"/>
        </w:rPr>
      </w:pPr>
      <w:r w:rsidRPr="006D7FAB">
        <w:rPr>
          <w:rFonts w:ascii="ＭＳ ゴシック" w:eastAsia="ＭＳ ゴシック" w:hAnsi="ＭＳ ゴシック" w:hint="eastAsia"/>
          <w:bCs/>
          <w:szCs w:val="21"/>
        </w:rPr>
        <w:t>固定基準年方式と連鎖方式</w:t>
      </w:r>
    </w:p>
    <w:p w:rsidR="00FD1A8F" w:rsidRPr="006D7FAB" w:rsidRDefault="00FD1A8F" w:rsidP="00EF19A4">
      <w:pPr>
        <w:ind w:leftChars="100" w:left="210" w:firstLineChars="100" w:firstLine="210"/>
        <w:rPr>
          <w:rFonts w:ascii="ＭＳ 明朝" w:hAnsi="ＭＳ 明朝"/>
          <w:bCs/>
          <w:szCs w:val="21"/>
        </w:rPr>
      </w:pPr>
      <w:r w:rsidRPr="006D7FAB">
        <w:rPr>
          <w:rFonts w:ascii="ＭＳ 明朝" w:hAnsi="ＭＳ 明朝" w:hint="eastAsia"/>
          <w:bCs/>
          <w:szCs w:val="21"/>
        </w:rPr>
        <w:t>固定基準年方式（fixed</w:t>
      </w:r>
      <w:r>
        <w:rPr>
          <w:rFonts w:ascii="ＭＳ 明朝" w:hAnsi="ＭＳ 明朝" w:hint="eastAsia"/>
          <w:bCs/>
          <w:szCs w:val="21"/>
        </w:rPr>
        <w:t>-</w:t>
      </w:r>
      <w:r w:rsidRPr="006D7FAB">
        <w:rPr>
          <w:rFonts w:ascii="ＭＳ 明朝" w:hAnsi="ＭＳ 明朝" w:hint="eastAsia"/>
          <w:bCs/>
          <w:szCs w:val="21"/>
        </w:rPr>
        <w:t>base methods）では、デフレーターの計算においてはパーシェ型（比較年のウェイト構成で計算）、実質化の計算においてはラスパイレス型（基準年のウェイト構成で計算）を用いており、基準年から経過する</w:t>
      </w:r>
      <w:r>
        <w:rPr>
          <w:rFonts w:ascii="ＭＳ 明朝" w:hAnsi="ＭＳ 明朝" w:hint="eastAsia"/>
          <w:bCs/>
          <w:szCs w:val="21"/>
        </w:rPr>
        <w:t>ほど</w:t>
      </w:r>
      <w:r w:rsidRPr="006D7FAB">
        <w:rPr>
          <w:rFonts w:ascii="ＭＳ 明朝" w:hAnsi="ＭＳ 明朝" w:hint="eastAsia"/>
          <w:bCs/>
          <w:szCs w:val="21"/>
        </w:rPr>
        <w:t>、相対価格の変化が大きいもの</w:t>
      </w:r>
      <w:r>
        <w:rPr>
          <w:rFonts w:ascii="ＭＳ 明朝" w:hAnsi="ＭＳ 明朝" w:hint="eastAsia"/>
          <w:bCs/>
          <w:szCs w:val="21"/>
        </w:rPr>
        <w:t>ほど</w:t>
      </w:r>
      <w:r w:rsidRPr="006D7FAB">
        <w:rPr>
          <w:rFonts w:ascii="ＭＳ 明朝" w:hAnsi="ＭＳ 明朝" w:hint="eastAsia"/>
          <w:bCs/>
          <w:szCs w:val="21"/>
        </w:rPr>
        <w:t>「指数バイアス」が著しくなる。連鎖方式(chain-linking methods)とは、このような問題点を踏まえ、実質化において、常に前年を基準年とし、それらを毎年毎年積み重ねて接続する方法である。つまり、「指数バイアス」が最小限となり、実質化において常に最新のウェイト構造が反映されることとなる。</w:t>
      </w:r>
    </w:p>
    <w:p w:rsidR="00FD1A8F" w:rsidRPr="006D7FAB" w:rsidRDefault="00FD1A8F" w:rsidP="00EF19A4">
      <w:pPr>
        <w:rPr>
          <w:rFonts w:ascii="ＭＳ 明朝" w:hAnsi="ＭＳ 明朝"/>
          <w:bCs/>
          <w:szCs w:val="21"/>
        </w:rPr>
      </w:pPr>
    </w:p>
    <w:p w:rsidR="00FD1A8F" w:rsidRPr="00B46B82" w:rsidRDefault="00FD1A8F" w:rsidP="00EF19A4">
      <w:pPr>
        <w:pStyle w:val="2"/>
      </w:pPr>
      <w:r w:rsidRPr="00B46B82">
        <w:rPr>
          <w:rFonts w:hint="eastAsia"/>
        </w:rPr>
        <w:t xml:space="preserve">　17年基準改定に伴う主な変更点</w:t>
      </w:r>
    </w:p>
    <w:p w:rsidR="00FD1A8F" w:rsidRDefault="00FD1A8F" w:rsidP="00EF19A4">
      <w:pPr>
        <w:numPr>
          <w:ilvl w:val="0"/>
          <w:numId w:val="6"/>
        </w:numPr>
        <w:ind w:leftChars="100" w:left="525" w:hangingChars="150" w:hanging="315"/>
        <w:rPr>
          <w:rFonts w:ascii="ＭＳ ゴシック" w:eastAsia="ＭＳ ゴシック" w:hAnsi="ＭＳ ゴシック"/>
          <w:bCs/>
          <w:szCs w:val="21"/>
        </w:rPr>
      </w:pPr>
      <w:r w:rsidRPr="003A4ACA">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経済活動及び財貨・サービスの分類</w:t>
      </w:r>
      <w:r w:rsidRPr="003A4ACA">
        <w:rPr>
          <w:rFonts w:ascii="ＭＳ ゴシック" w:eastAsia="ＭＳ ゴシック" w:hAnsi="ＭＳ ゴシック" w:hint="eastAsia"/>
          <w:bCs/>
          <w:szCs w:val="21"/>
        </w:rPr>
        <w:t>の変更</w:t>
      </w:r>
    </w:p>
    <w:p w:rsidR="00FD1A8F" w:rsidRDefault="00FD1A8F" w:rsidP="00EF19A4">
      <w:pPr>
        <w:ind w:leftChars="200" w:left="420" w:firstLineChars="100" w:firstLine="210"/>
        <w:rPr>
          <w:rFonts w:ascii="ＭＳ 明朝" w:hAnsi="ＭＳ 明朝"/>
          <w:bCs/>
          <w:szCs w:val="21"/>
        </w:rPr>
      </w:pPr>
      <w:r>
        <w:rPr>
          <w:rFonts w:ascii="ＭＳ 明朝" w:hAnsi="ＭＳ 明朝" w:hint="eastAsia"/>
          <w:bCs/>
          <w:szCs w:val="21"/>
        </w:rPr>
        <w:t>日本標準産業分類（JSIC 平成14年3月改定）及び平成17年産業連関表の統合分類を踏まえた改定を行った（詳細は</w:t>
      </w:r>
      <w:r w:rsidR="00786E02" w:rsidRPr="00786E02">
        <w:rPr>
          <w:rFonts w:ascii="ＭＳ 明朝" w:hAnsi="ＭＳ 明朝" w:hint="eastAsia"/>
          <w:bCs/>
          <w:szCs w:val="21"/>
        </w:rPr>
        <w:t>149</w:t>
      </w:r>
      <w:r w:rsidR="006C4DD4" w:rsidRPr="00786E02">
        <w:rPr>
          <w:rFonts w:ascii="ＭＳ 明朝" w:hAnsi="ＭＳ 明朝" w:hint="eastAsia"/>
          <w:bCs/>
          <w:szCs w:val="21"/>
        </w:rPr>
        <w:t>ページ</w:t>
      </w:r>
      <w:r>
        <w:rPr>
          <w:rFonts w:ascii="ＭＳ 明朝" w:hAnsi="ＭＳ 明朝" w:hint="eastAsia"/>
          <w:bCs/>
          <w:szCs w:val="21"/>
        </w:rPr>
        <w:t>参照）。</w:t>
      </w:r>
    </w:p>
    <w:p w:rsidR="00AF5DC7" w:rsidRDefault="00AF5DC7" w:rsidP="00EF19A4">
      <w:pPr>
        <w:rPr>
          <w:rFonts w:ascii="ＭＳ 明朝" w:hAnsi="ＭＳ 明朝"/>
          <w:bCs/>
          <w:szCs w:val="21"/>
        </w:rPr>
      </w:pPr>
    </w:p>
    <w:p w:rsidR="00AF5DC7" w:rsidRPr="00F21197" w:rsidRDefault="00AF5DC7" w:rsidP="00F21197">
      <w:pPr>
        <w:ind w:leftChars="200" w:left="420"/>
        <w:rPr>
          <w:rFonts w:ascii="ＭＳ 明朝" w:hAnsi="ＭＳ 明朝"/>
          <w:bCs/>
          <w:szCs w:val="21"/>
        </w:rPr>
      </w:pPr>
      <w:r>
        <w:rPr>
          <w:rFonts w:ascii="ＭＳ 明朝" w:hAnsi="ＭＳ 明朝" w:hint="eastAsia"/>
          <w:bCs/>
          <w:szCs w:val="21"/>
        </w:rPr>
        <w:t>（主な変更点）</w:t>
      </w:r>
    </w:p>
    <w:p w:rsidR="00F21197" w:rsidRDefault="00F21197" w:rsidP="00EF19A4">
      <w:pP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extent cx="5400000" cy="192176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1921763"/>
                    </a:xfrm>
                    <a:prstGeom prst="rect">
                      <a:avLst/>
                    </a:prstGeom>
                    <a:noFill/>
                    <a:ln>
                      <a:noFill/>
                    </a:ln>
                  </pic:spPr>
                </pic:pic>
              </a:graphicData>
            </a:graphic>
          </wp:inline>
        </w:drawing>
      </w:r>
    </w:p>
    <w:p w:rsidR="00AF5DC7" w:rsidRPr="00AF5DC7" w:rsidRDefault="00FD1A8F" w:rsidP="00EF19A4">
      <w:pPr>
        <w:numPr>
          <w:ilvl w:val="0"/>
          <w:numId w:val="6"/>
        </w:numPr>
        <w:ind w:leftChars="100" w:left="525" w:hangingChars="150" w:hanging="315"/>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 xml:space="preserve">　</w:t>
      </w:r>
      <w:r w:rsidRPr="003A4ACA">
        <w:rPr>
          <w:rFonts w:ascii="ＭＳ ゴシック" w:eastAsia="ＭＳ ゴシック" w:hAnsi="ＭＳ ゴシック" w:hint="eastAsia"/>
          <w:bCs/>
          <w:szCs w:val="21"/>
        </w:rPr>
        <w:t>公的分類格付けの変更</w:t>
      </w:r>
    </w:p>
    <w:tbl>
      <w:tblPr>
        <w:tblStyle w:val="ac"/>
        <w:tblW w:w="0" w:type="auto"/>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6083"/>
      </w:tblGrid>
      <w:tr w:rsidR="00AF5DC7" w:rsidTr="00A70A08">
        <w:tc>
          <w:tcPr>
            <w:tcW w:w="2527" w:type="dxa"/>
          </w:tcPr>
          <w:p w:rsidR="00AF5DC7" w:rsidRDefault="00AF5DC7" w:rsidP="00EF19A4">
            <w:pPr>
              <w:rPr>
                <w:rFonts w:ascii="ＭＳ 明朝" w:hAnsi="ＭＳ 明朝"/>
                <w:bCs/>
                <w:kern w:val="0"/>
                <w:szCs w:val="21"/>
              </w:rPr>
            </w:pPr>
            <w:r w:rsidRPr="00A70A08">
              <w:rPr>
                <w:rFonts w:ascii="ＭＳ 明朝" w:hAnsi="ＭＳ 明朝" w:hint="eastAsia"/>
                <w:bCs/>
                <w:kern w:val="0"/>
                <w:szCs w:val="21"/>
                <w:fitText w:val="2100" w:id="1256552195"/>
              </w:rPr>
              <w:t>公的部門の範囲の定義</w:t>
            </w:r>
            <w:r>
              <w:rPr>
                <w:rFonts w:ascii="ＭＳ 明朝" w:hAnsi="ＭＳ 明朝" w:hint="eastAsia"/>
                <w:bCs/>
                <w:szCs w:val="21"/>
              </w:rPr>
              <w:t>：</w:t>
            </w:r>
          </w:p>
        </w:tc>
        <w:tc>
          <w:tcPr>
            <w:tcW w:w="6083" w:type="dxa"/>
          </w:tcPr>
          <w:p w:rsidR="00A70A08" w:rsidRDefault="00A70A08" w:rsidP="00EF19A4">
            <w:pPr>
              <w:rPr>
                <w:rFonts w:ascii="ＭＳ 明朝" w:hAnsi="ＭＳ 明朝"/>
                <w:bCs/>
                <w:iCs/>
                <w:szCs w:val="21"/>
              </w:rPr>
            </w:pPr>
            <w:r>
              <w:rPr>
                <w:rFonts w:ascii="ＭＳ 明朝" w:hAnsi="ＭＳ 明朝" w:hint="eastAsia"/>
                <w:bCs/>
                <w:szCs w:val="21"/>
              </w:rPr>
              <w:t>「政府による所有」（資産の半分以上の保有など）</w:t>
            </w:r>
            <w:r w:rsidRPr="001B4920">
              <w:rPr>
                <w:rFonts w:ascii="ＭＳ 明朝" w:hAnsi="ＭＳ 明朝" w:hint="eastAsia"/>
                <w:bCs/>
                <w:szCs w:val="21"/>
              </w:rPr>
              <w:t>又は</w:t>
            </w:r>
            <w:r>
              <w:rPr>
                <w:rFonts w:ascii="ＭＳ 明朝" w:hAnsi="ＭＳ 明朝" w:hint="eastAsia"/>
                <w:bCs/>
                <w:szCs w:val="21"/>
              </w:rPr>
              <w:t>、「政府による支配」（役員の任命権を有するなど）</w:t>
            </w:r>
            <w:r w:rsidRPr="00211F8B">
              <w:rPr>
                <w:rFonts w:ascii="ＭＳ 明朝" w:hAnsi="ＭＳ 明朝" w:hint="eastAsia"/>
                <w:bCs/>
                <w:iCs/>
                <w:szCs w:val="21"/>
              </w:rPr>
              <w:t>の</w:t>
            </w:r>
            <w:r>
              <w:rPr>
                <w:rFonts w:ascii="ＭＳ 明朝" w:hAnsi="ＭＳ 明朝" w:hint="eastAsia"/>
                <w:bCs/>
                <w:iCs/>
                <w:szCs w:val="21"/>
              </w:rPr>
              <w:t>いずれかが該当する場合に公的部門と分類する。</w:t>
            </w:r>
          </w:p>
          <w:p w:rsidR="00AF5DC7" w:rsidRDefault="00A70A08" w:rsidP="00EF19A4">
            <w:pPr>
              <w:ind w:left="210" w:hangingChars="100" w:hanging="210"/>
              <w:rPr>
                <w:rFonts w:ascii="ＭＳ 明朝" w:hAnsi="ＭＳ 明朝"/>
                <w:bCs/>
                <w:kern w:val="0"/>
                <w:szCs w:val="21"/>
              </w:rPr>
            </w:pPr>
            <w:r>
              <w:rPr>
                <w:rFonts w:ascii="ＭＳ 明朝" w:hAnsi="ＭＳ 明朝" w:hint="eastAsia"/>
                <w:bCs/>
                <w:iCs/>
                <w:szCs w:val="21"/>
              </w:rPr>
              <w:t>※従来は、政府による「所有」</w:t>
            </w:r>
            <w:r w:rsidRPr="001B4920">
              <w:rPr>
                <w:rFonts w:ascii="ＭＳ 明朝" w:hAnsi="ＭＳ 明朝" w:hint="eastAsia"/>
                <w:bCs/>
                <w:iCs/>
                <w:szCs w:val="21"/>
              </w:rPr>
              <w:t>かつ</w:t>
            </w:r>
            <w:r>
              <w:rPr>
                <w:rFonts w:ascii="ＭＳ 明朝" w:hAnsi="ＭＳ 明朝" w:hint="eastAsia"/>
                <w:bCs/>
                <w:iCs/>
                <w:szCs w:val="21"/>
              </w:rPr>
              <w:t>「支配」。</w:t>
            </w:r>
          </w:p>
        </w:tc>
      </w:tr>
      <w:tr w:rsidR="00AF5DC7" w:rsidTr="00A70A08">
        <w:tc>
          <w:tcPr>
            <w:tcW w:w="2527" w:type="dxa"/>
          </w:tcPr>
          <w:p w:rsidR="00AF5DC7" w:rsidRDefault="00A70A08" w:rsidP="00EF19A4">
            <w:pPr>
              <w:rPr>
                <w:rFonts w:ascii="ＭＳ 明朝" w:hAnsi="ＭＳ 明朝"/>
                <w:bCs/>
                <w:kern w:val="0"/>
                <w:szCs w:val="21"/>
              </w:rPr>
            </w:pPr>
            <w:r w:rsidRPr="00673B74">
              <w:rPr>
                <w:rFonts w:ascii="ＭＳ 明朝" w:hAnsi="ＭＳ 明朝" w:hint="eastAsia"/>
                <w:bCs/>
                <w:iCs/>
                <w:spacing w:val="15"/>
                <w:kern w:val="0"/>
                <w:szCs w:val="21"/>
                <w:fitText w:val="2100" w:id="1256552194"/>
              </w:rPr>
              <w:t>市場性の有無の基</w:t>
            </w:r>
            <w:r w:rsidRPr="00673B74">
              <w:rPr>
                <w:rFonts w:ascii="ＭＳ 明朝" w:hAnsi="ＭＳ 明朝" w:hint="eastAsia"/>
                <w:bCs/>
                <w:iCs/>
                <w:spacing w:val="-15"/>
                <w:kern w:val="0"/>
                <w:szCs w:val="21"/>
                <w:fitText w:val="2100" w:id="1256552194"/>
              </w:rPr>
              <w:t>準</w:t>
            </w:r>
            <w:r>
              <w:rPr>
                <w:rFonts w:ascii="ＭＳ 明朝" w:hAnsi="ＭＳ 明朝" w:hint="eastAsia"/>
                <w:bCs/>
                <w:iCs/>
                <w:szCs w:val="21"/>
              </w:rPr>
              <w:t>：</w:t>
            </w:r>
          </w:p>
        </w:tc>
        <w:tc>
          <w:tcPr>
            <w:tcW w:w="6083" w:type="dxa"/>
          </w:tcPr>
          <w:p w:rsidR="00A70A08" w:rsidRDefault="00A70A08" w:rsidP="00EF19A4">
            <w:pPr>
              <w:rPr>
                <w:rFonts w:ascii="ＭＳ 明朝" w:hAnsi="ＭＳ 明朝"/>
                <w:bCs/>
                <w:iCs/>
                <w:szCs w:val="21"/>
              </w:rPr>
            </w:pPr>
            <w:r>
              <w:rPr>
                <w:rFonts w:ascii="ＭＳ 明朝" w:hAnsi="ＭＳ 明朝" w:hint="eastAsia"/>
                <w:bCs/>
                <w:iCs/>
                <w:szCs w:val="21"/>
              </w:rPr>
              <w:t>無料または経済的に意味の無い価格で供給される財貨及びサービスを生産する者は、対家計民間非営利団体または一般政府に分類される（経済的に意味がある価格か否かの判断は、原則、売上高が生産費用の50％を上回っているかを基準とする）。</w:t>
            </w:r>
          </w:p>
          <w:p w:rsidR="00AF5DC7" w:rsidRDefault="00A70A08" w:rsidP="00EF19A4">
            <w:pPr>
              <w:ind w:left="210" w:hangingChars="100" w:hanging="210"/>
              <w:rPr>
                <w:rFonts w:ascii="ＭＳ 明朝" w:hAnsi="ＭＳ 明朝"/>
                <w:bCs/>
                <w:kern w:val="0"/>
                <w:szCs w:val="21"/>
              </w:rPr>
            </w:pPr>
            <w:r>
              <w:rPr>
                <w:rFonts w:ascii="ＭＳ 明朝" w:hAnsi="ＭＳ 明朝" w:hint="eastAsia"/>
                <w:bCs/>
                <w:iCs/>
                <w:szCs w:val="21"/>
              </w:rPr>
              <w:t>※従来は、民間での同種の活動の有無、価格の財・サービスの質・量との比例関係の有無、自由意志での購入の可否のうち2項目が該当すれば市場性あり。</w:t>
            </w:r>
          </w:p>
        </w:tc>
      </w:tr>
      <w:tr w:rsidR="00AF5DC7" w:rsidTr="00A70A08">
        <w:tc>
          <w:tcPr>
            <w:tcW w:w="2527" w:type="dxa"/>
          </w:tcPr>
          <w:p w:rsidR="00AF5DC7" w:rsidRDefault="00A70A08" w:rsidP="00EF19A4">
            <w:pPr>
              <w:rPr>
                <w:rFonts w:ascii="ＭＳ 明朝" w:hAnsi="ＭＳ 明朝"/>
                <w:bCs/>
                <w:kern w:val="0"/>
                <w:szCs w:val="21"/>
              </w:rPr>
            </w:pPr>
            <w:r w:rsidRPr="00673B74">
              <w:rPr>
                <w:rFonts w:ascii="ＭＳ 明朝" w:hAnsi="ＭＳ 明朝" w:hint="eastAsia"/>
                <w:bCs/>
                <w:iCs/>
                <w:spacing w:val="15"/>
                <w:kern w:val="0"/>
                <w:szCs w:val="21"/>
                <w:fitText w:val="2100" w:id="1256552193"/>
              </w:rPr>
              <w:t>社会保障基金の定</w:t>
            </w:r>
            <w:r w:rsidRPr="00673B74">
              <w:rPr>
                <w:rFonts w:ascii="ＭＳ 明朝" w:hAnsi="ＭＳ 明朝" w:hint="eastAsia"/>
                <w:bCs/>
                <w:iCs/>
                <w:spacing w:val="-15"/>
                <w:kern w:val="0"/>
                <w:szCs w:val="21"/>
                <w:fitText w:val="2100" w:id="1256552193"/>
              </w:rPr>
              <w:t>義</w:t>
            </w:r>
            <w:r>
              <w:rPr>
                <w:rFonts w:ascii="ＭＳ 明朝" w:hAnsi="ＭＳ 明朝" w:hint="eastAsia"/>
                <w:bCs/>
                <w:iCs/>
                <w:szCs w:val="21"/>
              </w:rPr>
              <w:t>：</w:t>
            </w:r>
          </w:p>
        </w:tc>
        <w:tc>
          <w:tcPr>
            <w:tcW w:w="6083" w:type="dxa"/>
          </w:tcPr>
          <w:p w:rsidR="00A70A08" w:rsidRDefault="00A70A08" w:rsidP="00EF19A4">
            <w:pPr>
              <w:rPr>
                <w:rFonts w:ascii="ＭＳ 明朝" w:hAnsi="ＭＳ 明朝"/>
                <w:bCs/>
                <w:iCs/>
                <w:szCs w:val="21"/>
              </w:rPr>
            </w:pPr>
            <w:r>
              <w:rPr>
                <w:rFonts w:ascii="ＭＳ 明朝" w:hAnsi="ＭＳ 明朝" w:hint="eastAsia"/>
                <w:bCs/>
                <w:iCs/>
                <w:szCs w:val="21"/>
              </w:rPr>
              <w:t>「政府による賦課・支配」、「社会の大きな部分をカバーしている」、「強制加入・負担」の全てに該当する社会保障制度を社会保障基金（一般政府の一部）とする。</w:t>
            </w:r>
          </w:p>
          <w:p w:rsidR="00AF5DC7" w:rsidRDefault="00A70A08" w:rsidP="00EF19A4">
            <w:pPr>
              <w:ind w:left="210" w:hangingChars="100" w:hanging="210"/>
              <w:rPr>
                <w:rFonts w:ascii="ＭＳ 明朝" w:hAnsi="ＭＳ 明朝"/>
                <w:bCs/>
                <w:kern w:val="0"/>
                <w:szCs w:val="21"/>
              </w:rPr>
            </w:pPr>
            <w:r>
              <w:rPr>
                <w:rFonts w:ascii="ＭＳ 明朝" w:hAnsi="ＭＳ 明朝" w:hint="eastAsia"/>
                <w:bCs/>
                <w:iCs/>
                <w:szCs w:val="21"/>
              </w:rPr>
              <w:t>※従来は、給付と負担がリンクしない（積み立て方式でない）。</w:t>
            </w:r>
          </w:p>
        </w:tc>
      </w:tr>
      <w:tr w:rsidR="00AF5DC7" w:rsidTr="00A70A08">
        <w:tc>
          <w:tcPr>
            <w:tcW w:w="2527" w:type="dxa"/>
          </w:tcPr>
          <w:p w:rsidR="00AF5DC7" w:rsidRDefault="00A70A08" w:rsidP="00EF19A4">
            <w:pPr>
              <w:rPr>
                <w:rFonts w:ascii="ＭＳ 明朝" w:hAnsi="ＭＳ 明朝"/>
                <w:bCs/>
                <w:kern w:val="0"/>
                <w:szCs w:val="21"/>
              </w:rPr>
            </w:pPr>
            <w:r w:rsidRPr="00673B74">
              <w:rPr>
                <w:rFonts w:ascii="ＭＳ 明朝" w:hAnsi="ＭＳ 明朝" w:hint="eastAsia"/>
                <w:bCs/>
                <w:iCs/>
                <w:spacing w:val="45"/>
                <w:kern w:val="0"/>
                <w:szCs w:val="21"/>
                <w:fitText w:val="2100" w:id="1256553216"/>
              </w:rPr>
              <w:t>金融機関の定義</w:t>
            </w:r>
            <w:r>
              <w:rPr>
                <w:rFonts w:ascii="ＭＳ 明朝" w:hAnsi="ＭＳ 明朝" w:hint="eastAsia"/>
                <w:bCs/>
                <w:iCs/>
                <w:szCs w:val="21"/>
              </w:rPr>
              <w:t>：</w:t>
            </w:r>
          </w:p>
        </w:tc>
        <w:tc>
          <w:tcPr>
            <w:tcW w:w="6083" w:type="dxa"/>
          </w:tcPr>
          <w:p w:rsidR="00A70A08" w:rsidRDefault="00A70A08" w:rsidP="00EF19A4">
            <w:pPr>
              <w:rPr>
                <w:rFonts w:ascii="ＭＳ 明朝" w:hAnsi="ＭＳ 明朝"/>
                <w:bCs/>
                <w:iCs/>
                <w:szCs w:val="21"/>
              </w:rPr>
            </w:pPr>
            <w:r>
              <w:rPr>
                <w:rFonts w:ascii="ＭＳ 明朝" w:hAnsi="ＭＳ 明朝" w:hint="eastAsia"/>
                <w:bCs/>
                <w:iCs/>
                <w:szCs w:val="21"/>
              </w:rPr>
              <w:t>売上高の50％以上が、「金融仲介活動」又は「補助的金融活動」による機関を「金融機関」とする。</w:t>
            </w:r>
          </w:p>
          <w:p w:rsidR="00AF5DC7" w:rsidRDefault="00A70A08" w:rsidP="00EF19A4">
            <w:pPr>
              <w:ind w:left="210" w:hangingChars="100" w:hanging="210"/>
              <w:rPr>
                <w:rFonts w:ascii="ＭＳ 明朝" w:hAnsi="ＭＳ 明朝"/>
                <w:bCs/>
                <w:kern w:val="0"/>
                <w:szCs w:val="21"/>
              </w:rPr>
            </w:pPr>
            <w:r>
              <w:rPr>
                <w:rFonts w:ascii="ＭＳ 明朝" w:hAnsi="ＭＳ 明朝" w:hint="eastAsia"/>
                <w:bCs/>
                <w:iCs/>
                <w:szCs w:val="21"/>
              </w:rPr>
              <w:t>※従来は、総資産に占める金融資産が90％以上のもの。</w:t>
            </w:r>
          </w:p>
        </w:tc>
      </w:tr>
    </w:tbl>
    <w:p w:rsidR="00AF5DC7" w:rsidRDefault="00AF5DC7" w:rsidP="00EF19A4">
      <w:pPr>
        <w:ind w:leftChars="100" w:left="210" w:firstLineChars="100" w:firstLine="210"/>
        <w:rPr>
          <w:rFonts w:ascii="ＭＳ 明朝" w:hAnsi="ＭＳ 明朝"/>
          <w:bCs/>
          <w:iCs/>
          <w:szCs w:val="21"/>
        </w:rPr>
      </w:pPr>
      <w:r>
        <w:rPr>
          <w:rFonts w:ascii="ＭＳ 明朝" w:hAnsi="ＭＳ 明朝" w:hint="eastAsia"/>
          <w:bCs/>
          <w:iCs/>
          <w:szCs w:val="21"/>
        </w:rPr>
        <w:t>なお、実際の公的分類格付けに当たっては、「国民経済計算における政府諸機関の分類」に従っている。</w:t>
      </w:r>
    </w:p>
    <w:p w:rsidR="00AF5DC7" w:rsidRPr="00AF5DC7" w:rsidRDefault="00AF5DC7" w:rsidP="00EF19A4">
      <w:pPr>
        <w:rPr>
          <w:rFonts w:ascii="ＭＳ ゴシック" w:eastAsia="ＭＳ ゴシック" w:hAnsi="ＭＳ ゴシック"/>
          <w:bCs/>
          <w:szCs w:val="21"/>
        </w:rPr>
      </w:pPr>
    </w:p>
    <w:p w:rsidR="00A70A08" w:rsidRPr="00A70A08" w:rsidRDefault="00FD1A8F" w:rsidP="00EF19A4">
      <w:pPr>
        <w:numPr>
          <w:ilvl w:val="0"/>
          <w:numId w:val="6"/>
        </w:numPr>
        <w:ind w:leftChars="100" w:left="525" w:hangingChars="150" w:hanging="315"/>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ruby>
          <w:rubyPr>
            <w:rubyAlign w:val="distributeSpace"/>
            <w:hps w:val="10"/>
            <w:hpsRaise w:val="18"/>
            <w:hpsBaseText w:val="21"/>
            <w:lid w:val="ja-JP"/>
          </w:rubyPr>
          <w:rt>
            <w:r w:rsidR="00FD1A8F">
              <w:rPr>
                <w:rFonts w:ascii="ＭＳ ゴシック" w:eastAsia="ＭＳ ゴシック" w:hAnsi="ＭＳ ゴシック"/>
                <w:bCs/>
                <w:szCs w:val="21"/>
              </w:rPr>
              <w:t>フィジム</w:t>
            </w:r>
          </w:rt>
          <w:rubyBase>
            <w:r w:rsidR="00FD1A8F">
              <w:rPr>
                <w:rFonts w:ascii="ＭＳ ゴシック" w:eastAsia="ＭＳ ゴシック" w:hAnsi="ＭＳ ゴシック"/>
                <w:bCs/>
                <w:szCs w:val="21"/>
              </w:rPr>
              <w:t>ＦＩＳＩＭ</w:t>
            </w:r>
          </w:rubyBase>
        </w:ruby>
      </w:r>
      <w:r>
        <w:rPr>
          <w:rFonts w:ascii="ＭＳ ゴシック" w:eastAsia="ＭＳ ゴシック" w:hAnsi="ＭＳ ゴシック" w:hint="eastAsia"/>
          <w:bCs/>
          <w:szCs w:val="21"/>
        </w:rPr>
        <w:t>（間接的に計測される金融仲介サービス）の算定の導入</w:t>
      </w:r>
    </w:p>
    <w:p w:rsidR="00A70A08" w:rsidRDefault="00A70A08" w:rsidP="00EF19A4">
      <w:pPr>
        <w:ind w:leftChars="200" w:left="420" w:firstLineChars="100" w:firstLine="210"/>
        <w:rPr>
          <w:rFonts w:ascii="ＭＳ 明朝" w:hAnsi="ＭＳ 明朝"/>
          <w:bCs/>
          <w:szCs w:val="21"/>
        </w:rPr>
      </w:pPr>
      <w:r w:rsidRPr="00876706">
        <w:rPr>
          <w:rFonts w:ascii="ＭＳ 明朝" w:hAnsi="ＭＳ 明朝" w:hint="eastAsia"/>
          <w:bCs/>
          <w:szCs w:val="21"/>
        </w:rPr>
        <w:t>金融仲介サービスについて</w:t>
      </w:r>
      <w:r>
        <w:rPr>
          <w:rFonts w:ascii="ＭＳ 明朝" w:hAnsi="ＭＳ 明朝" w:hint="eastAsia"/>
          <w:bCs/>
          <w:szCs w:val="21"/>
        </w:rPr>
        <w:t>、従来は帰属利子を金融業の産出額として計上し、欄外で中間投入として一括控除していたが、この扱いを取りやめ、「間接的に計測される金融仲介サービス（Financial　Intermediation　Services　Indirectly　Measured</w:t>
      </w:r>
      <w:r>
        <w:rPr>
          <w:rFonts w:ascii="ＭＳ 明朝" w:hAnsi="ＭＳ 明朝"/>
          <w:bCs/>
          <w:szCs w:val="21"/>
        </w:rPr>
        <w:t>）</w:t>
      </w:r>
      <w:r>
        <w:rPr>
          <w:rFonts w:ascii="ＭＳ 明朝" w:hAnsi="ＭＳ 明朝" w:hint="eastAsia"/>
          <w:bCs/>
          <w:szCs w:val="21"/>
        </w:rPr>
        <w:t>」として、付加価値を発生する活動として計上することに変更した。</w:t>
      </w:r>
    </w:p>
    <w:p w:rsidR="00A70A08" w:rsidRDefault="00A70A08" w:rsidP="00EF19A4">
      <w:pPr>
        <w:ind w:leftChars="200" w:left="420" w:firstLineChars="100" w:firstLine="210"/>
        <w:rPr>
          <w:rFonts w:ascii="ＭＳ 明朝" w:hAnsi="ＭＳ 明朝"/>
          <w:bCs/>
          <w:szCs w:val="21"/>
        </w:rPr>
      </w:pPr>
      <w:r>
        <w:rPr>
          <w:rFonts w:ascii="ＭＳ 明朝" w:hAnsi="ＭＳ 明朝" w:hint="eastAsia"/>
          <w:bCs/>
          <w:szCs w:val="21"/>
        </w:rPr>
        <w:t>FISIMとは、金融仲介サービスの参照金利（インターバンク金利等）と預金金利、貸出金利との差により間接的に計測されるものである。</w:t>
      </w:r>
    </w:p>
    <w:p w:rsidR="007A2DAB" w:rsidRDefault="007A2DAB" w:rsidP="00EF19A4">
      <w:pPr>
        <w:rPr>
          <w:rFonts w:ascii="ＭＳ 明朝" w:hAnsi="ＭＳ 明朝"/>
          <w:bCs/>
          <w:szCs w:val="21"/>
        </w:rPr>
      </w:pPr>
    </w:p>
    <w:p w:rsidR="00A70A08" w:rsidRPr="00394806" w:rsidRDefault="00A70A08" w:rsidP="00EF19A4">
      <w:pPr>
        <w:ind w:leftChars="100" w:left="2541" w:hangingChars="1110" w:hanging="2331"/>
        <w:rPr>
          <w:rFonts w:ascii="ＭＳ 明朝" w:hAnsi="ＭＳ 明朝"/>
          <w:bCs/>
          <w:iCs/>
          <w:szCs w:val="21"/>
        </w:rPr>
      </w:pPr>
      <w:r w:rsidRPr="00766F28">
        <w:rPr>
          <w:rFonts w:ascii="ＭＳ 明朝" w:hAnsi="ＭＳ 明朝" w:hint="eastAsia"/>
          <w:bCs/>
          <w:iCs/>
          <w:szCs w:val="21"/>
        </w:rPr>
        <w:t>（主な</w:t>
      </w:r>
      <w:r>
        <w:rPr>
          <w:rFonts w:ascii="ＭＳ 明朝" w:hAnsi="ＭＳ 明朝" w:hint="eastAsia"/>
          <w:bCs/>
          <w:iCs/>
          <w:szCs w:val="21"/>
        </w:rPr>
        <w:t>計上項目</w:t>
      </w:r>
      <w:r w:rsidRPr="00766F28">
        <w:rPr>
          <w:rFonts w:ascii="ＭＳ 明朝" w:hAnsi="ＭＳ 明朝" w:hint="eastAsia"/>
          <w:bCs/>
          <w:iCs/>
          <w:szCs w:val="21"/>
        </w:rPr>
        <w:t>）</w:t>
      </w:r>
    </w:p>
    <w:p w:rsidR="00A70A08" w:rsidRDefault="00A70A08" w:rsidP="00EF19A4">
      <w:pPr>
        <w:numPr>
          <w:ilvl w:val="0"/>
          <w:numId w:val="5"/>
        </w:numPr>
        <w:rPr>
          <w:rFonts w:ascii="ＭＳ 明朝" w:hAnsi="ＭＳ 明朝"/>
          <w:bCs/>
          <w:iCs/>
          <w:szCs w:val="21"/>
        </w:rPr>
      </w:pPr>
      <w:r>
        <w:rPr>
          <w:rFonts w:ascii="ＭＳ 明朝" w:hAnsi="ＭＳ 明朝" w:hint="eastAsia"/>
          <w:bCs/>
          <w:iCs/>
          <w:szCs w:val="21"/>
        </w:rPr>
        <w:t>産出額（金融業）、中間投入額（各経済活動別）</w:t>
      </w:r>
    </w:p>
    <w:p w:rsidR="00A70A08" w:rsidRDefault="00A70A08" w:rsidP="00EF19A4">
      <w:pPr>
        <w:numPr>
          <w:ilvl w:val="0"/>
          <w:numId w:val="5"/>
        </w:numPr>
        <w:rPr>
          <w:rFonts w:ascii="ＭＳ 明朝" w:hAnsi="ＭＳ 明朝"/>
          <w:bCs/>
          <w:iCs/>
          <w:szCs w:val="21"/>
        </w:rPr>
      </w:pPr>
      <w:r>
        <w:rPr>
          <w:rFonts w:ascii="ＭＳ 明朝" w:hAnsi="ＭＳ 明朝" w:hint="eastAsia"/>
          <w:bCs/>
          <w:iCs/>
          <w:szCs w:val="21"/>
        </w:rPr>
        <w:t>制度部門別受取利子（FISIM調整後）、制度部門別支払利子（FISIM調整後）</w:t>
      </w:r>
    </w:p>
    <w:p w:rsidR="007A2DAB" w:rsidRDefault="00A70A08" w:rsidP="00EF19A4">
      <w:pPr>
        <w:numPr>
          <w:ilvl w:val="0"/>
          <w:numId w:val="5"/>
        </w:numPr>
        <w:rPr>
          <w:rFonts w:ascii="ＭＳ 明朝" w:hAnsi="ＭＳ 明朝"/>
          <w:bCs/>
          <w:iCs/>
          <w:szCs w:val="21"/>
        </w:rPr>
      </w:pPr>
      <w:r w:rsidRPr="00A70A08">
        <w:rPr>
          <w:rFonts w:ascii="ＭＳ 明朝" w:hAnsi="ＭＳ 明朝" w:hint="eastAsia"/>
          <w:bCs/>
          <w:iCs/>
          <w:szCs w:val="21"/>
        </w:rPr>
        <w:t>家計最終消費、政府最終消費、対家計非営利団体最終消費、FISIM移出入（純）</w:t>
      </w:r>
    </w:p>
    <w:p w:rsidR="007A2DAB" w:rsidRDefault="007A2DAB" w:rsidP="00EF19A4">
      <w:r>
        <w:br w:type="page"/>
      </w:r>
    </w:p>
    <w:p w:rsidR="00FD1A8F" w:rsidRDefault="00FD1A8F" w:rsidP="00EF19A4">
      <w:pPr>
        <w:rPr>
          <w:rFonts w:ascii="ＭＳ Ｐ明朝" w:eastAsia="ＭＳ Ｐ明朝" w:hAnsi="ＭＳ Ｐ明朝"/>
          <w:bCs/>
          <w:sz w:val="20"/>
          <w:szCs w:val="21"/>
        </w:rPr>
      </w:pPr>
      <w:r>
        <w:rPr>
          <w:rFonts w:ascii="ＭＳ Ｐ明朝" w:eastAsia="ＭＳ Ｐ明朝" w:hAnsi="ＭＳ Ｐ明朝" w:hint="eastAsia"/>
          <w:bCs/>
          <w:sz w:val="20"/>
          <w:szCs w:val="21"/>
        </w:rPr>
        <w:t>（FISIM導入による各制度部門における計数への影響）</w:t>
      </w:r>
    </w:p>
    <w:p w:rsidR="00FD1A8F" w:rsidRDefault="00FD1A8F" w:rsidP="00EF19A4">
      <w:pPr>
        <w:jc w:val="center"/>
      </w:pPr>
      <w:r>
        <w:rPr>
          <w:rFonts w:hint="eastAsia"/>
          <w:noProof/>
        </w:rPr>
        <w:drawing>
          <wp:inline distT="0" distB="0" distL="0" distR="0" wp14:anchorId="24F2DCE7" wp14:editId="14116003">
            <wp:extent cx="5391150" cy="12096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150" cy="1209675"/>
                    </a:xfrm>
                    <a:prstGeom prst="rect">
                      <a:avLst/>
                    </a:prstGeom>
                    <a:noFill/>
                    <a:ln>
                      <a:noFill/>
                    </a:ln>
                  </pic:spPr>
                </pic:pic>
              </a:graphicData>
            </a:graphic>
          </wp:inline>
        </w:drawing>
      </w:r>
    </w:p>
    <w:p w:rsidR="00FD1A8F" w:rsidRDefault="00FD1A8F" w:rsidP="00EF19A4"/>
    <w:p w:rsidR="00FD1A8F" w:rsidRDefault="00FD1A8F" w:rsidP="00EF19A4">
      <w:pPr>
        <w:jc w:val="center"/>
        <w:rPr>
          <w:rFonts w:ascii="ＭＳ Ｐ明朝" w:eastAsia="ＭＳ Ｐ明朝" w:hAnsi="ＭＳ Ｐ明朝"/>
          <w:bCs/>
          <w:sz w:val="20"/>
          <w:szCs w:val="21"/>
        </w:rPr>
      </w:pPr>
      <w:r>
        <w:rPr>
          <w:rFonts w:hint="eastAsia"/>
          <w:noProof/>
        </w:rPr>
        <w:drawing>
          <wp:inline distT="0" distB="0" distL="0" distR="0" wp14:anchorId="799D219D" wp14:editId="1C1F6BAA">
            <wp:extent cx="5391150" cy="120967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150" cy="1209675"/>
                    </a:xfrm>
                    <a:prstGeom prst="rect">
                      <a:avLst/>
                    </a:prstGeom>
                    <a:noFill/>
                    <a:ln>
                      <a:noFill/>
                    </a:ln>
                  </pic:spPr>
                </pic:pic>
              </a:graphicData>
            </a:graphic>
          </wp:inline>
        </w:drawing>
      </w:r>
    </w:p>
    <w:p w:rsidR="00FD1A8F" w:rsidRDefault="00FD1A8F" w:rsidP="00EF19A4">
      <w:pPr>
        <w:jc w:val="center"/>
        <w:rPr>
          <w:rFonts w:ascii="ＭＳ Ｐ明朝" w:eastAsia="ＭＳ Ｐ明朝" w:hAnsi="ＭＳ Ｐ明朝"/>
          <w:bCs/>
          <w:sz w:val="20"/>
          <w:szCs w:val="21"/>
        </w:rPr>
      </w:pPr>
    </w:p>
    <w:p w:rsidR="00FD1A8F" w:rsidRDefault="00FD1A8F" w:rsidP="00EF19A4">
      <w:pPr>
        <w:jc w:val="center"/>
      </w:pPr>
      <w:r>
        <w:rPr>
          <w:rFonts w:hint="eastAsia"/>
          <w:noProof/>
        </w:rPr>
        <w:drawing>
          <wp:inline distT="0" distB="0" distL="0" distR="0" wp14:anchorId="7C721453" wp14:editId="3F829D80">
            <wp:extent cx="5391150" cy="12096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0" cy="1209675"/>
                    </a:xfrm>
                    <a:prstGeom prst="rect">
                      <a:avLst/>
                    </a:prstGeom>
                    <a:noFill/>
                    <a:ln>
                      <a:noFill/>
                    </a:ln>
                  </pic:spPr>
                </pic:pic>
              </a:graphicData>
            </a:graphic>
          </wp:inline>
        </w:drawing>
      </w:r>
    </w:p>
    <w:p w:rsidR="00FD1A8F" w:rsidRDefault="00FD1A8F" w:rsidP="00EF19A4"/>
    <w:p w:rsidR="00FD1A8F" w:rsidRDefault="00FD1A8F" w:rsidP="00EF19A4">
      <w:pPr>
        <w:jc w:val="center"/>
        <w:rPr>
          <w:rFonts w:ascii="ＭＳ Ｐ明朝" w:eastAsia="ＭＳ Ｐ明朝" w:hAnsi="ＭＳ Ｐ明朝"/>
          <w:bCs/>
          <w:sz w:val="20"/>
          <w:szCs w:val="21"/>
        </w:rPr>
      </w:pPr>
      <w:r>
        <w:rPr>
          <w:rFonts w:hint="eastAsia"/>
          <w:noProof/>
        </w:rPr>
        <w:drawing>
          <wp:inline distT="0" distB="0" distL="0" distR="0" wp14:anchorId="10E1202E" wp14:editId="279C2EAC">
            <wp:extent cx="5391150" cy="12096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0" cy="1209675"/>
                    </a:xfrm>
                    <a:prstGeom prst="rect">
                      <a:avLst/>
                    </a:prstGeom>
                    <a:noFill/>
                    <a:ln>
                      <a:noFill/>
                    </a:ln>
                  </pic:spPr>
                </pic:pic>
              </a:graphicData>
            </a:graphic>
          </wp:inline>
        </w:drawing>
      </w:r>
    </w:p>
    <w:p w:rsidR="00FD1A8F" w:rsidRPr="009622BE" w:rsidRDefault="00FD1A8F" w:rsidP="00EF19A4">
      <w:pPr>
        <w:rPr>
          <w:rFonts w:ascii="ＭＳ Ｐ明朝" w:eastAsia="ＭＳ Ｐ明朝" w:hAnsi="ＭＳ Ｐ明朝"/>
          <w:bCs/>
          <w:sz w:val="20"/>
          <w:szCs w:val="21"/>
        </w:rPr>
      </w:pPr>
    </w:p>
    <w:p w:rsidR="00FD1A8F" w:rsidRPr="006F0798" w:rsidRDefault="00FD1A8F" w:rsidP="00EF19A4">
      <w:pPr>
        <w:ind w:leftChars="200" w:left="772" w:hangingChars="220" w:hanging="352"/>
        <w:jc w:val="left"/>
        <w:rPr>
          <w:rFonts w:ascii="ＭＳ Ｐゴシック" w:eastAsia="ＭＳ Ｐゴシック" w:hAnsi="ＭＳ Ｐゴシック"/>
          <w:bCs/>
          <w:sz w:val="16"/>
          <w:szCs w:val="21"/>
        </w:rPr>
      </w:pPr>
      <w:r>
        <w:rPr>
          <w:rFonts w:ascii="ＭＳ Ｐゴシック" w:eastAsia="ＭＳ Ｐゴシック" w:hAnsi="ＭＳ Ｐゴシック" w:hint="eastAsia"/>
          <w:bCs/>
          <w:sz w:val="16"/>
          <w:szCs w:val="21"/>
        </w:rPr>
        <w:t>(注) 従前の考え方(帰属利子)では、これら金融業の産出は全て中間投入されるとみなされ、金融機関部門の付加価値から控除されていた。FISIMの導入により、これらの産出は企業や家計等の中間投入や最終消費に計上されるとともに、金融機関部門の付加価値に記録されることとなる。</w:t>
      </w:r>
    </w:p>
    <w:p w:rsidR="00FD1A8F" w:rsidRPr="00ED4FDC" w:rsidRDefault="00FD1A8F" w:rsidP="00EF19A4">
      <w:pPr>
        <w:ind w:leftChars="200" w:left="420"/>
        <w:jc w:val="left"/>
        <w:rPr>
          <w:rFonts w:ascii="ＭＳ 明朝" w:hAnsi="ＭＳ Ｐ明朝"/>
          <w:bCs/>
          <w:sz w:val="20"/>
          <w:szCs w:val="21"/>
        </w:rPr>
      </w:pPr>
      <w:r w:rsidRPr="00A0572B">
        <w:rPr>
          <w:rFonts w:ascii="ＭＳ 明朝" w:hAnsi="ＭＳ Ｐ明朝" w:hint="eastAsia"/>
          <w:bCs/>
          <w:sz w:val="20"/>
          <w:szCs w:val="21"/>
        </w:rPr>
        <w:t>※</w:t>
      </w:r>
      <w:r w:rsidRPr="00A0572B">
        <w:rPr>
          <w:rFonts w:ascii="ＭＳ 明朝" w:hAnsi="ＭＳ Ｐ明朝" w:hint="eastAsia"/>
          <w:bCs/>
          <w:sz w:val="20"/>
          <w:szCs w:val="21"/>
        </w:rPr>
        <w:tab/>
        <w:t>引用　「FISIM導入による計数への影響について」（平成23年12月内閣府）</w:t>
      </w:r>
    </w:p>
    <w:p w:rsidR="00FD1A8F" w:rsidRDefault="00FD1A8F" w:rsidP="00EF19A4">
      <w:pPr>
        <w:jc w:val="left"/>
        <w:rPr>
          <w:rFonts w:ascii="ＭＳ Ｐ明朝" w:eastAsia="ＭＳ Ｐ明朝" w:hAnsi="ＭＳ Ｐ明朝"/>
          <w:bCs/>
          <w:sz w:val="20"/>
          <w:szCs w:val="21"/>
        </w:rPr>
      </w:pPr>
    </w:p>
    <w:p w:rsidR="00FD1A8F" w:rsidRPr="00A0572B" w:rsidRDefault="00FD1A8F" w:rsidP="00EF19A4">
      <w:pPr>
        <w:ind w:leftChars="200" w:left="420"/>
        <w:jc w:val="left"/>
        <w:rPr>
          <w:rFonts w:ascii="ＭＳ 明朝" w:hAnsi="ＭＳ Ｐ明朝"/>
          <w:bCs/>
          <w:szCs w:val="21"/>
        </w:rPr>
      </w:pPr>
      <w:r w:rsidRPr="00A0572B">
        <w:rPr>
          <w:rFonts w:ascii="ＭＳ 明朝" w:hAnsi="ＭＳ Ｐ明朝" w:hint="eastAsia"/>
          <w:bCs/>
          <w:szCs w:val="21"/>
        </w:rPr>
        <w:t>詳細は、以下を参照。</w:t>
      </w:r>
    </w:p>
    <w:p w:rsidR="00FD1A8F" w:rsidRPr="00A0572B" w:rsidRDefault="00FD1A8F" w:rsidP="00EF19A4">
      <w:pPr>
        <w:ind w:leftChars="200" w:left="420"/>
        <w:jc w:val="left"/>
        <w:rPr>
          <w:rFonts w:ascii="ＭＳ 明朝" w:hAnsi="ＭＳ Ｐ明朝"/>
          <w:bCs/>
          <w:sz w:val="20"/>
          <w:szCs w:val="21"/>
        </w:rPr>
      </w:pPr>
      <w:r w:rsidRPr="00A0572B">
        <w:rPr>
          <w:rFonts w:ascii="ＭＳ 明朝" w:hAnsi="ＭＳ Ｐ明朝" w:hint="eastAsia"/>
          <w:bCs/>
          <w:sz w:val="20"/>
          <w:szCs w:val="21"/>
        </w:rPr>
        <w:t>「FISIM導入による計数への影響について」（平成23年12月内閣府）</w:t>
      </w:r>
    </w:p>
    <w:p w:rsidR="00FD1A8F" w:rsidRPr="009622BE" w:rsidRDefault="00B91374" w:rsidP="00EF19A4">
      <w:pPr>
        <w:ind w:leftChars="200" w:left="420"/>
        <w:jc w:val="left"/>
        <w:rPr>
          <w:rFonts w:ascii="ＭＳ Ｐ明朝" w:eastAsia="ＭＳ Ｐ明朝" w:hAnsi="ＭＳ Ｐ明朝"/>
          <w:bCs/>
          <w:sz w:val="20"/>
          <w:szCs w:val="21"/>
        </w:rPr>
      </w:pPr>
      <w:hyperlink r:id="rId14" w:history="1">
        <w:r w:rsidR="00FD1A8F" w:rsidRPr="007F72EB">
          <w:rPr>
            <w:rStyle w:val="ab"/>
            <w:rFonts w:ascii="ＭＳ Ｐ明朝" w:eastAsia="ＭＳ Ｐ明朝" w:hAnsi="ＭＳ Ｐ明朝" w:hint="eastAsia"/>
            <w:bCs/>
            <w:sz w:val="20"/>
            <w:szCs w:val="21"/>
          </w:rPr>
          <w:t>h</w:t>
        </w:r>
        <w:r w:rsidR="00FD1A8F" w:rsidRPr="007F72EB">
          <w:rPr>
            <w:rStyle w:val="ab"/>
            <w:rFonts w:ascii="ＭＳ Ｐ明朝" w:eastAsia="ＭＳ Ｐ明朝" w:hAnsi="ＭＳ Ｐ明朝"/>
            <w:bCs/>
            <w:sz w:val="20"/>
            <w:szCs w:val="21"/>
          </w:rPr>
          <w:t>ttp://www.esri.cao.go.jp/jp/sna/data/data_list/kakuhou/gaiyou/pdf/fisim20111226.pdf</w:t>
        </w:r>
      </w:hyperlink>
      <w:r w:rsidR="00FD1A8F" w:rsidRPr="009622BE">
        <w:rPr>
          <w:rFonts w:ascii="ＭＳ Ｐ明朝" w:eastAsia="ＭＳ Ｐ明朝" w:hAnsi="ＭＳ Ｐ明朝" w:hint="eastAsia"/>
          <w:bCs/>
          <w:sz w:val="20"/>
          <w:szCs w:val="21"/>
        </w:rPr>
        <w:t xml:space="preserve">　</w:t>
      </w:r>
    </w:p>
    <w:p w:rsidR="00FD1A8F" w:rsidRPr="00A0572B" w:rsidRDefault="00FD1A8F" w:rsidP="00EF19A4">
      <w:pPr>
        <w:ind w:leftChars="200" w:left="420"/>
        <w:jc w:val="left"/>
        <w:rPr>
          <w:rFonts w:ascii="ＭＳ 明朝" w:hAnsi="ＭＳ Ｐ明朝"/>
          <w:bCs/>
          <w:sz w:val="20"/>
          <w:szCs w:val="21"/>
        </w:rPr>
      </w:pPr>
      <w:r w:rsidRPr="00A0572B">
        <w:rPr>
          <w:rFonts w:ascii="ＭＳ 明朝" w:hAnsi="ＭＳ Ｐ明朝" w:hint="eastAsia"/>
          <w:bCs/>
          <w:sz w:val="20"/>
          <w:szCs w:val="21"/>
        </w:rPr>
        <w:t xml:space="preserve">「平成22 </w:t>
      </w:r>
      <w:r>
        <w:rPr>
          <w:rFonts w:ascii="ＭＳ 明朝" w:hAnsi="ＭＳ Ｐ明朝" w:hint="eastAsia"/>
          <w:bCs/>
          <w:sz w:val="20"/>
          <w:szCs w:val="21"/>
        </w:rPr>
        <w:t>年度国民経済計算確報」利用上の注意</w:t>
      </w:r>
      <w:r w:rsidRPr="00A0572B">
        <w:rPr>
          <w:rFonts w:ascii="ＭＳ 明朝" w:hAnsi="ＭＳ Ｐ明朝" w:hint="eastAsia"/>
          <w:bCs/>
          <w:sz w:val="20"/>
          <w:szCs w:val="21"/>
        </w:rPr>
        <w:t>（平成23年12月内閣府）</w:t>
      </w:r>
    </w:p>
    <w:p w:rsidR="00FD1A8F" w:rsidRDefault="00B91374" w:rsidP="00EF19A4">
      <w:pPr>
        <w:ind w:firstLineChars="247" w:firstLine="519"/>
        <w:jc w:val="left"/>
        <w:rPr>
          <w:rFonts w:ascii="ＭＳ Ｐ明朝" w:eastAsia="ＭＳ Ｐ明朝" w:hAnsi="ＭＳ Ｐ明朝"/>
          <w:bCs/>
          <w:sz w:val="20"/>
          <w:szCs w:val="21"/>
        </w:rPr>
      </w:pPr>
      <w:hyperlink r:id="rId15" w:history="1">
        <w:r w:rsidR="00FD1A8F" w:rsidRPr="00E803C9">
          <w:rPr>
            <w:rStyle w:val="ab"/>
            <w:rFonts w:ascii="ＭＳ Ｐ明朝" w:eastAsia="ＭＳ Ｐ明朝" w:hAnsi="ＭＳ Ｐ明朝"/>
            <w:bCs/>
            <w:sz w:val="20"/>
            <w:szCs w:val="21"/>
          </w:rPr>
          <w:t>http://www.esri.cao.go.jp/jp/sna/data/data_list/kakuhou/files/h22/sankou/pdf/tyui.pdf</w:t>
        </w:r>
      </w:hyperlink>
    </w:p>
    <w:p w:rsidR="00FD1A8F" w:rsidRDefault="00FD1A8F" w:rsidP="00EF19A4">
      <w:pPr>
        <w:ind w:firstLineChars="247" w:firstLine="494"/>
        <w:jc w:val="left"/>
        <w:rPr>
          <w:rFonts w:ascii="ＭＳ Ｐ明朝" w:eastAsia="ＭＳ Ｐ明朝" w:hAnsi="ＭＳ Ｐ明朝"/>
          <w:bCs/>
          <w:sz w:val="20"/>
          <w:szCs w:val="21"/>
        </w:rPr>
      </w:pPr>
    </w:p>
    <w:p w:rsidR="007A2DAB" w:rsidRPr="007A2DAB" w:rsidRDefault="00A70A08" w:rsidP="00EF19A4">
      <w:pPr>
        <w:numPr>
          <w:ilvl w:val="0"/>
          <w:numId w:val="6"/>
        </w:numPr>
        <w:ind w:leftChars="100" w:left="525" w:hangingChars="150" w:hanging="315"/>
        <w:rPr>
          <w:rFonts w:ascii="ＭＳ ゴシック" w:eastAsia="ＭＳ ゴシック" w:hAnsi="ＭＳ ゴシック"/>
          <w:bCs/>
          <w:szCs w:val="21"/>
        </w:rPr>
      </w:pPr>
      <w:r>
        <w:rPr>
          <w:rFonts w:ascii="ＭＳ ゴシック" w:eastAsia="ＭＳ ゴシック" w:hAnsi="ＭＳ ゴシック" w:hint="eastAsia"/>
          <w:bCs/>
          <w:szCs w:val="21"/>
        </w:rPr>
        <w:t xml:space="preserve">　自社開発ソフトウェアの推計と資本計上</w:t>
      </w:r>
    </w:p>
    <w:p w:rsidR="007A2DAB" w:rsidRPr="00A0572B" w:rsidRDefault="007A2DAB" w:rsidP="00EF19A4">
      <w:pPr>
        <w:ind w:leftChars="200" w:left="420" w:firstLineChars="100" w:firstLine="210"/>
        <w:rPr>
          <w:rFonts w:ascii="ＭＳ 明朝" w:hAnsi="ＭＳ Ｐ明朝"/>
          <w:bCs/>
          <w:szCs w:val="21"/>
        </w:rPr>
      </w:pPr>
      <w:r w:rsidRPr="00A0572B">
        <w:rPr>
          <w:rFonts w:ascii="ＭＳ 明朝" w:hAnsi="ＭＳ Ｐ明朝" w:hint="eastAsia"/>
          <w:bCs/>
          <w:szCs w:val="21"/>
        </w:rPr>
        <w:t>生産者が1年を超えて生産に使用するコンピューター・ソフトウェアについて、固定資本形成の推計対象に新たに含める。自社開発ソフトウェアは、社内使用であるため市場評価できない。推計は、開発労働者の人件費などを基に行う。経済活動別産出額、固定資本形成に計上する。</w:t>
      </w:r>
    </w:p>
    <w:p w:rsidR="007A2DAB" w:rsidRPr="007A2DAB" w:rsidRDefault="007A2DAB" w:rsidP="00EF19A4">
      <w:pPr>
        <w:rPr>
          <w:rFonts w:ascii="ＭＳ ゴシック" w:eastAsia="ＭＳ ゴシック" w:hAnsi="ＭＳ ゴシック"/>
          <w:bCs/>
          <w:szCs w:val="21"/>
        </w:rPr>
      </w:pPr>
    </w:p>
    <w:p w:rsidR="00A70A08" w:rsidRPr="003A4ACA" w:rsidRDefault="00A70A08" w:rsidP="00EF19A4">
      <w:pPr>
        <w:numPr>
          <w:ilvl w:val="0"/>
          <w:numId w:val="6"/>
        </w:numPr>
        <w:ind w:leftChars="100" w:left="525" w:hangingChars="150" w:hanging="315"/>
        <w:rPr>
          <w:rFonts w:ascii="ＭＳ ゴシック" w:eastAsia="ＭＳ ゴシック" w:hAnsi="ＭＳ ゴシック"/>
          <w:bCs/>
          <w:szCs w:val="21"/>
        </w:rPr>
      </w:pPr>
      <w:r w:rsidRPr="008E5E19">
        <w:rPr>
          <w:rFonts w:ascii="ＭＳ ゴシック" w:eastAsia="ＭＳ ゴシック" w:hAnsi="ＭＳ ゴシック" w:hint="eastAsia"/>
          <w:bCs/>
          <w:szCs w:val="21"/>
        </w:rPr>
        <w:t>固定資本減耗の時価評価の導入</w:t>
      </w:r>
    </w:p>
    <w:p w:rsidR="00FD1A8F" w:rsidRPr="00CD27A6" w:rsidRDefault="00FD1A8F" w:rsidP="00EF19A4">
      <w:pPr>
        <w:ind w:leftChars="200" w:left="420" w:firstLineChars="100" w:firstLine="210"/>
        <w:rPr>
          <w:rFonts w:ascii="ＭＳ 明朝" w:hAnsi="ＭＳ 明朝"/>
          <w:bCs/>
          <w:szCs w:val="21"/>
        </w:rPr>
      </w:pPr>
      <w:r w:rsidRPr="00CD27A6">
        <w:rPr>
          <w:rFonts w:ascii="ＭＳ 明朝" w:hAnsi="ＭＳ 明朝" w:hint="eastAsia"/>
          <w:bCs/>
          <w:szCs w:val="21"/>
        </w:rPr>
        <w:t>国民経済計算において、簿価評価による計上を改め、国際基準に適合するよう、固定資産の推計（恒久棚卸法）から得られる時価評価による推計値を用いるよう変更された。</w:t>
      </w:r>
    </w:p>
    <w:p w:rsidR="00FD1A8F" w:rsidRPr="00CD27A6" w:rsidRDefault="00FD1A8F" w:rsidP="00EF19A4">
      <w:pPr>
        <w:ind w:leftChars="200" w:left="420" w:firstLineChars="100" w:firstLine="210"/>
        <w:rPr>
          <w:rFonts w:ascii="ＭＳ 明朝" w:hAnsi="ＭＳ 明朝"/>
          <w:bCs/>
          <w:szCs w:val="21"/>
        </w:rPr>
      </w:pPr>
      <w:r w:rsidRPr="00CD27A6">
        <w:rPr>
          <w:rFonts w:ascii="ＭＳ 明朝" w:hAnsi="ＭＳ 明朝" w:hint="eastAsia"/>
          <w:bCs/>
          <w:szCs w:val="21"/>
        </w:rPr>
        <w:t>これに伴い、県民経済計算においても、時価評価（再取得価格）を用いることになった。</w:t>
      </w:r>
    </w:p>
    <w:sectPr w:rsidR="00FD1A8F" w:rsidRPr="00CD27A6" w:rsidSect="00FF7F60">
      <w:footerReference w:type="even" r:id="rId16"/>
      <w:footerReference w:type="default" r:id="rId17"/>
      <w:pgSz w:w="11906" w:h="16838" w:code="9"/>
      <w:pgMar w:top="1418" w:right="1418" w:bottom="1418" w:left="1418" w:header="851" w:footer="567" w:gutter="0"/>
      <w:pgNumType w:fmt="numberInDash" w:start="129"/>
      <w:cols w:space="425"/>
      <w:docGrid w:type="lines" w:linePitch="35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D3" w:rsidRDefault="001902D3" w:rsidP="00F343D1">
      <w:r>
        <w:separator/>
      </w:r>
    </w:p>
  </w:endnote>
  <w:endnote w:type="continuationSeparator" w:id="0">
    <w:p w:rsidR="001902D3" w:rsidRDefault="001902D3" w:rsidP="00F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AC" w:rsidRDefault="007E19AC" w:rsidP="007E19A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19AC" w:rsidRDefault="007E19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sz w:val="20"/>
      </w:rPr>
      <w:id w:val="1529915518"/>
      <w:docPartObj>
        <w:docPartGallery w:val="Page Numbers (Bottom of Page)"/>
        <w:docPartUnique/>
      </w:docPartObj>
    </w:sdtPr>
    <w:sdtEndPr/>
    <w:sdtContent>
      <w:p w:rsidR="00990C22" w:rsidRPr="004F7B33" w:rsidRDefault="00990C22">
        <w:pPr>
          <w:pStyle w:val="a4"/>
          <w:jc w:val="center"/>
          <w:rPr>
            <w:rFonts w:asciiTheme="minorHAnsi" w:eastAsiaTheme="minorEastAsia" w:hAnsiTheme="minorHAnsi"/>
            <w:sz w:val="20"/>
          </w:rPr>
        </w:pPr>
        <w:r w:rsidRPr="004F7B33">
          <w:rPr>
            <w:rFonts w:asciiTheme="minorHAnsi" w:eastAsiaTheme="minorEastAsia" w:hAnsiTheme="minorHAnsi"/>
            <w:sz w:val="20"/>
          </w:rPr>
          <w:fldChar w:fldCharType="begin"/>
        </w:r>
        <w:r w:rsidRPr="004F7B33">
          <w:rPr>
            <w:rFonts w:asciiTheme="minorHAnsi" w:eastAsiaTheme="minorEastAsia" w:hAnsiTheme="minorHAnsi"/>
            <w:sz w:val="20"/>
          </w:rPr>
          <w:instrText>PAGE   \* MERGEFORMAT</w:instrText>
        </w:r>
        <w:r w:rsidRPr="004F7B33">
          <w:rPr>
            <w:rFonts w:asciiTheme="minorHAnsi" w:eastAsiaTheme="minorEastAsia" w:hAnsiTheme="minorHAnsi"/>
            <w:sz w:val="20"/>
          </w:rPr>
          <w:fldChar w:fldCharType="separate"/>
        </w:r>
        <w:r w:rsidR="00B91374" w:rsidRPr="00B91374">
          <w:rPr>
            <w:rFonts w:asciiTheme="minorHAnsi" w:eastAsiaTheme="minorEastAsia" w:hAnsiTheme="minorHAnsi"/>
            <w:noProof/>
            <w:sz w:val="20"/>
            <w:lang w:val="ja-JP"/>
          </w:rPr>
          <w:t>-</w:t>
        </w:r>
        <w:r w:rsidR="00B91374">
          <w:rPr>
            <w:rFonts w:asciiTheme="minorHAnsi" w:eastAsiaTheme="minorEastAsia" w:hAnsiTheme="minorHAnsi"/>
            <w:noProof/>
            <w:sz w:val="20"/>
          </w:rPr>
          <w:t xml:space="preserve"> 129 -</w:t>
        </w:r>
        <w:r w:rsidRPr="004F7B33">
          <w:rPr>
            <w:rFonts w:asciiTheme="minorHAnsi" w:eastAsiaTheme="minorEastAsia" w:hAnsiTheme="minorHAnsi"/>
            <w:sz w:val="20"/>
          </w:rPr>
          <w:fldChar w:fldCharType="end"/>
        </w:r>
      </w:p>
    </w:sdtContent>
  </w:sdt>
  <w:p w:rsidR="00990C22" w:rsidRPr="004F7B33" w:rsidRDefault="00990C22">
    <w:pPr>
      <w:pStyle w:val="a4"/>
      <w:rPr>
        <w:rFonts w:asciiTheme="minorHAnsi" w:eastAsiaTheme="minorEastAsia"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D3" w:rsidRDefault="001902D3" w:rsidP="00F343D1">
      <w:r>
        <w:separator/>
      </w:r>
    </w:p>
  </w:footnote>
  <w:footnote w:type="continuationSeparator" w:id="0">
    <w:p w:rsidR="001902D3" w:rsidRDefault="001902D3" w:rsidP="00F34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9EE"/>
    <w:multiLevelType w:val="hybridMultilevel"/>
    <w:tmpl w:val="49709AC6"/>
    <w:lvl w:ilvl="0" w:tplc="69F20760">
      <w:start w:val="7"/>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2611D1"/>
    <w:multiLevelType w:val="hybridMultilevel"/>
    <w:tmpl w:val="7794EFD2"/>
    <w:lvl w:ilvl="0" w:tplc="914A679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505072A"/>
    <w:multiLevelType w:val="hybridMultilevel"/>
    <w:tmpl w:val="40F08DB4"/>
    <w:lvl w:ilvl="0" w:tplc="2EE0AAAE">
      <w:start w:val="9"/>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730765"/>
    <w:multiLevelType w:val="multilevel"/>
    <w:tmpl w:val="A0B6D9F0"/>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B537ECA"/>
    <w:multiLevelType w:val="multilevel"/>
    <w:tmpl w:val="0D84C956"/>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FullWidth"/>
      <w:suff w:val="nothing"/>
      <w:lvlText w:val="%1－%2"/>
      <w:lvlJc w:val="left"/>
      <w:pPr>
        <w:ind w:left="0" w:firstLine="0"/>
      </w:pPr>
      <w:rPr>
        <w:rFonts w:ascii="ＭＳ ゴシック" w:eastAsia="ＭＳ ゴシック" w:hint="eastAsia"/>
        <w:b/>
        <w:i w:val="0"/>
        <w:sz w:val="24"/>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C8D145F"/>
    <w:multiLevelType w:val="hybridMultilevel"/>
    <w:tmpl w:val="5008AD6E"/>
    <w:lvl w:ilvl="0" w:tplc="13C25E9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1E0C6EF2"/>
    <w:multiLevelType w:val="multilevel"/>
    <w:tmpl w:val="40F08DB4"/>
    <w:lvl w:ilvl="0">
      <w:start w:val="9"/>
      <w:numFmt w:val="decimalFullWidth"/>
      <w:lvlText w:val="（%1）"/>
      <w:lvlJc w:val="left"/>
      <w:pPr>
        <w:tabs>
          <w:tab w:val="num" w:pos="555"/>
        </w:tabs>
        <w:ind w:left="555" w:hanging="5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3411FB2"/>
    <w:multiLevelType w:val="hybridMultilevel"/>
    <w:tmpl w:val="21AE5586"/>
    <w:lvl w:ilvl="0" w:tplc="7286FB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CEF0696"/>
    <w:multiLevelType w:val="hybridMultilevel"/>
    <w:tmpl w:val="9AF2A04E"/>
    <w:lvl w:ilvl="0" w:tplc="53D68E0A">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nsid w:val="2D44568A"/>
    <w:multiLevelType w:val="hybridMultilevel"/>
    <w:tmpl w:val="A72482FA"/>
    <w:lvl w:ilvl="0" w:tplc="3C6C49AC">
      <w:numFmt w:val="bullet"/>
      <w:lvlText w:val="○"/>
      <w:lvlJc w:val="left"/>
      <w:pPr>
        <w:tabs>
          <w:tab w:val="num" w:pos="723"/>
        </w:tabs>
        <w:ind w:left="723" w:hanging="420"/>
      </w:pPr>
      <w:rPr>
        <w:rFonts w:ascii="ＭＳ 明朝" w:eastAsia="ＭＳ 明朝" w:hAnsi="ＭＳ 明朝"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10">
    <w:nsid w:val="449D72F5"/>
    <w:multiLevelType w:val="multilevel"/>
    <w:tmpl w:val="BE3A5996"/>
    <w:lvl w:ilvl="0">
      <w:start w:val="3"/>
      <w:numFmt w:val="decimalFullWidth"/>
      <w:pStyle w:val="1"/>
      <w:suff w:val="space"/>
      <w:lvlText w:val="%1"/>
      <w:lvlJc w:val="left"/>
      <w:pPr>
        <w:ind w:left="0" w:firstLine="0"/>
      </w:pPr>
      <w:rPr>
        <w:rFonts w:ascii="ＭＳ ゴシック" w:eastAsia="ＭＳ ゴシック" w:hint="eastAsia"/>
        <w:b/>
        <w:i w:val="0"/>
        <w:sz w:val="28"/>
      </w:rPr>
    </w:lvl>
    <w:lvl w:ilvl="1">
      <w:start w:val="1"/>
      <w:numFmt w:val="decimalFullWidth"/>
      <w:pStyle w:val="2"/>
      <w:suff w:val="nothing"/>
      <w:lvlText w:val="%1－%2"/>
      <w:lvlJc w:val="left"/>
      <w:pPr>
        <w:ind w:left="0" w:firstLine="0"/>
      </w:pPr>
      <w:rPr>
        <w:rFonts w:ascii="ＭＳ ゴシック" w:eastAsia="ＭＳ ゴシック" w:hint="eastAsia"/>
        <w:b/>
        <w:i w:val="0"/>
        <w:sz w:val="24"/>
        <w:u w:val="none"/>
      </w:rPr>
    </w:lvl>
    <w:lvl w:ilvl="2">
      <w:start w:val="1"/>
      <w:numFmt w:val="decimalFullWidth"/>
      <w:pStyle w:val="3"/>
      <w:suff w:val="nothing"/>
      <w:lvlText w:val="（%3）"/>
      <w:lvlJc w:val="left"/>
      <w:pPr>
        <w:ind w:left="0" w:firstLine="0"/>
      </w:pPr>
      <w:rPr>
        <w:rFonts w:ascii="ＭＳ Ｐゴシック" w:eastAsia="ＭＳ Ｐゴシック" w:hint="eastAsia"/>
        <w:b/>
        <w:i w:val="0"/>
        <w:color w:val="auto"/>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CDA17D1"/>
    <w:multiLevelType w:val="hybridMultilevel"/>
    <w:tmpl w:val="3542B7A2"/>
    <w:lvl w:ilvl="0" w:tplc="FE742D1E">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2443F47"/>
    <w:multiLevelType w:val="hybridMultilevel"/>
    <w:tmpl w:val="974A7B62"/>
    <w:lvl w:ilvl="0" w:tplc="681086A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86031B6"/>
    <w:multiLevelType w:val="hybridMultilevel"/>
    <w:tmpl w:val="0D2A3FB8"/>
    <w:lvl w:ilvl="0" w:tplc="B2BC6C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nsid w:val="6E8A7C7F"/>
    <w:multiLevelType w:val="hybridMultilevel"/>
    <w:tmpl w:val="BA62F03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C27408E"/>
    <w:multiLevelType w:val="hybridMultilevel"/>
    <w:tmpl w:val="8574528E"/>
    <w:lvl w:ilvl="0" w:tplc="30A463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
  </w:num>
  <w:num w:numId="6">
    <w:abstractNumId w:val="11"/>
  </w:num>
  <w:num w:numId="7">
    <w:abstractNumId w:val="15"/>
  </w:num>
  <w:num w:numId="8">
    <w:abstractNumId w:val="7"/>
  </w:num>
  <w:num w:numId="9">
    <w:abstractNumId w:val="14"/>
  </w:num>
  <w:num w:numId="10">
    <w:abstractNumId w:val="8"/>
  </w:num>
  <w:num w:numId="11">
    <w:abstractNumId w:val="2"/>
  </w:num>
  <w:num w:numId="12">
    <w:abstractNumId w:val="6"/>
  </w:num>
  <w:num w:numId="13">
    <w:abstractNumId w:val="0"/>
  </w:num>
  <w:num w:numId="14">
    <w:abstractNumId w:val="9"/>
  </w:num>
  <w:num w:numId="15">
    <w:abstractNumId w:val="13"/>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211"/>
  <w:drawingGridVerticalSpacing w:val="175"/>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AE"/>
    <w:rsid w:val="00076AAF"/>
    <w:rsid w:val="00120478"/>
    <w:rsid w:val="00120D76"/>
    <w:rsid w:val="00137112"/>
    <w:rsid w:val="00152C81"/>
    <w:rsid w:val="001902D3"/>
    <w:rsid w:val="001C4582"/>
    <w:rsid w:val="00200E6D"/>
    <w:rsid w:val="002B250E"/>
    <w:rsid w:val="002F7290"/>
    <w:rsid w:val="00346FF5"/>
    <w:rsid w:val="00371DF3"/>
    <w:rsid w:val="004378B4"/>
    <w:rsid w:val="004F7B33"/>
    <w:rsid w:val="005D6D52"/>
    <w:rsid w:val="00673B74"/>
    <w:rsid w:val="006C4DD4"/>
    <w:rsid w:val="00784B7E"/>
    <w:rsid w:val="00786734"/>
    <w:rsid w:val="00786E02"/>
    <w:rsid w:val="007A2DAB"/>
    <w:rsid w:val="007D1A32"/>
    <w:rsid w:val="007E19AC"/>
    <w:rsid w:val="007E428A"/>
    <w:rsid w:val="007F0342"/>
    <w:rsid w:val="007F55A2"/>
    <w:rsid w:val="00824346"/>
    <w:rsid w:val="00843694"/>
    <w:rsid w:val="009512E5"/>
    <w:rsid w:val="00990C22"/>
    <w:rsid w:val="0099179D"/>
    <w:rsid w:val="009A4FAE"/>
    <w:rsid w:val="009B2F7B"/>
    <w:rsid w:val="00A37460"/>
    <w:rsid w:val="00A70A08"/>
    <w:rsid w:val="00AF5DC7"/>
    <w:rsid w:val="00B1046E"/>
    <w:rsid w:val="00B27C90"/>
    <w:rsid w:val="00B349B3"/>
    <w:rsid w:val="00B91374"/>
    <w:rsid w:val="00C171DE"/>
    <w:rsid w:val="00D21B9D"/>
    <w:rsid w:val="00DC46C7"/>
    <w:rsid w:val="00DF7A3A"/>
    <w:rsid w:val="00E05412"/>
    <w:rsid w:val="00E90F9A"/>
    <w:rsid w:val="00EF19A4"/>
    <w:rsid w:val="00F21197"/>
    <w:rsid w:val="00F343D1"/>
    <w:rsid w:val="00FB3E6E"/>
    <w:rsid w:val="00FD1A8F"/>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FB3E6E"/>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FB3E6E"/>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FB3E6E"/>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FB3E6E"/>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esri.cao.go.jp/jp/sna/data/data_list/kakuhou/files/h22/sankou/pdf/tyui.pdf"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esri.cao.go.jp/jp/sna/data/data_list/kakuhou/gaiyou/pdf/fisim20111226.pdf&#122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686A5-C4A8-4D96-99E1-32B83078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3474</Words>
  <Characters>3923</Characters>
  <Application>Microsoft Office Word</Application>
  <DocSecurity>0</DocSecurity>
  <Lines>139</Lines>
  <Paragraphs>58</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2016-12-12T01:08:00Z</dcterms:created>
  <dcterms:modified xsi:type="dcterms:W3CDTF">2016-12-19T01:34:00Z</dcterms:modified>
</cp:coreProperties>
</file>