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D0074" w14:textId="14C2A5A4" w:rsidR="0096074A" w:rsidRDefault="00E9150E">
      <w:r>
        <w:rPr>
          <w:rFonts w:hint="eastAsia"/>
        </w:rPr>
        <w:t>大阪府循環型社会推進計画（案）の概要</w:t>
      </w:r>
    </w:p>
    <w:p w14:paraId="0A5935BC" w14:textId="1B6F26C5" w:rsidR="00E9150E" w:rsidRDefault="00E9150E"/>
    <w:p w14:paraId="122F1342" w14:textId="697EDCC8" w:rsidR="00E9150E" w:rsidRDefault="00E9150E" w:rsidP="006217FE">
      <w:r>
        <w:rPr>
          <w:rFonts w:hint="eastAsia"/>
        </w:rPr>
        <w:t>第１章　計画の基本的事項</w:t>
      </w:r>
    </w:p>
    <w:p w14:paraId="42E8DFFD" w14:textId="10A2223A" w:rsidR="00E9150E" w:rsidRDefault="00E9150E" w:rsidP="006217FE">
      <w:pPr>
        <w:ind w:leftChars="100" w:left="210"/>
      </w:pPr>
      <w:r>
        <w:rPr>
          <w:rFonts w:hint="eastAsia"/>
        </w:rPr>
        <w:t>計画の位置づけ</w:t>
      </w:r>
    </w:p>
    <w:p w14:paraId="42F6E29D" w14:textId="40340660" w:rsidR="00E9150E" w:rsidRDefault="00E9150E" w:rsidP="006217FE">
      <w:pPr>
        <w:ind w:leftChars="200" w:left="420"/>
      </w:pPr>
      <w:r>
        <w:rPr>
          <w:rFonts w:hint="eastAsia"/>
        </w:rPr>
        <w:t>「廃棄物の処理及び清掃に関する法律」に基づく都道府県廃棄物処理計画</w:t>
      </w:r>
    </w:p>
    <w:p w14:paraId="48588714" w14:textId="499AC765" w:rsidR="00E9150E" w:rsidRDefault="00E9150E" w:rsidP="006217FE">
      <w:pPr>
        <w:ind w:leftChars="200" w:left="420"/>
      </w:pPr>
      <w:r>
        <w:rPr>
          <w:rFonts w:hint="eastAsia"/>
        </w:rPr>
        <w:t>「2</w:t>
      </w:r>
      <w:r>
        <w:t>030</w:t>
      </w:r>
      <w:r>
        <w:rPr>
          <w:rFonts w:hint="eastAsia"/>
        </w:rPr>
        <w:t>大阪府環境総合計画」の資源循環分野の個別計画</w:t>
      </w:r>
    </w:p>
    <w:p w14:paraId="46620F87" w14:textId="41E67B42" w:rsidR="00E9150E" w:rsidRDefault="00E9150E" w:rsidP="006217FE">
      <w:pPr>
        <w:ind w:leftChars="200" w:left="420"/>
      </w:pPr>
      <w:r>
        <w:rPr>
          <w:rFonts w:hint="eastAsia"/>
        </w:rPr>
        <w:t>「大阪府循環型社会</w:t>
      </w:r>
      <w:r w:rsidR="003931EE">
        <w:rPr>
          <w:rFonts w:hint="eastAsia"/>
        </w:rPr>
        <w:t>形成</w:t>
      </w:r>
      <w:r>
        <w:rPr>
          <w:rFonts w:hint="eastAsia"/>
        </w:rPr>
        <w:t>推進条例」に基づく施策の基本方針、各主体の行動指針</w:t>
      </w:r>
    </w:p>
    <w:p w14:paraId="55331035" w14:textId="77777777" w:rsidR="00A70A38" w:rsidRDefault="00A70A38" w:rsidP="006217FE">
      <w:pPr>
        <w:ind w:leftChars="100" w:left="210"/>
      </w:pPr>
    </w:p>
    <w:p w14:paraId="4DF34A01" w14:textId="15F0E2A2" w:rsidR="006217FE" w:rsidRDefault="006217FE" w:rsidP="006217FE">
      <w:pPr>
        <w:ind w:leftChars="100" w:left="210"/>
      </w:pPr>
      <w:r>
        <w:rPr>
          <w:rFonts w:hint="eastAsia"/>
        </w:rPr>
        <w:t>計画期間</w:t>
      </w:r>
    </w:p>
    <w:p w14:paraId="0E18D3DC" w14:textId="076D786E" w:rsidR="006217FE" w:rsidRDefault="006217FE" w:rsidP="006217FE">
      <w:pPr>
        <w:ind w:leftChars="200" w:left="420"/>
      </w:pPr>
      <w:r>
        <w:rPr>
          <w:rFonts w:hint="eastAsia"/>
        </w:rPr>
        <w:t>2</w:t>
      </w:r>
      <w:r>
        <w:t>026</w:t>
      </w:r>
      <w:r>
        <w:rPr>
          <w:rFonts w:hint="eastAsia"/>
        </w:rPr>
        <w:t>年度から2</w:t>
      </w:r>
      <w:r>
        <w:t>030</w:t>
      </w:r>
      <w:r>
        <w:rPr>
          <w:rFonts w:hint="eastAsia"/>
        </w:rPr>
        <w:t>年度までの5年間</w:t>
      </w:r>
    </w:p>
    <w:p w14:paraId="0E7CC6D8" w14:textId="77777777" w:rsidR="00A70A38" w:rsidRDefault="00A70A38" w:rsidP="006217FE">
      <w:pPr>
        <w:ind w:leftChars="100" w:left="210"/>
      </w:pPr>
    </w:p>
    <w:p w14:paraId="2EAB1678" w14:textId="2301934D" w:rsidR="00E9150E" w:rsidRDefault="006217FE" w:rsidP="006217FE">
      <w:pPr>
        <w:ind w:leftChars="100" w:left="210"/>
      </w:pPr>
      <w:r>
        <w:rPr>
          <w:rFonts w:hint="eastAsia"/>
        </w:rPr>
        <w:t>実施主体</w:t>
      </w:r>
    </w:p>
    <w:p w14:paraId="37E85C4B" w14:textId="077A67F1" w:rsidR="006217FE" w:rsidRDefault="006217FE" w:rsidP="006217FE">
      <w:pPr>
        <w:ind w:leftChars="200" w:left="420"/>
      </w:pPr>
      <w:r>
        <w:rPr>
          <w:rFonts w:hint="eastAsia"/>
        </w:rPr>
        <w:t>循環型社会の形成に向けて、府民、事業者、市町村、府の各主体が果たすべき役割を認識した上で、連携・協働し、ごみの減量化、資源の循環、適正処理に取り組んでいく。</w:t>
      </w:r>
    </w:p>
    <w:p w14:paraId="64276DFB" w14:textId="77777777" w:rsidR="00A70A38" w:rsidRDefault="00A70A38" w:rsidP="00A70A38">
      <w:pPr>
        <w:ind w:leftChars="100" w:left="210"/>
      </w:pPr>
    </w:p>
    <w:p w14:paraId="043918B0" w14:textId="63E50616" w:rsidR="006217FE" w:rsidRDefault="00A70A38" w:rsidP="00A70A38">
      <w:pPr>
        <w:ind w:leftChars="100" w:left="210"/>
      </w:pPr>
      <w:r>
        <w:rPr>
          <w:rFonts w:hint="eastAsia"/>
        </w:rPr>
        <w:t>2</w:t>
      </w:r>
      <w:r>
        <w:t>050</w:t>
      </w:r>
      <w:r>
        <w:rPr>
          <w:rFonts w:hint="eastAsia"/>
        </w:rPr>
        <w:t>年のめざすべき循環型社会の将来像</w:t>
      </w:r>
    </w:p>
    <w:p w14:paraId="2BD89D19" w14:textId="40347CE6" w:rsidR="00A70A38" w:rsidRDefault="00A70A38" w:rsidP="00A70A38">
      <w:pPr>
        <w:ind w:leftChars="200" w:left="420"/>
      </w:pPr>
      <w:r>
        <w:rPr>
          <w:rFonts w:hint="eastAsia"/>
        </w:rPr>
        <w:t>大阪から世界へ、現在から未来へ　暮らしやすい循環型社会</w:t>
      </w:r>
    </w:p>
    <w:p w14:paraId="66BC2A10" w14:textId="673312AC" w:rsidR="00A70A38" w:rsidRDefault="00A70A38" w:rsidP="00A70A38">
      <w:pPr>
        <w:ind w:leftChars="300" w:left="840" w:hangingChars="100" w:hanging="210"/>
      </w:pPr>
      <w:r>
        <w:rPr>
          <w:rFonts w:hint="eastAsia"/>
        </w:rPr>
        <w:t>・</w:t>
      </w:r>
      <w:r w:rsidRPr="00A70A38">
        <w:rPr>
          <w:rFonts w:hint="eastAsia"/>
        </w:rPr>
        <w:t>全ての府民が持続可能なライフスタイルを実践するとともに、企業活動においても動脈産業と静脈産業の連携などにより資源循環型のビジネスモデルへの転換が進むことで、資源を効率的・循環的に有効利用する循環経済（サーキュラーエコノミー）へ移行し、資源消費を最小化し廃棄物の発生抑制や環境負荷の低減等が進んでいる。</w:t>
      </w:r>
    </w:p>
    <w:p w14:paraId="2D604719" w14:textId="2D0381F7" w:rsidR="00A70A38" w:rsidRPr="00A70A38" w:rsidRDefault="00A70A38" w:rsidP="00A70A38">
      <w:pPr>
        <w:ind w:leftChars="300" w:left="840" w:hangingChars="100" w:hanging="210"/>
      </w:pPr>
      <w:r>
        <w:rPr>
          <w:rFonts w:hint="eastAsia"/>
        </w:rPr>
        <w:t>・</w:t>
      </w:r>
      <w:r w:rsidRPr="00A70A38">
        <w:rPr>
          <w:rFonts w:hint="eastAsia"/>
        </w:rPr>
        <w:t>また、プラスチックごみの排出抑制や環境への流出削減の進展により「大阪ブルー・オーシャン・ビジョン」が達成されており、さらに、再資源化技術の高度化も進み、廃棄物分野における温室効果ガス排出量の実質ゼロが実現されている。</w:t>
      </w:r>
    </w:p>
    <w:p w14:paraId="6F4673EA" w14:textId="542129DD" w:rsidR="00A70A38" w:rsidRDefault="00A70A38" w:rsidP="00A70A38">
      <w:pPr>
        <w:ind w:leftChars="300" w:left="840" w:hangingChars="100" w:hanging="210"/>
      </w:pPr>
      <w:r>
        <w:rPr>
          <w:rFonts w:hint="eastAsia"/>
        </w:rPr>
        <w:t>・</w:t>
      </w:r>
      <w:r w:rsidRPr="00A70A38">
        <w:rPr>
          <w:rFonts w:hint="eastAsia"/>
        </w:rPr>
        <w:t>これらにより、気候変動への対応、</w:t>
      </w:r>
      <w:r w:rsidR="00DA75DB">
        <w:rPr>
          <w:rFonts w:hint="eastAsia"/>
        </w:rPr>
        <w:t>ネイチャーポジティブ</w:t>
      </w:r>
      <w:r w:rsidRPr="00A70A38">
        <w:rPr>
          <w:rFonts w:hint="eastAsia"/>
        </w:rPr>
        <w:t>が進み、持続可能な循環型社会が形成されている。</w:t>
      </w:r>
    </w:p>
    <w:p w14:paraId="54C5108E" w14:textId="2718F5D9" w:rsidR="00A70A38" w:rsidRDefault="00A70A38" w:rsidP="00A70A38"/>
    <w:p w14:paraId="039C4CA5" w14:textId="718EDF58" w:rsidR="00A70A38" w:rsidRDefault="00A70A38" w:rsidP="00A70A38">
      <w:r>
        <w:rPr>
          <w:rFonts w:hint="eastAsia"/>
        </w:rPr>
        <w:t>第２章　資源循環分野における社会情勢の変化（主なもの）</w:t>
      </w:r>
    </w:p>
    <w:p w14:paraId="6134924A" w14:textId="436D1E41" w:rsidR="00A70A38" w:rsidRDefault="00A70A38" w:rsidP="00A70A38">
      <w:pPr>
        <w:ind w:leftChars="100" w:left="210"/>
      </w:pPr>
      <w:r>
        <w:rPr>
          <w:rFonts w:hint="eastAsia"/>
        </w:rPr>
        <w:t>・第五次循環型社会形成推進基本計画（2</w:t>
      </w:r>
      <w:r>
        <w:t>024</w:t>
      </w:r>
      <w:r>
        <w:rPr>
          <w:rFonts w:hint="eastAsia"/>
        </w:rPr>
        <w:t>年８月</w:t>
      </w:r>
      <w:r w:rsidR="003931EE">
        <w:rPr>
          <w:rFonts w:hint="eastAsia"/>
        </w:rPr>
        <w:t>閣議決定</w:t>
      </w:r>
      <w:r>
        <w:rPr>
          <w:rFonts w:hint="eastAsia"/>
        </w:rPr>
        <w:t>）</w:t>
      </w:r>
    </w:p>
    <w:p w14:paraId="232799B8" w14:textId="24123CE5" w:rsidR="00A70A38" w:rsidRDefault="00A70A38" w:rsidP="00A70A38">
      <w:pPr>
        <w:ind w:leftChars="200" w:left="420"/>
      </w:pPr>
      <w:r>
        <w:rPr>
          <w:rFonts w:hint="eastAsia"/>
        </w:rPr>
        <w:t>循環型社会の形成に向けて、持続可能な形で資源を効率的・循環的に</w:t>
      </w:r>
      <w:r w:rsidR="00DA75DB">
        <w:rPr>
          <w:rFonts w:hint="eastAsia"/>
        </w:rPr>
        <w:t>有効</w:t>
      </w:r>
      <w:r>
        <w:rPr>
          <w:rFonts w:hint="eastAsia"/>
        </w:rPr>
        <w:t>利用するサーキュラーエコノミーへの移行を推進。</w:t>
      </w:r>
    </w:p>
    <w:p w14:paraId="477D418B" w14:textId="2B485B4C" w:rsidR="00A70A38" w:rsidRDefault="00A70A38" w:rsidP="00A70A38">
      <w:pPr>
        <w:ind w:leftChars="100" w:left="210"/>
      </w:pPr>
      <w:r>
        <w:rPr>
          <w:rFonts w:hint="eastAsia"/>
        </w:rPr>
        <w:t>・再資源化事業等高度化法（2</w:t>
      </w:r>
      <w:r>
        <w:t>025</w:t>
      </w:r>
      <w:r>
        <w:rPr>
          <w:rFonts w:hint="eastAsia"/>
        </w:rPr>
        <w:t>年1</w:t>
      </w:r>
      <w:r>
        <w:t>1</w:t>
      </w:r>
      <w:r>
        <w:rPr>
          <w:rFonts w:hint="eastAsia"/>
        </w:rPr>
        <w:t>月施行）</w:t>
      </w:r>
    </w:p>
    <w:p w14:paraId="3338D669" w14:textId="5C811A67" w:rsidR="00A70A38" w:rsidRDefault="00A70A38" w:rsidP="00A70A38">
      <w:pPr>
        <w:ind w:leftChars="200" w:left="420"/>
      </w:pPr>
      <w:r>
        <w:rPr>
          <w:rFonts w:hint="eastAsia"/>
        </w:rPr>
        <w:t>製造事業者等が必要とする質と量の再生資源が確実に供給されるよう、再資源化事業等の高度化を促進。</w:t>
      </w:r>
    </w:p>
    <w:p w14:paraId="7306B0B7" w14:textId="62B6563D" w:rsidR="00A70A38" w:rsidRDefault="00A70A38" w:rsidP="00A70A38">
      <w:pPr>
        <w:ind w:leftChars="100" w:left="210"/>
      </w:pPr>
      <w:r>
        <w:rPr>
          <w:rFonts w:hint="eastAsia"/>
        </w:rPr>
        <w:t>・大阪・関西万博における資源循環の取組</w:t>
      </w:r>
    </w:p>
    <w:p w14:paraId="724295CB" w14:textId="5E025545" w:rsidR="00A70A38" w:rsidRDefault="00E728AD" w:rsidP="00A70A38">
      <w:pPr>
        <w:ind w:leftChars="200" w:left="420"/>
      </w:pPr>
      <w:r w:rsidRPr="00E728AD">
        <w:rPr>
          <w:rFonts w:hint="eastAsia"/>
        </w:rPr>
        <w:t>持続可能な社会の実現をめざす取組の一環として「</w:t>
      </w:r>
      <w:r w:rsidRPr="00E728AD">
        <w:t>EXPO</w:t>
      </w:r>
      <w:r w:rsidR="000542CA">
        <w:rPr>
          <w:rFonts w:hint="eastAsia"/>
        </w:rPr>
        <w:t>（エキスポ）</w:t>
      </w:r>
      <w:r w:rsidRPr="00E728AD">
        <w:t xml:space="preserve"> 2025 グリーンビジョン」を策定し、使い捨てプラスチックの利用削減、ごみの分別・回収の徹底、ペットボトルの水平リサイクルなど、万博会場内外において資源循環に関する先進的な取組を実施。</w:t>
      </w:r>
    </w:p>
    <w:p w14:paraId="4C824FD2" w14:textId="3E3D0547" w:rsidR="00E728AD" w:rsidRDefault="00E728AD" w:rsidP="00E728AD"/>
    <w:p w14:paraId="46005467" w14:textId="02E73F9D" w:rsidR="00E728AD" w:rsidRDefault="00E728AD" w:rsidP="00E728AD">
      <w:r>
        <w:rPr>
          <w:rFonts w:hint="eastAsia"/>
        </w:rPr>
        <w:t>第３章　計画の目標</w:t>
      </w:r>
    </w:p>
    <w:p w14:paraId="7C800C46" w14:textId="4840ECC6" w:rsidR="00E728AD" w:rsidRDefault="00E728AD" w:rsidP="00E728AD">
      <w:pPr>
        <w:ind w:leftChars="100" w:left="210"/>
      </w:pPr>
      <w:r>
        <w:rPr>
          <w:rFonts w:hint="eastAsia"/>
        </w:rPr>
        <w:t>一般廃棄物</w:t>
      </w:r>
    </w:p>
    <w:p w14:paraId="31A5AE01" w14:textId="77777777" w:rsidR="00285144" w:rsidRDefault="00E728AD" w:rsidP="000542CA">
      <w:pPr>
        <w:ind w:leftChars="200" w:left="420"/>
      </w:pPr>
      <w:r>
        <w:rPr>
          <w:rFonts w:hint="eastAsia"/>
        </w:rPr>
        <w:t>・排出量</w:t>
      </w:r>
    </w:p>
    <w:p w14:paraId="0A6A9A3F" w14:textId="2F28723C" w:rsidR="00E728AD" w:rsidRDefault="00E728AD" w:rsidP="00285144">
      <w:pPr>
        <w:ind w:leftChars="200" w:left="420" w:firstLineChars="100" w:firstLine="210"/>
      </w:pPr>
      <w:r>
        <w:rPr>
          <w:rFonts w:hint="eastAsia"/>
        </w:rPr>
        <w:t>2</w:t>
      </w:r>
      <w:r>
        <w:t>024</w:t>
      </w:r>
      <w:r>
        <w:rPr>
          <w:rFonts w:hint="eastAsia"/>
        </w:rPr>
        <w:t>年度実績値（速報）2</w:t>
      </w:r>
      <w:r>
        <w:t>77.0</w:t>
      </w:r>
      <w:r>
        <w:rPr>
          <w:rFonts w:hint="eastAsia"/>
        </w:rPr>
        <w:t>万トン</w:t>
      </w:r>
      <w:r w:rsidR="00285144">
        <w:rPr>
          <w:rFonts w:hint="eastAsia"/>
        </w:rPr>
        <w:t>、</w:t>
      </w:r>
      <w:r>
        <w:rPr>
          <w:rFonts w:hint="eastAsia"/>
        </w:rPr>
        <w:t>2</w:t>
      </w:r>
      <w:r>
        <w:t>030</w:t>
      </w:r>
      <w:r>
        <w:rPr>
          <w:rFonts w:hint="eastAsia"/>
        </w:rPr>
        <w:t>年度目標値2</w:t>
      </w:r>
      <w:r>
        <w:t>63.1</w:t>
      </w:r>
      <w:r>
        <w:rPr>
          <w:rFonts w:hint="eastAsia"/>
        </w:rPr>
        <w:t>万トン</w:t>
      </w:r>
    </w:p>
    <w:p w14:paraId="7A4546F9" w14:textId="77777777" w:rsidR="00285144" w:rsidRDefault="00E728AD" w:rsidP="00E728AD">
      <w:pPr>
        <w:ind w:leftChars="200" w:left="420"/>
      </w:pPr>
      <w:r>
        <w:rPr>
          <w:rFonts w:hint="eastAsia"/>
        </w:rPr>
        <w:lastRenderedPageBreak/>
        <w:t>・最終処分量</w:t>
      </w:r>
    </w:p>
    <w:p w14:paraId="5F34A6B9" w14:textId="3CDE95FB" w:rsidR="00E728AD" w:rsidRDefault="00E728AD" w:rsidP="00285144">
      <w:pPr>
        <w:ind w:leftChars="200" w:left="420" w:firstLineChars="100" w:firstLine="210"/>
      </w:pPr>
      <w:r>
        <w:rPr>
          <w:rFonts w:hint="eastAsia"/>
        </w:rPr>
        <w:t>2</w:t>
      </w:r>
      <w:r>
        <w:t>024</w:t>
      </w:r>
      <w:r>
        <w:rPr>
          <w:rFonts w:hint="eastAsia"/>
        </w:rPr>
        <w:t>年度実績値（速報）3</w:t>
      </w:r>
      <w:r>
        <w:t>1.0</w:t>
      </w:r>
      <w:r>
        <w:rPr>
          <w:rFonts w:hint="eastAsia"/>
        </w:rPr>
        <w:t>万トン</w:t>
      </w:r>
      <w:r w:rsidR="00DA75DB">
        <w:rPr>
          <w:rFonts w:hint="eastAsia"/>
        </w:rPr>
        <w:t>、</w:t>
      </w:r>
      <w:r>
        <w:rPr>
          <w:rFonts w:hint="eastAsia"/>
        </w:rPr>
        <w:t>2</w:t>
      </w:r>
      <w:r>
        <w:t>030</w:t>
      </w:r>
      <w:r>
        <w:rPr>
          <w:rFonts w:hint="eastAsia"/>
        </w:rPr>
        <w:t>年度目標値2</w:t>
      </w:r>
      <w:r>
        <w:t>9.5</w:t>
      </w:r>
      <w:r>
        <w:rPr>
          <w:rFonts w:hint="eastAsia"/>
        </w:rPr>
        <w:t>万トン</w:t>
      </w:r>
    </w:p>
    <w:p w14:paraId="705EA604" w14:textId="77777777" w:rsidR="00285144" w:rsidRDefault="00E728AD" w:rsidP="00DA69C6">
      <w:pPr>
        <w:ind w:leftChars="200" w:left="630" w:hangingChars="100" w:hanging="210"/>
      </w:pPr>
      <w:r>
        <w:rPr>
          <w:rFonts w:hint="eastAsia"/>
        </w:rPr>
        <w:t>・目標設定の考え方</w:t>
      </w:r>
    </w:p>
    <w:p w14:paraId="3331424A" w14:textId="5B629799" w:rsidR="00E728AD" w:rsidRDefault="00E728AD" w:rsidP="00285144">
      <w:pPr>
        <w:ind w:leftChars="300" w:left="630"/>
      </w:pPr>
      <w:r>
        <w:rPr>
          <w:rFonts w:hint="eastAsia"/>
        </w:rPr>
        <w:t>単純将来推計による減少に加え、ごみの減量化や再資源化等を</w:t>
      </w:r>
      <w:r w:rsidR="000542CA">
        <w:rPr>
          <w:rFonts w:hint="eastAsia"/>
        </w:rPr>
        <w:t>推進</w:t>
      </w:r>
      <w:r>
        <w:rPr>
          <w:rFonts w:hint="eastAsia"/>
        </w:rPr>
        <w:t>することで、2</w:t>
      </w:r>
      <w:r>
        <w:t>024</w:t>
      </w:r>
      <w:r>
        <w:rPr>
          <w:rFonts w:hint="eastAsia"/>
        </w:rPr>
        <w:t>年度（基準年度）に対して、排出量は5</w:t>
      </w:r>
      <w:r>
        <w:t>.0%</w:t>
      </w:r>
      <w:r w:rsidR="000542CA">
        <w:rPr>
          <w:rFonts w:hint="eastAsia"/>
        </w:rPr>
        <w:t>削減</w:t>
      </w:r>
      <w:r>
        <w:rPr>
          <w:rFonts w:hint="eastAsia"/>
        </w:rPr>
        <w:t>、最終処分量は</w:t>
      </w:r>
      <w:r>
        <w:t>4.9%</w:t>
      </w:r>
      <w:r w:rsidR="000542CA">
        <w:rPr>
          <w:rFonts w:hint="eastAsia"/>
        </w:rPr>
        <w:t>削減</w:t>
      </w:r>
      <w:r>
        <w:rPr>
          <w:rFonts w:hint="eastAsia"/>
        </w:rPr>
        <w:t>をめざす。</w:t>
      </w:r>
    </w:p>
    <w:p w14:paraId="093EF555" w14:textId="4F567D7E" w:rsidR="00E728AD" w:rsidRDefault="00E728AD" w:rsidP="00DA69C6"/>
    <w:p w14:paraId="4E976314" w14:textId="77777777" w:rsidR="00DA69C6" w:rsidRDefault="00DA69C6" w:rsidP="00DA69C6">
      <w:pPr>
        <w:ind w:leftChars="300" w:left="630"/>
      </w:pPr>
      <w:r>
        <w:rPr>
          <w:rFonts w:hint="eastAsia"/>
        </w:rPr>
        <w:t>注釈</w:t>
      </w:r>
    </w:p>
    <w:p w14:paraId="44192CC8" w14:textId="720AAEAB" w:rsidR="00E728AD" w:rsidRDefault="00DA69C6" w:rsidP="00DA69C6">
      <w:pPr>
        <w:ind w:leftChars="300" w:left="840" w:hangingChars="100" w:hanging="210"/>
      </w:pPr>
      <w:r>
        <w:rPr>
          <w:rFonts w:hint="eastAsia"/>
        </w:rPr>
        <w:t>・</w:t>
      </w:r>
      <w:r w:rsidR="009179D1">
        <w:rPr>
          <w:rFonts w:hint="eastAsia"/>
        </w:rPr>
        <w:t>一般廃棄物については「府民一人一日当たり」の目標を設定（排出量8</w:t>
      </w:r>
      <w:r w:rsidR="009179D1">
        <w:t>46</w:t>
      </w:r>
      <w:r w:rsidR="009179D1">
        <w:rPr>
          <w:rFonts w:hint="eastAsia"/>
        </w:rPr>
        <w:t>グラム</w:t>
      </w:r>
      <w:r>
        <w:rPr>
          <w:rFonts w:hint="eastAsia"/>
        </w:rPr>
        <w:t>、最終処分量9</w:t>
      </w:r>
      <w:r>
        <w:t>5</w:t>
      </w:r>
      <w:r>
        <w:rPr>
          <w:rFonts w:hint="eastAsia"/>
        </w:rPr>
        <w:t>グラム）</w:t>
      </w:r>
    </w:p>
    <w:p w14:paraId="1799C5B2" w14:textId="168E71CD" w:rsidR="00DA69C6" w:rsidRDefault="00DA69C6" w:rsidP="00DA69C6">
      <w:pPr>
        <w:ind w:leftChars="300" w:left="630"/>
      </w:pPr>
      <w:r>
        <w:rPr>
          <w:rFonts w:hint="eastAsia"/>
        </w:rPr>
        <w:t>・単純将来推計は、府内の人口及び従業員数の変化を踏まえた数値</w:t>
      </w:r>
    </w:p>
    <w:p w14:paraId="53382B47" w14:textId="2CE129BF" w:rsidR="00DA69C6" w:rsidRDefault="00DA69C6" w:rsidP="00DA69C6">
      <w:pPr>
        <w:ind w:leftChars="300" w:left="630"/>
      </w:pPr>
    </w:p>
    <w:p w14:paraId="550B4DE4" w14:textId="57D4B3B3" w:rsidR="00DA69C6" w:rsidRDefault="00DA69C6" w:rsidP="00DA69C6">
      <w:pPr>
        <w:ind w:leftChars="100" w:left="210"/>
      </w:pPr>
      <w:r>
        <w:rPr>
          <w:rFonts w:hint="eastAsia"/>
        </w:rPr>
        <w:t>産業廃棄物</w:t>
      </w:r>
    </w:p>
    <w:p w14:paraId="1EC23B3A" w14:textId="77777777" w:rsidR="00285144" w:rsidRDefault="00DA69C6" w:rsidP="00DA69C6">
      <w:pPr>
        <w:ind w:leftChars="200" w:left="420"/>
      </w:pPr>
      <w:r>
        <w:rPr>
          <w:rFonts w:hint="eastAsia"/>
        </w:rPr>
        <w:t>・排出量</w:t>
      </w:r>
    </w:p>
    <w:p w14:paraId="5326F8DE" w14:textId="4E20E3DB" w:rsidR="00DA69C6" w:rsidRDefault="00DA69C6" w:rsidP="00285144">
      <w:pPr>
        <w:ind w:leftChars="200" w:left="420" w:firstLineChars="100" w:firstLine="210"/>
      </w:pPr>
      <w:r>
        <w:rPr>
          <w:rFonts w:hint="eastAsia"/>
        </w:rPr>
        <w:t>2</w:t>
      </w:r>
      <w:r>
        <w:t>024</w:t>
      </w:r>
      <w:r>
        <w:rPr>
          <w:rFonts w:hint="eastAsia"/>
        </w:rPr>
        <w:t>年度実績値（速報）1</w:t>
      </w:r>
      <w:r>
        <w:t>,336</w:t>
      </w:r>
      <w:r>
        <w:rPr>
          <w:rFonts w:hint="eastAsia"/>
        </w:rPr>
        <w:t>万トン</w:t>
      </w:r>
      <w:r w:rsidR="00285144">
        <w:rPr>
          <w:rFonts w:hint="eastAsia"/>
        </w:rPr>
        <w:t>、</w:t>
      </w:r>
      <w:r>
        <w:rPr>
          <w:rFonts w:hint="eastAsia"/>
        </w:rPr>
        <w:t>2</w:t>
      </w:r>
      <w:r>
        <w:t>030</w:t>
      </w:r>
      <w:r>
        <w:rPr>
          <w:rFonts w:hint="eastAsia"/>
        </w:rPr>
        <w:t>年度目標値1</w:t>
      </w:r>
      <w:r>
        <w:t>,340</w:t>
      </w:r>
      <w:r>
        <w:rPr>
          <w:rFonts w:hint="eastAsia"/>
        </w:rPr>
        <w:t>万トン</w:t>
      </w:r>
    </w:p>
    <w:p w14:paraId="3451FF8B" w14:textId="77777777" w:rsidR="00285144" w:rsidRDefault="000542CA" w:rsidP="00DA69C6">
      <w:pPr>
        <w:ind w:leftChars="200" w:left="420"/>
      </w:pPr>
      <w:r>
        <w:rPr>
          <w:rFonts w:hint="eastAsia"/>
        </w:rPr>
        <w:t>・最終処分量</w:t>
      </w:r>
    </w:p>
    <w:p w14:paraId="6C545E54" w14:textId="14C4C842" w:rsidR="000542CA" w:rsidRDefault="000542CA" w:rsidP="00285144">
      <w:pPr>
        <w:ind w:leftChars="200" w:left="420" w:firstLineChars="100" w:firstLine="210"/>
      </w:pPr>
      <w:r>
        <w:rPr>
          <w:rFonts w:hint="eastAsia"/>
        </w:rPr>
        <w:t>2</w:t>
      </w:r>
      <w:r>
        <w:t>024</w:t>
      </w:r>
      <w:r>
        <w:rPr>
          <w:rFonts w:hint="eastAsia"/>
        </w:rPr>
        <w:t>年度実績値（速報）3</w:t>
      </w:r>
      <w:r>
        <w:t>7</w:t>
      </w:r>
      <w:r>
        <w:rPr>
          <w:rFonts w:hint="eastAsia"/>
        </w:rPr>
        <w:t>万トン</w:t>
      </w:r>
      <w:r w:rsidR="00285144">
        <w:rPr>
          <w:rFonts w:hint="eastAsia"/>
        </w:rPr>
        <w:t>、</w:t>
      </w:r>
      <w:r>
        <w:rPr>
          <w:rFonts w:hint="eastAsia"/>
        </w:rPr>
        <w:t>2</w:t>
      </w:r>
      <w:r>
        <w:t>030</w:t>
      </w:r>
      <w:r>
        <w:rPr>
          <w:rFonts w:hint="eastAsia"/>
        </w:rPr>
        <w:t>年度目標値</w:t>
      </w:r>
      <w:r>
        <w:t>35</w:t>
      </w:r>
      <w:r>
        <w:rPr>
          <w:rFonts w:hint="eastAsia"/>
        </w:rPr>
        <w:t>万トン</w:t>
      </w:r>
    </w:p>
    <w:p w14:paraId="7935381A" w14:textId="77777777" w:rsidR="00285144" w:rsidRDefault="000542CA" w:rsidP="000542CA">
      <w:pPr>
        <w:ind w:leftChars="200" w:left="630" w:hangingChars="100" w:hanging="210"/>
      </w:pPr>
      <w:r>
        <w:rPr>
          <w:rFonts w:hint="eastAsia"/>
        </w:rPr>
        <w:t>・目標設定の考え方</w:t>
      </w:r>
    </w:p>
    <w:p w14:paraId="7F0712FF" w14:textId="111BF93C" w:rsidR="000542CA" w:rsidRDefault="000542CA" w:rsidP="00285144">
      <w:pPr>
        <w:ind w:leftChars="300" w:left="630"/>
      </w:pPr>
      <w:r w:rsidRPr="000542CA">
        <w:rPr>
          <w:rFonts w:hint="eastAsia"/>
        </w:rPr>
        <w:t>産業活動指標の推移を踏まえ、事業系廃プラスチック類の一般廃棄物からの分別排出による排出量の増加も見込んだ上で、最終処分量については、削減推移が緩やかになってきているなか、廃プラスチック類の再生利用や建設混合廃棄物の発生抑制などの対策を促進することにより、</w:t>
      </w:r>
      <w:r w:rsidRPr="000542CA">
        <w:t>5.4％</w:t>
      </w:r>
      <w:r>
        <w:rPr>
          <w:rFonts w:hint="eastAsia"/>
        </w:rPr>
        <w:t>削減</w:t>
      </w:r>
      <w:r w:rsidRPr="000542CA">
        <w:t>をめざす。</w:t>
      </w:r>
    </w:p>
    <w:p w14:paraId="52D94CB6" w14:textId="7560B416" w:rsidR="000542CA" w:rsidRDefault="000542CA" w:rsidP="000542CA"/>
    <w:p w14:paraId="19E9A542" w14:textId="36EFC608" w:rsidR="000542CA" w:rsidRDefault="000542CA" w:rsidP="000542CA">
      <w:r>
        <w:rPr>
          <w:rFonts w:hint="eastAsia"/>
        </w:rPr>
        <w:t>第４章　目標達成に向けて講じる主な施策</w:t>
      </w:r>
    </w:p>
    <w:p w14:paraId="278CF548" w14:textId="165B5F88" w:rsidR="00810209" w:rsidRDefault="00810209" w:rsidP="00810209">
      <w:pPr>
        <w:ind w:leftChars="100" w:left="210"/>
      </w:pPr>
      <w:r>
        <w:rPr>
          <w:rFonts w:hint="eastAsia"/>
        </w:rPr>
        <w:t>循環型社会の形成とともに、これを通じた持続可能な社会の実現をめざし、府が講じる施策について４つの柱を設定し、関係主体と連携して取組を進めていく。</w:t>
      </w:r>
    </w:p>
    <w:p w14:paraId="4A6CB4A7" w14:textId="475B591D" w:rsidR="00810209" w:rsidRDefault="00810209" w:rsidP="00810209">
      <w:pPr>
        <w:ind w:leftChars="100" w:left="210"/>
      </w:pPr>
    </w:p>
    <w:p w14:paraId="16767D56" w14:textId="72978173" w:rsidR="00810209" w:rsidRDefault="00810209" w:rsidP="00810209">
      <w:pPr>
        <w:ind w:leftChars="100" w:left="210"/>
      </w:pPr>
      <w:r>
        <w:rPr>
          <w:rFonts w:hint="eastAsia"/>
        </w:rPr>
        <w:t>施策の４つの柱</w:t>
      </w:r>
    </w:p>
    <w:p w14:paraId="5D779790" w14:textId="1943AEB3" w:rsidR="00810209" w:rsidRDefault="00810209" w:rsidP="00810209">
      <w:pPr>
        <w:ind w:leftChars="200" w:left="420"/>
      </w:pPr>
      <w:r>
        <w:rPr>
          <w:rFonts w:hint="eastAsia"/>
        </w:rPr>
        <w:t>柱１　サーキュラーエコノミーへの移行</w:t>
      </w:r>
    </w:p>
    <w:p w14:paraId="5491CA97" w14:textId="3C8C7D80" w:rsidR="00810209" w:rsidRDefault="00810209" w:rsidP="00810209">
      <w:pPr>
        <w:ind w:leftChars="200" w:left="420"/>
      </w:pPr>
      <w:r>
        <w:rPr>
          <w:rFonts w:hint="eastAsia"/>
        </w:rPr>
        <w:t>柱２　プラスチックごみ対策の推進</w:t>
      </w:r>
    </w:p>
    <w:p w14:paraId="74B75E61" w14:textId="62F51A4D" w:rsidR="00810209" w:rsidRDefault="00810209" w:rsidP="00810209">
      <w:pPr>
        <w:ind w:leftChars="200" w:left="420"/>
      </w:pPr>
      <w:r>
        <w:rPr>
          <w:rFonts w:hint="eastAsia"/>
        </w:rPr>
        <w:t>柱３　カーボンニュートラルの推進（資源循環分野における脱炭素化）</w:t>
      </w:r>
    </w:p>
    <w:p w14:paraId="6FFED98E" w14:textId="797D18D6" w:rsidR="00810209" w:rsidRDefault="00810209" w:rsidP="00810209">
      <w:pPr>
        <w:ind w:leftChars="200" w:left="420"/>
      </w:pPr>
      <w:r>
        <w:rPr>
          <w:rFonts w:hint="eastAsia"/>
        </w:rPr>
        <w:t>柱４　適正処理の推進</w:t>
      </w:r>
    </w:p>
    <w:p w14:paraId="4F2ED230" w14:textId="52424C6F" w:rsidR="00810209" w:rsidRDefault="00810209" w:rsidP="00810209"/>
    <w:p w14:paraId="547B25B9" w14:textId="60CC10C9" w:rsidR="00810209" w:rsidRDefault="00285144" w:rsidP="00810209">
      <w:pPr>
        <w:ind w:leftChars="100" w:left="210"/>
      </w:pPr>
      <w:r>
        <w:rPr>
          <w:rFonts w:hint="eastAsia"/>
        </w:rPr>
        <w:t>講じる主な施策</w:t>
      </w:r>
      <w:r w:rsidR="006B5362">
        <w:rPr>
          <w:rFonts w:hint="eastAsia"/>
        </w:rPr>
        <w:t>（一部抜粋）</w:t>
      </w:r>
    </w:p>
    <w:p w14:paraId="1EFBCF22" w14:textId="52A6DF67" w:rsidR="00285144" w:rsidRDefault="00285144" w:rsidP="00285144">
      <w:pPr>
        <w:ind w:leftChars="200" w:left="420"/>
      </w:pPr>
      <w:r>
        <w:rPr>
          <w:rFonts w:hint="eastAsia"/>
        </w:rPr>
        <w:t>柱１</w:t>
      </w:r>
    </w:p>
    <w:p w14:paraId="7602EC92" w14:textId="77777777" w:rsidR="00285144" w:rsidRDefault="00285144" w:rsidP="00285144">
      <w:pPr>
        <w:ind w:leftChars="300" w:left="840" w:hangingChars="100" w:hanging="210"/>
      </w:pPr>
      <w:r>
        <w:rPr>
          <w:rFonts w:hint="eastAsia"/>
        </w:rPr>
        <w:t>・動静脈連携の促進</w:t>
      </w:r>
    </w:p>
    <w:p w14:paraId="5E48B71E" w14:textId="3A5D063F" w:rsidR="00285144" w:rsidRDefault="00285144" w:rsidP="00285144">
      <w:pPr>
        <w:ind w:leftChars="400" w:left="840"/>
      </w:pPr>
      <w:r>
        <w:rPr>
          <w:rFonts w:hint="eastAsia"/>
        </w:rPr>
        <w:t>サーキュラーエコノミーに関する府内の状況を把握するとともに、排出者や再生</w:t>
      </w:r>
      <w:r w:rsidR="006B5362">
        <w:rPr>
          <w:rFonts w:hint="eastAsia"/>
        </w:rPr>
        <w:t>材</w:t>
      </w:r>
      <w:r>
        <w:rPr>
          <w:rFonts w:hint="eastAsia"/>
        </w:rPr>
        <w:t>利用者等の交流機会を創出する。</w:t>
      </w:r>
    </w:p>
    <w:p w14:paraId="256B9A6B" w14:textId="07BDB023" w:rsidR="00285144" w:rsidRDefault="00285144" w:rsidP="00285144">
      <w:pPr>
        <w:ind w:leftChars="300" w:left="840" w:hangingChars="100" w:hanging="210"/>
      </w:pPr>
      <w:r>
        <w:rPr>
          <w:rFonts w:hint="eastAsia"/>
        </w:rPr>
        <w:t>・サステナブルファッションの推進</w:t>
      </w:r>
    </w:p>
    <w:p w14:paraId="131AE99D" w14:textId="3DE78586" w:rsidR="00285144" w:rsidRDefault="00285144" w:rsidP="00285144">
      <w:pPr>
        <w:ind w:leftChars="400" w:left="840"/>
      </w:pPr>
      <w:r>
        <w:rPr>
          <w:rFonts w:hint="eastAsia"/>
        </w:rPr>
        <w:t>衣類のライフサイクル全体に携わる関係者との共同により、サステナブルファッション・プラットフォーム協議会の取組を推進する。</w:t>
      </w:r>
    </w:p>
    <w:p w14:paraId="4B8A4A83" w14:textId="21F967F6" w:rsidR="00285144" w:rsidRDefault="00285144" w:rsidP="00285144">
      <w:pPr>
        <w:ind w:leftChars="200" w:left="420"/>
      </w:pPr>
      <w:r>
        <w:rPr>
          <w:rFonts w:hint="eastAsia"/>
        </w:rPr>
        <w:t>柱２</w:t>
      </w:r>
    </w:p>
    <w:p w14:paraId="4EF44236" w14:textId="20979B80" w:rsidR="00285144" w:rsidRDefault="00285144" w:rsidP="00285144">
      <w:pPr>
        <w:ind w:leftChars="300" w:left="630"/>
      </w:pPr>
      <w:r>
        <w:rPr>
          <w:rFonts w:hint="eastAsia"/>
        </w:rPr>
        <w:t>・ワンウェイプラスチックの排出抑制の推進</w:t>
      </w:r>
    </w:p>
    <w:p w14:paraId="73353A0A" w14:textId="18A69A7A" w:rsidR="00285144" w:rsidRDefault="00285144" w:rsidP="00285144">
      <w:pPr>
        <w:ind w:leftChars="400" w:left="840"/>
      </w:pPr>
      <w:r>
        <w:rPr>
          <w:rFonts w:hint="eastAsia"/>
        </w:rPr>
        <w:t>「おおさかマイボトルパートナーズ」により、マイボトルの利用啓発・給水スポットの普及等を行う。</w:t>
      </w:r>
    </w:p>
    <w:p w14:paraId="2710B07A" w14:textId="6ACBFC3E" w:rsidR="00285144" w:rsidRDefault="00285144" w:rsidP="00285144">
      <w:pPr>
        <w:ind w:leftChars="300" w:left="630"/>
      </w:pPr>
      <w:r>
        <w:rPr>
          <w:rFonts w:hint="eastAsia"/>
        </w:rPr>
        <w:lastRenderedPageBreak/>
        <w:t>・プラスチックごみの分別収集等の促進</w:t>
      </w:r>
    </w:p>
    <w:p w14:paraId="2E98D215" w14:textId="4038D382" w:rsidR="00285144" w:rsidRDefault="00285144" w:rsidP="00285144">
      <w:pPr>
        <w:ind w:leftChars="400" w:left="840"/>
      </w:pPr>
      <w:r>
        <w:rPr>
          <w:rFonts w:hint="eastAsia"/>
        </w:rPr>
        <w:t>市町村に対して、容器包装・製品プラスチックの分別収集や家庭由来のペットボトルの水平リサイクルに関する先進事例等の情報提供を行う。</w:t>
      </w:r>
    </w:p>
    <w:p w14:paraId="5F16FC37" w14:textId="0DEA3C22" w:rsidR="00285144" w:rsidRDefault="00285144" w:rsidP="00285144">
      <w:pPr>
        <w:ind w:leftChars="200" w:left="420"/>
      </w:pPr>
      <w:r>
        <w:rPr>
          <w:rFonts w:hint="eastAsia"/>
        </w:rPr>
        <w:t>柱３</w:t>
      </w:r>
    </w:p>
    <w:p w14:paraId="2F9BFFA5" w14:textId="0B0EE21A" w:rsidR="00285144" w:rsidRDefault="00285144" w:rsidP="00285144">
      <w:pPr>
        <w:ind w:leftChars="300" w:left="630"/>
      </w:pPr>
      <w:r>
        <w:rPr>
          <w:rFonts w:hint="eastAsia"/>
        </w:rPr>
        <w:t>・脱炭素に配慮したリサイクル製品の普及</w:t>
      </w:r>
    </w:p>
    <w:p w14:paraId="5504AFB3" w14:textId="71D7DAB7" w:rsidR="00285144" w:rsidRDefault="00285144" w:rsidP="00285144">
      <w:pPr>
        <w:ind w:leftChars="400" w:left="840"/>
      </w:pPr>
      <w:r>
        <w:rPr>
          <w:rFonts w:hint="eastAsia"/>
        </w:rPr>
        <w:t>「大阪府リサイクル製品認定制度」において、カーボンフットプリントが算定された製品を認定することで、関連する製品の普及を推進する。</w:t>
      </w:r>
    </w:p>
    <w:p w14:paraId="5A7ED3C2" w14:textId="540DBB16" w:rsidR="00F34273" w:rsidRDefault="00F34273" w:rsidP="00F34273">
      <w:pPr>
        <w:ind w:leftChars="300" w:left="630"/>
      </w:pPr>
      <w:r>
        <w:rPr>
          <w:rFonts w:hint="eastAsia"/>
        </w:rPr>
        <w:t>・脱炭素社会に対応した資源循環の展開</w:t>
      </w:r>
    </w:p>
    <w:p w14:paraId="2DCF282A" w14:textId="43D3417A" w:rsidR="00F34273" w:rsidRDefault="00F34273" w:rsidP="00F34273">
      <w:pPr>
        <w:ind w:leftChars="400" w:left="840"/>
      </w:pPr>
      <w:r>
        <w:rPr>
          <w:rFonts w:hint="eastAsia"/>
        </w:rPr>
        <w:t>排出事業者に対し、再資源化事業等高度化法により認定された</w:t>
      </w:r>
      <w:r w:rsidR="006B5362">
        <w:rPr>
          <w:rFonts w:hint="eastAsia"/>
        </w:rPr>
        <w:t>二酸化炭素</w:t>
      </w:r>
      <w:r>
        <w:rPr>
          <w:rFonts w:hint="eastAsia"/>
        </w:rPr>
        <w:t>対策に取り組む処理業者の選択を促すような情報発信を行う。</w:t>
      </w:r>
    </w:p>
    <w:p w14:paraId="3FF072B5" w14:textId="52A8C995" w:rsidR="00F34273" w:rsidRDefault="00F34273" w:rsidP="00F34273">
      <w:pPr>
        <w:ind w:leftChars="200" w:left="420"/>
      </w:pPr>
      <w:r>
        <w:rPr>
          <w:rFonts w:hint="eastAsia"/>
        </w:rPr>
        <w:t>柱４</w:t>
      </w:r>
    </w:p>
    <w:p w14:paraId="1146CD1A" w14:textId="730A9E78" w:rsidR="00F34273" w:rsidRDefault="00F34273" w:rsidP="00F34273">
      <w:pPr>
        <w:ind w:leftChars="300" w:left="630"/>
      </w:pPr>
      <w:r>
        <w:rPr>
          <w:rFonts w:hint="eastAsia"/>
        </w:rPr>
        <w:t>・太陽光パネルのリサイクルの推進・適正処理</w:t>
      </w:r>
    </w:p>
    <w:p w14:paraId="796E452C" w14:textId="4C2E7A15" w:rsidR="00F34273" w:rsidRDefault="00F34273" w:rsidP="00F34273">
      <w:pPr>
        <w:ind w:leftChars="400" w:left="840"/>
      </w:pPr>
      <w:r>
        <w:rPr>
          <w:rFonts w:hint="eastAsia"/>
        </w:rPr>
        <w:t>今後、顕著な増加が予想される使用済太陽光パネルについて、国が検討中の制度を踏まえ、適正にリサイクル・処理されるよう周知等を行う。</w:t>
      </w:r>
    </w:p>
    <w:p w14:paraId="59B86067" w14:textId="1EDC848B" w:rsidR="00F34273" w:rsidRDefault="00F34273" w:rsidP="00F34273">
      <w:pPr>
        <w:ind w:leftChars="300" w:left="630"/>
      </w:pPr>
      <w:r>
        <w:rPr>
          <w:rFonts w:hint="eastAsia"/>
        </w:rPr>
        <w:t>・不適正処理の未然防止・早期発見</w:t>
      </w:r>
    </w:p>
    <w:p w14:paraId="0CD58E2F" w14:textId="7711578C" w:rsidR="00F34273" w:rsidRDefault="00F34273" w:rsidP="00F34273">
      <w:pPr>
        <w:ind w:leftChars="400" w:left="840"/>
      </w:pPr>
      <w:r>
        <w:rPr>
          <w:rFonts w:hint="eastAsia"/>
        </w:rPr>
        <w:t>遊休農地等における不適正処理の未然防止や早期発見・是正を図るため、JA等を通じた農家への警戒の呼びかけ、ドローンを活用した監視指導を実施する。</w:t>
      </w:r>
    </w:p>
    <w:p w14:paraId="6F58807B" w14:textId="3145DACE" w:rsidR="00F34273" w:rsidRDefault="00F34273" w:rsidP="00F34273"/>
    <w:p w14:paraId="5FE7EEDF" w14:textId="0F9566B6" w:rsidR="00F34273" w:rsidRDefault="002549FC" w:rsidP="00F34273">
      <w:r>
        <w:rPr>
          <w:rFonts w:hint="eastAsia"/>
        </w:rPr>
        <w:t>第5章　計画の進行管理</w:t>
      </w:r>
    </w:p>
    <w:p w14:paraId="7192203E" w14:textId="749FE5AA" w:rsidR="002549FC" w:rsidRDefault="002549FC" w:rsidP="002549FC">
      <w:pPr>
        <w:ind w:leftChars="100" w:left="210"/>
      </w:pPr>
      <w:r>
        <w:rPr>
          <w:rFonts w:hint="eastAsia"/>
        </w:rPr>
        <w:t>目標項目及び参考指標の進捗状況を毎年度ホームページで公表する。（産業廃棄物は目標年度）</w:t>
      </w:r>
    </w:p>
    <w:p w14:paraId="353AB35A" w14:textId="0104EAD5" w:rsidR="002549FC" w:rsidRDefault="002549FC" w:rsidP="00DA75DB">
      <w:pPr>
        <w:ind w:leftChars="100" w:left="210" w:firstLineChars="100" w:firstLine="210"/>
      </w:pPr>
      <w:r>
        <w:rPr>
          <w:rFonts w:hint="eastAsia"/>
        </w:rPr>
        <w:t>参考指標</w:t>
      </w:r>
    </w:p>
    <w:p w14:paraId="188DA71D" w14:textId="5493534F" w:rsidR="002549FC" w:rsidRDefault="00DA75DB" w:rsidP="002549FC">
      <w:pPr>
        <w:ind w:leftChars="200" w:left="420"/>
      </w:pPr>
      <w:r>
        <w:rPr>
          <w:rFonts w:hint="eastAsia"/>
        </w:rPr>
        <w:t>・</w:t>
      </w:r>
      <w:r w:rsidR="002549FC">
        <w:rPr>
          <w:rFonts w:hint="eastAsia"/>
        </w:rPr>
        <w:t>一般廃棄物　再生利用率、事業系資源化量</w:t>
      </w:r>
    </w:p>
    <w:p w14:paraId="4B6FC8C5" w14:textId="50049AAA" w:rsidR="002549FC" w:rsidRDefault="00DA75DB" w:rsidP="002549FC">
      <w:pPr>
        <w:ind w:leftChars="200" w:left="420"/>
      </w:pPr>
      <w:r>
        <w:rPr>
          <w:rFonts w:hint="eastAsia"/>
        </w:rPr>
        <w:t>・</w:t>
      </w:r>
      <w:r w:rsidR="002549FC">
        <w:rPr>
          <w:rFonts w:hint="eastAsia"/>
        </w:rPr>
        <w:t>産業廃棄物　排出量から減量化量を除いた再生利用率</w:t>
      </w:r>
    </w:p>
    <w:p w14:paraId="59C498AC" w14:textId="301DD2C6" w:rsidR="002549FC" w:rsidRDefault="00DA75DB" w:rsidP="002549FC">
      <w:pPr>
        <w:ind w:leftChars="200" w:left="420"/>
      </w:pPr>
      <w:r>
        <w:rPr>
          <w:rFonts w:hint="eastAsia"/>
        </w:rPr>
        <w:t>・</w:t>
      </w:r>
      <w:r w:rsidR="002549FC">
        <w:rPr>
          <w:rFonts w:hint="eastAsia"/>
        </w:rPr>
        <w:t xml:space="preserve">プラスチックごみ　</w:t>
      </w:r>
      <w:r>
        <w:rPr>
          <w:rFonts w:hint="eastAsia"/>
        </w:rPr>
        <w:t>一般廃棄物の</w:t>
      </w:r>
      <w:r w:rsidR="002549FC">
        <w:rPr>
          <w:rFonts w:hint="eastAsia"/>
        </w:rPr>
        <w:t>分別回収量、</w:t>
      </w:r>
      <w:r>
        <w:rPr>
          <w:rFonts w:hint="eastAsia"/>
        </w:rPr>
        <w:t>一般廃棄物と産業廃棄物の</w:t>
      </w:r>
      <w:r w:rsidR="002549FC">
        <w:rPr>
          <w:rFonts w:hint="eastAsia"/>
        </w:rPr>
        <w:t>焼却量</w:t>
      </w:r>
    </w:p>
    <w:p w14:paraId="41D79698" w14:textId="77777777" w:rsidR="002549FC" w:rsidRPr="002549FC" w:rsidRDefault="002549FC" w:rsidP="002549FC"/>
    <w:sectPr w:rsidR="002549FC" w:rsidRPr="002549FC" w:rsidSect="00E9150E">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4890A" w14:textId="77777777" w:rsidR="00DA75DB" w:rsidRDefault="00DA75DB" w:rsidP="00DA75DB">
      <w:r>
        <w:separator/>
      </w:r>
    </w:p>
  </w:endnote>
  <w:endnote w:type="continuationSeparator" w:id="0">
    <w:p w14:paraId="7916CBB4" w14:textId="77777777" w:rsidR="00DA75DB" w:rsidRDefault="00DA75DB" w:rsidP="00DA75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5AC21" w14:textId="77777777" w:rsidR="00DA75DB" w:rsidRDefault="00DA75DB" w:rsidP="00DA75DB">
      <w:r>
        <w:separator/>
      </w:r>
    </w:p>
  </w:footnote>
  <w:footnote w:type="continuationSeparator" w:id="0">
    <w:p w14:paraId="03BAD9C0" w14:textId="77777777" w:rsidR="00DA75DB" w:rsidRDefault="00DA75DB" w:rsidP="00DA75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7A738E"/>
    <w:multiLevelType w:val="hybridMultilevel"/>
    <w:tmpl w:val="BE38DA80"/>
    <w:lvl w:ilvl="0" w:tplc="E5C41004">
      <w:start w:val="1"/>
      <w:numFmt w:val="bullet"/>
      <w:lvlText w:val=""/>
      <w:lvlJc w:val="left"/>
      <w:pPr>
        <w:tabs>
          <w:tab w:val="num" w:pos="720"/>
        </w:tabs>
        <w:ind w:left="720" w:hanging="360"/>
      </w:pPr>
      <w:rPr>
        <w:rFonts w:ascii="Wingdings" w:hAnsi="Wingdings" w:hint="default"/>
      </w:rPr>
    </w:lvl>
    <w:lvl w:ilvl="1" w:tplc="A4E69FCA" w:tentative="1">
      <w:start w:val="1"/>
      <w:numFmt w:val="bullet"/>
      <w:lvlText w:val=""/>
      <w:lvlJc w:val="left"/>
      <w:pPr>
        <w:tabs>
          <w:tab w:val="num" w:pos="1440"/>
        </w:tabs>
        <w:ind w:left="1440" w:hanging="360"/>
      </w:pPr>
      <w:rPr>
        <w:rFonts w:ascii="Wingdings" w:hAnsi="Wingdings" w:hint="default"/>
      </w:rPr>
    </w:lvl>
    <w:lvl w:ilvl="2" w:tplc="84A2C892" w:tentative="1">
      <w:start w:val="1"/>
      <w:numFmt w:val="bullet"/>
      <w:lvlText w:val=""/>
      <w:lvlJc w:val="left"/>
      <w:pPr>
        <w:tabs>
          <w:tab w:val="num" w:pos="2160"/>
        </w:tabs>
        <w:ind w:left="2160" w:hanging="360"/>
      </w:pPr>
      <w:rPr>
        <w:rFonts w:ascii="Wingdings" w:hAnsi="Wingdings" w:hint="default"/>
      </w:rPr>
    </w:lvl>
    <w:lvl w:ilvl="3" w:tplc="4002137C" w:tentative="1">
      <w:start w:val="1"/>
      <w:numFmt w:val="bullet"/>
      <w:lvlText w:val=""/>
      <w:lvlJc w:val="left"/>
      <w:pPr>
        <w:tabs>
          <w:tab w:val="num" w:pos="2880"/>
        </w:tabs>
        <w:ind w:left="2880" w:hanging="360"/>
      </w:pPr>
      <w:rPr>
        <w:rFonts w:ascii="Wingdings" w:hAnsi="Wingdings" w:hint="default"/>
      </w:rPr>
    </w:lvl>
    <w:lvl w:ilvl="4" w:tplc="FF4A7C20" w:tentative="1">
      <w:start w:val="1"/>
      <w:numFmt w:val="bullet"/>
      <w:lvlText w:val=""/>
      <w:lvlJc w:val="left"/>
      <w:pPr>
        <w:tabs>
          <w:tab w:val="num" w:pos="3600"/>
        </w:tabs>
        <w:ind w:left="3600" w:hanging="360"/>
      </w:pPr>
      <w:rPr>
        <w:rFonts w:ascii="Wingdings" w:hAnsi="Wingdings" w:hint="default"/>
      </w:rPr>
    </w:lvl>
    <w:lvl w:ilvl="5" w:tplc="6C485F4C" w:tentative="1">
      <w:start w:val="1"/>
      <w:numFmt w:val="bullet"/>
      <w:lvlText w:val=""/>
      <w:lvlJc w:val="left"/>
      <w:pPr>
        <w:tabs>
          <w:tab w:val="num" w:pos="4320"/>
        </w:tabs>
        <w:ind w:left="4320" w:hanging="360"/>
      </w:pPr>
      <w:rPr>
        <w:rFonts w:ascii="Wingdings" w:hAnsi="Wingdings" w:hint="default"/>
      </w:rPr>
    </w:lvl>
    <w:lvl w:ilvl="6" w:tplc="7158D292" w:tentative="1">
      <w:start w:val="1"/>
      <w:numFmt w:val="bullet"/>
      <w:lvlText w:val=""/>
      <w:lvlJc w:val="left"/>
      <w:pPr>
        <w:tabs>
          <w:tab w:val="num" w:pos="5040"/>
        </w:tabs>
        <w:ind w:left="5040" w:hanging="360"/>
      </w:pPr>
      <w:rPr>
        <w:rFonts w:ascii="Wingdings" w:hAnsi="Wingdings" w:hint="default"/>
      </w:rPr>
    </w:lvl>
    <w:lvl w:ilvl="7" w:tplc="D4C2D836" w:tentative="1">
      <w:start w:val="1"/>
      <w:numFmt w:val="bullet"/>
      <w:lvlText w:val=""/>
      <w:lvlJc w:val="left"/>
      <w:pPr>
        <w:tabs>
          <w:tab w:val="num" w:pos="5760"/>
        </w:tabs>
        <w:ind w:left="5760" w:hanging="360"/>
      </w:pPr>
      <w:rPr>
        <w:rFonts w:ascii="Wingdings" w:hAnsi="Wingdings" w:hint="default"/>
      </w:rPr>
    </w:lvl>
    <w:lvl w:ilvl="8" w:tplc="0FE88896"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74A"/>
    <w:rsid w:val="000542CA"/>
    <w:rsid w:val="002549FC"/>
    <w:rsid w:val="00285144"/>
    <w:rsid w:val="003931EE"/>
    <w:rsid w:val="006217FE"/>
    <w:rsid w:val="006B5362"/>
    <w:rsid w:val="00810209"/>
    <w:rsid w:val="009179D1"/>
    <w:rsid w:val="0096074A"/>
    <w:rsid w:val="00A70A38"/>
    <w:rsid w:val="00DA69C6"/>
    <w:rsid w:val="00DA75DB"/>
    <w:rsid w:val="00E2039E"/>
    <w:rsid w:val="00E728AD"/>
    <w:rsid w:val="00E9150E"/>
    <w:rsid w:val="00F342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AEC4AE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75DB"/>
    <w:pPr>
      <w:tabs>
        <w:tab w:val="center" w:pos="4252"/>
        <w:tab w:val="right" w:pos="8504"/>
      </w:tabs>
      <w:snapToGrid w:val="0"/>
    </w:pPr>
  </w:style>
  <w:style w:type="character" w:customStyle="1" w:styleId="a4">
    <w:name w:val="ヘッダー (文字)"/>
    <w:basedOn w:val="a0"/>
    <w:link w:val="a3"/>
    <w:uiPriority w:val="99"/>
    <w:rsid w:val="00DA75DB"/>
  </w:style>
  <w:style w:type="paragraph" w:styleId="a5">
    <w:name w:val="footer"/>
    <w:basedOn w:val="a"/>
    <w:link w:val="a6"/>
    <w:uiPriority w:val="99"/>
    <w:unhideWhenUsed/>
    <w:rsid w:val="00DA75DB"/>
    <w:pPr>
      <w:tabs>
        <w:tab w:val="center" w:pos="4252"/>
        <w:tab w:val="right" w:pos="8504"/>
      </w:tabs>
      <w:snapToGrid w:val="0"/>
    </w:pPr>
  </w:style>
  <w:style w:type="character" w:customStyle="1" w:styleId="a6">
    <w:name w:val="フッター (文字)"/>
    <w:basedOn w:val="a0"/>
    <w:link w:val="a5"/>
    <w:uiPriority w:val="99"/>
    <w:rsid w:val="00DA75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576305">
      <w:bodyDiv w:val="1"/>
      <w:marLeft w:val="0"/>
      <w:marRight w:val="0"/>
      <w:marTop w:val="0"/>
      <w:marBottom w:val="0"/>
      <w:divBdr>
        <w:top w:val="none" w:sz="0" w:space="0" w:color="auto"/>
        <w:left w:val="none" w:sz="0" w:space="0" w:color="auto"/>
        <w:bottom w:val="none" w:sz="0" w:space="0" w:color="auto"/>
        <w:right w:val="none" w:sz="0" w:space="0" w:color="auto"/>
      </w:divBdr>
    </w:div>
    <w:div w:id="586695127">
      <w:bodyDiv w:val="1"/>
      <w:marLeft w:val="0"/>
      <w:marRight w:val="0"/>
      <w:marTop w:val="0"/>
      <w:marBottom w:val="0"/>
      <w:divBdr>
        <w:top w:val="none" w:sz="0" w:space="0" w:color="auto"/>
        <w:left w:val="none" w:sz="0" w:space="0" w:color="auto"/>
        <w:bottom w:val="none" w:sz="0" w:space="0" w:color="auto"/>
        <w:right w:val="none" w:sz="0" w:space="0" w:color="auto"/>
      </w:divBdr>
      <w:divsChild>
        <w:div w:id="2138179155">
          <w:marLeft w:val="274"/>
          <w:marRight w:val="0"/>
          <w:marTop w:val="0"/>
          <w:marBottom w:val="40"/>
          <w:divBdr>
            <w:top w:val="none" w:sz="0" w:space="0" w:color="auto"/>
            <w:left w:val="none" w:sz="0" w:space="0" w:color="auto"/>
            <w:bottom w:val="none" w:sz="0" w:space="0" w:color="auto"/>
            <w:right w:val="none" w:sz="0" w:space="0" w:color="auto"/>
          </w:divBdr>
        </w:div>
      </w:divsChild>
    </w:div>
    <w:div w:id="1203249863">
      <w:bodyDiv w:val="1"/>
      <w:marLeft w:val="0"/>
      <w:marRight w:val="0"/>
      <w:marTop w:val="0"/>
      <w:marBottom w:val="0"/>
      <w:divBdr>
        <w:top w:val="none" w:sz="0" w:space="0" w:color="auto"/>
        <w:left w:val="none" w:sz="0" w:space="0" w:color="auto"/>
        <w:bottom w:val="none" w:sz="0" w:space="0" w:color="auto"/>
        <w:right w:val="none" w:sz="0" w:space="0" w:color="auto"/>
      </w:divBdr>
      <w:divsChild>
        <w:div w:id="940187622">
          <w:marLeft w:val="274"/>
          <w:marRight w:val="0"/>
          <w:marTop w:val="0"/>
          <w:marBottom w:val="40"/>
          <w:divBdr>
            <w:top w:val="none" w:sz="0" w:space="0" w:color="auto"/>
            <w:left w:val="none" w:sz="0" w:space="0" w:color="auto"/>
            <w:bottom w:val="none" w:sz="0" w:space="0" w:color="auto"/>
            <w:right w:val="none" w:sz="0" w:space="0" w:color="auto"/>
          </w:divBdr>
        </w:div>
      </w:divsChild>
    </w:div>
    <w:div w:id="1485658813">
      <w:bodyDiv w:val="1"/>
      <w:marLeft w:val="0"/>
      <w:marRight w:val="0"/>
      <w:marTop w:val="0"/>
      <w:marBottom w:val="0"/>
      <w:divBdr>
        <w:top w:val="none" w:sz="0" w:space="0" w:color="auto"/>
        <w:left w:val="none" w:sz="0" w:space="0" w:color="auto"/>
        <w:bottom w:val="none" w:sz="0" w:space="0" w:color="auto"/>
        <w:right w:val="none" w:sz="0" w:space="0" w:color="auto"/>
      </w:divBdr>
      <w:divsChild>
        <w:div w:id="1100369574">
          <w:marLeft w:val="274"/>
          <w:marRight w:val="0"/>
          <w:marTop w:val="0"/>
          <w:marBottom w:val="0"/>
          <w:divBdr>
            <w:top w:val="none" w:sz="0" w:space="0" w:color="auto"/>
            <w:left w:val="none" w:sz="0" w:space="0" w:color="auto"/>
            <w:bottom w:val="none" w:sz="0" w:space="0" w:color="auto"/>
            <w:right w:val="none" w:sz="0" w:space="0" w:color="auto"/>
          </w:divBdr>
        </w:div>
      </w:divsChild>
    </w:div>
    <w:div w:id="2008089906">
      <w:bodyDiv w:val="1"/>
      <w:marLeft w:val="0"/>
      <w:marRight w:val="0"/>
      <w:marTop w:val="0"/>
      <w:marBottom w:val="0"/>
      <w:divBdr>
        <w:top w:val="none" w:sz="0" w:space="0" w:color="auto"/>
        <w:left w:val="none" w:sz="0" w:space="0" w:color="auto"/>
        <w:bottom w:val="none" w:sz="0" w:space="0" w:color="auto"/>
        <w:right w:val="none" w:sz="0" w:space="0" w:color="auto"/>
      </w:divBdr>
      <w:divsChild>
        <w:div w:id="1334987938">
          <w:marLeft w:val="230"/>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368</Words>
  <Characters>2104</Characters>
  <Application>Microsoft Office Word</Application>
  <DocSecurity>0</DocSecurity>
  <Lines>17</Lines>
  <Paragraphs>4</Paragraphs>
  <ScaleCrop>false</ScaleCrop>
  <Company/>
  <LinksUpToDate>false</LinksUpToDate>
  <CharactersWithSpaces>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2026-01-15T07:07:00Z</dcterms:created>
  <dcterms:modified xsi:type="dcterms:W3CDTF">2026-01-27T01:51:00Z</dcterms:modified>
</cp:coreProperties>
</file>