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E2751" w14:textId="32DA4B69" w:rsidR="000E1093" w:rsidRDefault="00711358" w:rsidP="000E648A">
      <w:pPr>
        <w:jc w:val="center"/>
        <w:rPr>
          <w:b/>
          <w:bCs/>
        </w:rPr>
      </w:pPr>
      <w:r w:rsidRPr="005534B4">
        <w:rPr>
          <w:rFonts w:hint="eastAsia"/>
          <w:b/>
          <w:bCs/>
        </w:rPr>
        <w:t>（案）</w:t>
      </w:r>
      <w:r w:rsidR="00E25E95" w:rsidRPr="005534B4">
        <w:rPr>
          <w:rFonts w:hint="eastAsia"/>
          <w:b/>
          <w:bCs/>
        </w:rPr>
        <w:t>大阪府地球温暖化対策実行計画</w:t>
      </w:r>
      <w:r w:rsidR="00BC6FA2">
        <w:rPr>
          <w:rFonts w:hint="eastAsia"/>
          <w:b/>
          <w:bCs/>
        </w:rPr>
        <w:t>（区域施策編）</w:t>
      </w:r>
      <w:r w:rsidR="000E648A">
        <w:rPr>
          <w:rFonts w:hint="eastAsia"/>
          <w:b/>
          <w:bCs/>
        </w:rPr>
        <w:t>概要</w:t>
      </w:r>
    </w:p>
    <w:p w14:paraId="2DD74138" w14:textId="77777777" w:rsidR="00BA567F" w:rsidRDefault="00BA567F" w:rsidP="000E1093">
      <w:pPr>
        <w:jc w:val="right"/>
        <w:rPr>
          <w:b/>
          <w:bCs/>
        </w:rPr>
      </w:pPr>
      <w:r>
        <w:rPr>
          <w:rFonts w:hint="eastAsia"/>
          <w:b/>
          <w:bCs/>
        </w:rPr>
        <w:t>大阪府</w:t>
      </w:r>
    </w:p>
    <w:p w14:paraId="35EDBF4F" w14:textId="77777777" w:rsidR="00B360C5" w:rsidRPr="005534B4" w:rsidRDefault="00B360C5" w:rsidP="00E25E95"/>
    <w:p w14:paraId="7CD11BDA" w14:textId="77777777" w:rsidR="00E25E95" w:rsidRPr="005534B4" w:rsidRDefault="00B318F5" w:rsidP="00E25E95">
      <w:r>
        <w:rPr>
          <w:rFonts w:hint="eastAsia"/>
          <w:b/>
          <w:bCs/>
        </w:rPr>
        <w:t>第１章</w:t>
      </w:r>
      <w:r w:rsidR="00113BC8">
        <w:rPr>
          <w:rFonts w:hint="eastAsia"/>
          <w:b/>
          <w:bCs/>
        </w:rPr>
        <w:t xml:space="preserve">　</w:t>
      </w:r>
      <w:r w:rsidR="00E25E95" w:rsidRPr="005534B4">
        <w:rPr>
          <w:rFonts w:hint="eastAsia"/>
          <w:b/>
          <w:bCs/>
        </w:rPr>
        <w:t>地球温暖化の現状と動向</w:t>
      </w:r>
    </w:p>
    <w:p w14:paraId="7D267872" w14:textId="77777777" w:rsidR="00E25E95" w:rsidRPr="005534B4" w:rsidRDefault="00E25E95" w:rsidP="00E25E95">
      <w:r w:rsidRPr="005534B4">
        <w:rPr>
          <w:rFonts w:hint="eastAsia"/>
          <w:b/>
          <w:bCs/>
        </w:rPr>
        <w:t>１　地球温暖化の現状</w:t>
      </w:r>
    </w:p>
    <w:p w14:paraId="47E7B02A" w14:textId="3710D03B" w:rsidR="00E25E95" w:rsidRDefault="00633198" w:rsidP="00633198">
      <w:pPr>
        <w:ind w:firstLineChars="100" w:firstLine="210"/>
      </w:pPr>
      <w:r>
        <w:rPr>
          <w:rFonts w:hint="eastAsia"/>
        </w:rPr>
        <w:t>人間の影響が大気、海洋及び陸域を温暖化させてきたことには「疑う余地がない」と評価され、</w:t>
      </w:r>
      <w:r>
        <w:rPr>
          <w:rFonts w:hint="eastAsia"/>
        </w:rPr>
        <w:t>21</w:t>
      </w:r>
      <w:r>
        <w:rPr>
          <w:rFonts w:hint="eastAsia"/>
        </w:rPr>
        <w:t>世紀末の世界平均気温は最大</w:t>
      </w:r>
      <w:r>
        <w:rPr>
          <w:rFonts w:hint="eastAsia"/>
        </w:rPr>
        <w:t>5.7</w:t>
      </w:r>
      <w:r w:rsidR="00711358" w:rsidRPr="005534B4">
        <w:rPr>
          <w:rFonts w:hint="eastAsia"/>
        </w:rPr>
        <w:t>℃</w:t>
      </w:r>
      <w:r>
        <w:rPr>
          <w:rFonts w:hint="eastAsia"/>
        </w:rPr>
        <w:t>上昇と予測</w:t>
      </w:r>
    </w:p>
    <w:p w14:paraId="1E5E13C0" w14:textId="77777777" w:rsidR="00A42D4E" w:rsidRPr="00711358" w:rsidRDefault="00A42D4E" w:rsidP="005534B4">
      <w:pPr>
        <w:ind w:firstLineChars="100" w:firstLine="210"/>
      </w:pPr>
    </w:p>
    <w:p w14:paraId="1A287416" w14:textId="77777777" w:rsidR="00E25E95" w:rsidRPr="005534B4" w:rsidRDefault="00E25E95" w:rsidP="00E25E95">
      <w:r w:rsidRPr="005534B4">
        <w:rPr>
          <w:rFonts w:hint="eastAsia"/>
          <w:b/>
          <w:bCs/>
        </w:rPr>
        <w:t>２　地球温暖化対策の動向</w:t>
      </w:r>
    </w:p>
    <w:p w14:paraId="1CFA2079" w14:textId="77777777" w:rsidR="00E25E95" w:rsidRPr="005534B4" w:rsidRDefault="00C63376" w:rsidP="00E25E95">
      <w:r>
        <w:rPr>
          <w:rFonts w:hint="eastAsia"/>
          <w:b/>
          <w:bCs/>
        </w:rPr>
        <w:t>（１）</w:t>
      </w:r>
      <w:r w:rsidR="00E25E95" w:rsidRPr="005534B4">
        <w:rPr>
          <w:rFonts w:hint="eastAsia"/>
          <w:b/>
          <w:bCs/>
        </w:rPr>
        <w:t>国際的動向</w:t>
      </w:r>
    </w:p>
    <w:p w14:paraId="42BC8970" w14:textId="06BD4909" w:rsidR="00E25E95" w:rsidRPr="005534B4" w:rsidRDefault="00E25E95" w:rsidP="005534B4">
      <w:pPr>
        <w:ind w:firstLineChars="100" w:firstLine="210"/>
      </w:pPr>
      <w:r w:rsidRPr="005534B4">
        <w:rPr>
          <w:rFonts w:hint="eastAsia"/>
        </w:rPr>
        <w:t>パリ協定が採択</w:t>
      </w:r>
      <w:r w:rsidRPr="005534B4">
        <w:rPr>
          <w:rFonts w:hint="eastAsia"/>
        </w:rPr>
        <w:t>(2015</w:t>
      </w:r>
      <w:r w:rsidRPr="005534B4">
        <w:rPr>
          <w:rFonts w:hint="eastAsia"/>
        </w:rPr>
        <w:t>年</w:t>
      </w:r>
      <w:r w:rsidRPr="005534B4">
        <w:rPr>
          <w:rFonts w:hint="eastAsia"/>
        </w:rPr>
        <w:t>12</w:t>
      </w:r>
      <w:r w:rsidRPr="005534B4">
        <w:rPr>
          <w:rFonts w:hint="eastAsia"/>
        </w:rPr>
        <w:t>月</w:t>
      </w:r>
      <w:r w:rsidRPr="005534B4">
        <w:rPr>
          <w:rFonts w:hint="eastAsia"/>
        </w:rPr>
        <w:t>)</w:t>
      </w:r>
      <w:r w:rsidRPr="005534B4">
        <w:rPr>
          <w:rFonts w:hint="eastAsia"/>
        </w:rPr>
        <w:t>され、平均気温の上昇を</w:t>
      </w:r>
      <w:r w:rsidR="00633198">
        <w:rPr>
          <w:rFonts w:hint="eastAsia"/>
        </w:rPr>
        <w:t>工業化以前よりも</w:t>
      </w:r>
      <w:r w:rsidRPr="005534B4">
        <w:rPr>
          <w:rFonts w:hint="eastAsia"/>
        </w:rPr>
        <w:t>２℃高い水準を十分下回るとともに、</w:t>
      </w:r>
      <w:r w:rsidRPr="005534B4">
        <w:rPr>
          <w:rFonts w:hint="eastAsia"/>
        </w:rPr>
        <w:t>1.5</w:t>
      </w:r>
      <w:r w:rsidRPr="005534B4">
        <w:rPr>
          <w:rFonts w:hint="eastAsia"/>
        </w:rPr>
        <w:t>℃に抑える努力を追求</w:t>
      </w:r>
    </w:p>
    <w:p w14:paraId="55F17277" w14:textId="77777777" w:rsidR="00E25E95" w:rsidRPr="005534B4" w:rsidRDefault="00C63376" w:rsidP="00E25E95">
      <w:r>
        <w:rPr>
          <w:rFonts w:hint="eastAsia"/>
          <w:b/>
          <w:bCs/>
        </w:rPr>
        <w:t>（２）</w:t>
      </w:r>
      <w:r w:rsidR="00E25E95" w:rsidRPr="005534B4">
        <w:rPr>
          <w:rFonts w:hint="eastAsia"/>
          <w:b/>
          <w:bCs/>
        </w:rPr>
        <w:t>国内の動向</w:t>
      </w:r>
    </w:p>
    <w:p w14:paraId="2AC124D6" w14:textId="6D444A6B" w:rsidR="00E25E95" w:rsidRDefault="00E25E95" w:rsidP="003D3026">
      <w:pPr>
        <w:pStyle w:val="a3"/>
        <w:numPr>
          <w:ilvl w:val="0"/>
          <w:numId w:val="1"/>
        </w:numPr>
        <w:ind w:leftChars="0" w:left="426"/>
      </w:pPr>
      <w:r w:rsidRPr="005534B4">
        <w:rPr>
          <w:rFonts w:hint="eastAsia"/>
        </w:rPr>
        <w:t>「地球温暖化対策計画」を閣議決定</w:t>
      </w:r>
      <w:r w:rsidRPr="005534B4">
        <w:rPr>
          <w:rFonts w:hint="eastAsia"/>
        </w:rPr>
        <w:t>(20</w:t>
      </w:r>
      <w:r w:rsidR="006A682E">
        <w:rPr>
          <w:rFonts w:hint="eastAsia"/>
        </w:rPr>
        <w:t>2</w:t>
      </w:r>
      <w:r w:rsidR="006A682E">
        <w:t>5</w:t>
      </w:r>
      <w:r w:rsidRPr="005534B4">
        <w:rPr>
          <w:rFonts w:hint="eastAsia"/>
        </w:rPr>
        <w:t>年</w:t>
      </w:r>
      <w:r w:rsidR="006A682E">
        <w:rPr>
          <w:rFonts w:hint="eastAsia"/>
        </w:rPr>
        <w:t>２</w:t>
      </w:r>
      <w:r w:rsidRPr="005534B4">
        <w:rPr>
          <w:rFonts w:hint="eastAsia"/>
        </w:rPr>
        <w:t>月</w:t>
      </w:r>
      <w:r w:rsidRPr="005534B4">
        <w:rPr>
          <w:rFonts w:hint="eastAsia"/>
        </w:rPr>
        <w:t>)</w:t>
      </w:r>
    </w:p>
    <w:p w14:paraId="1BAF36D0" w14:textId="38967EA5" w:rsidR="006A682E" w:rsidRDefault="006A682E" w:rsidP="006A682E">
      <w:pPr>
        <w:pStyle w:val="a3"/>
        <w:numPr>
          <w:ilvl w:val="0"/>
          <w:numId w:val="1"/>
        </w:numPr>
        <w:ind w:leftChars="0" w:left="426"/>
      </w:pPr>
      <w:r w:rsidRPr="006A682E">
        <w:rPr>
          <w:rFonts w:hint="eastAsia"/>
        </w:rPr>
        <w:t>GX2040</w:t>
      </w:r>
      <w:r w:rsidRPr="006A682E">
        <w:rPr>
          <w:rFonts w:hint="eastAsia"/>
        </w:rPr>
        <w:t>ビジョン策定</w:t>
      </w:r>
      <w:r w:rsidRPr="006A682E">
        <w:rPr>
          <w:rFonts w:hint="eastAsia"/>
        </w:rPr>
        <w:t>(2025</w:t>
      </w:r>
      <w:r w:rsidRPr="006A682E">
        <w:rPr>
          <w:rFonts w:hint="eastAsia"/>
        </w:rPr>
        <w:t>年２月</w:t>
      </w:r>
      <w:r w:rsidRPr="006A682E">
        <w:rPr>
          <w:rFonts w:hint="eastAsia"/>
        </w:rPr>
        <w:t xml:space="preserve">) </w:t>
      </w:r>
    </w:p>
    <w:p w14:paraId="2BD68009" w14:textId="4D5EB5F7" w:rsidR="006A682E" w:rsidRDefault="006A682E" w:rsidP="006A682E">
      <w:pPr>
        <w:pStyle w:val="a3"/>
        <w:numPr>
          <w:ilvl w:val="0"/>
          <w:numId w:val="1"/>
        </w:numPr>
        <w:ind w:leftChars="0" w:left="426"/>
      </w:pPr>
      <w:r w:rsidRPr="006A682E">
        <w:rPr>
          <w:rFonts w:hint="eastAsia"/>
        </w:rPr>
        <w:t>大阪・関西万博の開催</w:t>
      </w:r>
      <w:r w:rsidRPr="006A682E">
        <w:rPr>
          <w:rFonts w:hint="eastAsia"/>
        </w:rPr>
        <w:t>(2025</w:t>
      </w:r>
      <w:r w:rsidRPr="006A682E">
        <w:rPr>
          <w:rFonts w:hint="eastAsia"/>
        </w:rPr>
        <w:t>年</w:t>
      </w:r>
      <w:r>
        <w:rPr>
          <w:rFonts w:hint="eastAsia"/>
        </w:rPr>
        <w:t>４</w:t>
      </w:r>
      <w:r w:rsidRPr="006A682E">
        <w:rPr>
          <w:rFonts w:hint="eastAsia"/>
        </w:rPr>
        <w:t>～</w:t>
      </w:r>
      <w:r w:rsidRPr="006A682E">
        <w:rPr>
          <w:rFonts w:hint="eastAsia"/>
        </w:rPr>
        <w:t>10</w:t>
      </w:r>
      <w:r w:rsidRPr="006A682E">
        <w:rPr>
          <w:rFonts w:hint="eastAsia"/>
        </w:rPr>
        <w:t>月</w:t>
      </w:r>
      <w:r w:rsidRPr="006A682E">
        <w:rPr>
          <w:rFonts w:hint="eastAsia"/>
        </w:rPr>
        <w:t>)</w:t>
      </w:r>
    </w:p>
    <w:p w14:paraId="437C6AFB" w14:textId="17ACE10E" w:rsidR="00A42D4E" w:rsidRDefault="006A682E" w:rsidP="006A682E">
      <w:pPr>
        <w:pStyle w:val="a3"/>
        <w:numPr>
          <w:ilvl w:val="0"/>
          <w:numId w:val="1"/>
        </w:numPr>
        <w:ind w:leftChars="0" w:left="426"/>
      </w:pPr>
      <w:r w:rsidRPr="006A682E">
        <w:rPr>
          <w:rFonts w:hint="eastAsia"/>
        </w:rPr>
        <w:t>気候変動適応法を改正</w:t>
      </w:r>
      <w:r w:rsidRPr="006A682E">
        <w:rPr>
          <w:rFonts w:hint="eastAsia"/>
        </w:rPr>
        <w:t>(2023</w:t>
      </w:r>
      <w:r w:rsidRPr="006A682E">
        <w:rPr>
          <w:rFonts w:hint="eastAsia"/>
        </w:rPr>
        <w:t>年４月</w:t>
      </w:r>
      <w:r w:rsidRPr="006A682E">
        <w:rPr>
          <w:rFonts w:hint="eastAsia"/>
        </w:rPr>
        <w:t>)</w:t>
      </w:r>
    </w:p>
    <w:p w14:paraId="5E42897C" w14:textId="77777777" w:rsidR="006A682E" w:rsidRPr="005534B4" w:rsidRDefault="006A682E" w:rsidP="006A682E">
      <w:pPr>
        <w:pStyle w:val="a3"/>
        <w:ind w:leftChars="0" w:left="426"/>
      </w:pPr>
    </w:p>
    <w:p w14:paraId="1720F342" w14:textId="77777777" w:rsidR="00E25E95" w:rsidRPr="005534B4" w:rsidRDefault="00E25E95" w:rsidP="00E25E95">
      <w:r w:rsidRPr="005534B4">
        <w:rPr>
          <w:rFonts w:hint="eastAsia"/>
          <w:b/>
          <w:bCs/>
        </w:rPr>
        <w:t>３　大阪府域における地球温暖化の現状と対策</w:t>
      </w:r>
    </w:p>
    <w:p w14:paraId="6620D6CF" w14:textId="77777777" w:rsidR="00E25E95" w:rsidRPr="005534B4" w:rsidRDefault="00E25E95" w:rsidP="00B318F5">
      <w:pPr>
        <w:pStyle w:val="a3"/>
        <w:numPr>
          <w:ilvl w:val="0"/>
          <w:numId w:val="2"/>
        </w:numPr>
        <w:ind w:leftChars="0"/>
      </w:pPr>
      <w:r w:rsidRPr="005534B4">
        <w:rPr>
          <w:rFonts w:hint="eastAsia"/>
        </w:rPr>
        <w:t>大阪の年平均気温は</w:t>
      </w:r>
      <w:r w:rsidRPr="005534B4">
        <w:rPr>
          <w:rFonts w:hint="eastAsia"/>
        </w:rPr>
        <w:t>20</w:t>
      </w:r>
      <w:r w:rsidRPr="005534B4">
        <w:rPr>
          <w:rFonts w:hint="eastAsia"/>
        </w:rPr>
        <w:t>世紀の</w:t>
      </w:r>
      <w:r w:rsidRPr="005534B4">
        <w:rPr>
          <w:rFonts w:hint="eastAsia"/>
        </w:rPr>
        <w:t>100</w:t>
      </w:r>
      <w:r w:rsidRPr="005534B4">
        <w:rPr>
          <w:rFonts w:hint="eastAsia"/>
        </w:rPr>
        <w:t>年間で約２℃上昇</w:t>
      </w:r>
    </w:p>
    <w:p w14:paraId="14DDA702" w14:textId="34EB7DBA" w:rsidR="00E25E95" w:rsidRPr="005534B4" w:rsidRDefault="00E25E95" w:rsidP="00B318F5">
      <w:pPr>
        <w:pStyle w:val="a3"/>
        <w:numPr>
          <w:ilvl w:val="0"/>
          <w:numId w:val="2"/>
        </w:numPr>
        <w:ind w:leftChars="0"/>
      </w:pPr>
      <w:r w:rsidRPr="005534B4">
        <w:rPr>
          <w:rFonts w:hint="eastAsia"/>
        </w:rPr>
        <w:t>20</w:t>
      </w:r>
      <w:r w:rsidR="006A682E">
        <w:t>22</w:t>
      </w:r>
      <w:r w:rsidRPr="005534B4">
        <w:rPr>
          <w:rFonts w:hint="eastAsia"/>
        </w:rPr>
        <w:t>年度の温室効果ガス排出量は</w:t>
      </w:r>
      <w:r w:rsidR="006A682E">
        <w:t>4,528</w:t>
      </w:r>
      <w:r w:rsidRPr="005534B4">
        <w:rPr>
          <w:rFonts w:hint="eastAsia"/>
        </w:rPr>
        <w:t>万トン。電気の排出係数による影響等により、</w:t>
      </w:r>
      <w:r w:rsidRPr="005534B4">
        <w:rPr>
          <w:rFonts w:hint="eastAsia"/>
        </w:rPr>
        <w:t>2013</w:t>
      </w:r>
      <w:r w:rsidRPr="005534B4">
        <w:rPr>
          <w:rFonts w:hint="eastAsia"/>
        </w:rPr>
        <w:t>年度比で約</w:t>
      </w:r>
      <w:r w:rsidR="006A682E">
        <w:rPr>
          <w:rFonts w:hint="eastAsia"/>
        </w:rPr>
        <w:t>1</w:t>
      </w:r>
      <w:r w:rsidR="006A682E">
        <w:t>9.4</w:t>
      </w:r>
      <w:r w:rsidRPr="005534B4">
        <w:rPr>
          <w:rFonts w:hint="eastAsia"/>
        </w:rPr>
        <w:t>％減少</w:t>
      </w:r>
    </w:p>
    <w:p w14:paraId="165CA91B" w14:textId="77777777" w:rsidR="006972A5" w:rsidRPr="005534B4" w:rsidRDefault="002F7DC3"/>
    <w:p w14:paraId="7BD03F2E" w14:textId="77777777" w:rsidR="00E25E95" w:rsidRPr="005534B4" w:rsidRDefault="00B318F5" w:rsidP="00E25E95">
      <w:r>
        <w:rPr>
          <w:rFonts w:hint="eastAsia"/>
          <w:b/>
          <w:bCs/>
        </w:rPr>
        <w:t xml:space="preserve">第２章　</w:t>
      </w:r>
      <w:r w:rsidR="00E25E95" w:rsidRPr="005534B4">
        <w:rPr>
          <w:rFonts w:hint="eastAsia"/>
          <w:b/>
          <w:bCs/>
        </w:rPr>
        <w:t>大阪府における今後の地球温暖化対策</w:t>
      </w:r>
    </w:p>
    <w:p w14:paraId="7F14C7C3" w14:textId="77777777" w:rsidR="00E25E95" w:rsidRPr="005534B4" w:rsidRDefault="00E25E95" w:rsidP="00E25E95">
      <w:r w:rsidRPr="005534B4">
        <w:rPr>
          <w:rFonts w:hint="eastAsia"/>
          <w:b/>
          <w:bCs/>
        </w:rPr>
        <w:t>１　対策推進にあたっての基本的な考え方</w:t>
      </w:r>
    </w:p>
    <w:p w14:paraId="62B92BBA" w14:textId="7B2DA9DD" w:rsidR="006A682E" w:rsidRDefault="006A682E" w:rsidP="006A682E">
      <w:pPr>
        <w:ind w:firstLineChars="100" w:firstLine="210"/>
      </w:pPr>
      <w:r w:rsidRPr="006A682E">
        <w:rPr>
          <w:rFonts w:hint="eastAsia"/>
        </w:rPr>
        <w:t>大阪・関西万博のレガシーの継承や、脱炭素と経済成長の両立を念頭に置くとともに、暑さ対策をはじめとした適応策を推進</w:t>
      </w:r>
    </w:p>
    <w:p w14:paraId="5B406E03" w14:textId="59E58F7C" w:rsidR="00E25E95" w:rsidRPr="005534B4" w:rsidRDefault="00E25E95" w:rsidP="0017190C">
      <w:pPr>
        <w:pStyle w:val="a3"/>
        <w:numPr>
          <w:ilvl w:val="0"/>
          <w:numId w:val="15"/>
        </w:numPr>
        <w:ind w:leftChars="0"/>
      </w:pPr>
      <w:r w:rsidRPr="0017190C">
        <w:rPr>
          <w:rFonts w:hint="eastAsia"/>
          <w:b/>
          <w:bCs/>
        </w:rPr>
        <w:t>2050</w:t>
      </w:r>
      <w:r w:rsidRPr="0017190C">
        <w:rPr>
          <w:rFonts w:hint="eastAsia"/>
          <w:b/>
          <w:bCs/>
        </w:rPr>
        <w:t>年のめざすべき将来像</w:t>
      </w:r>
    </w:p>
    <w:p w14:paraId="51C951C4" w14:textId="227AD0DC" w:rsidR="00E25E95" w:rsidRPr="005534B4" w:rsidRDefault="00E25E95" w:rsidP="006A682E">
      <w:pPr>
        <w:ind w:firstLineChars="100" w:firstLine="210"/>
      </w:pPr>
      <w:r w:rsidRPr="005534B4">
        <w:rPr>
          <w:rFonts w:hint="eastAsia"/>
        </w:rPr>
        <w:t>2050</w:t>
      </w:r>
      <w:r w:rsidRPr="005534B4">
        <w:rPr>
          <w:rFonts w:hint="eastAsia"/>
        </w:rPr>
        <w:t>年二酸化炭素排出量実質ゼロへ</w:t>
      </w:r>
    </w:p>
    <w:p w14:paraId="33529C87" w14:textId="77777777" w:rsidR="00E25E95" w:rsidRPr="005534B4" w:rsidRDefault="00E25E95" w:rsidP="00E25E95">
      <w:r w:rsidRPr="005534B4">
        <w:rPr>
          <w:rFonts w:hint="eastAsia"/>
        </w:rPr>
        <w:t xml:space="preserve"> </w:t>
      </w:r>
      <w:r w:rsidR="0082235E">
        <w:rPr>
          <w:rFonts w:hint="eastAsia"/>
        </w:rPr>
        <w:t>―</w:t>
      </w:r>
      <w:r w:rsidRPr="005534B4">
        <w:rPr>
          <w:rFonts w:hint="eastAsia"/>
        </w:rPr>
        <w:t>大阪から世界へ</w:t>
      </w:r>
      <w:r w:rsidR="0082235E">
        <w:rPr>
          <w:rFonts w:hint="eastAsia"/>
        </w:rPr>
        <w:t>、現在から未来へ　府民がつくる暮らしやすい持続可能な脱炭素社会―</w:t>
      </w:r>
    </w:p>
    <w:p w14:paraId="5200AC64" w14:textId="77777777" w:rsidR="00EE39E6" w:rsidRPr="005534B4" w:rsidRDefault="00EE39E6" w:rsidP="00A42D4E"/>
    <w:p w14:paraId="7EE266EB" w14:textId="59B9334F" w:rsidR="00E25E95" w:rsidRPr="005534B4" w:rsidRDefault="00E25E95" w:rsidP="00E25E95">
      <w:r w:rsidRPr="005534B4">
        <w:rPr>
          <w:rFonts w:hint="eastAsia"/>
          <w:b/>
          <w:bCs/>
        </w:rPr>
        <w:t xml:space="preserve">２　</w:t>
      </w:r>
      <w:r w:rsidRPr="005534B4">
        <w:rPr>
          <w:rFonts w:hint="eastAsia"/>
          <w:b/>
          <w:bCs/>
        </w:rPr>
        <w:t>20</w:t>
      </w:r>
      <w:r w:rsidR="006A682E">
        <w:rPr>
          <w:rFonts w:hint="eastAsia"/>
          <w:b/>
          <w:bCs/>
        </w:rPr>
        <w:t>40</w:t>
      </w:r>
      <w:r w:rsidR="006A682E">
        <w:rPr>
          <w:rFonts w:hint="eastAsia"/>
          <w:b/>
          <w:bCs/>
        </w:rPr>
        <w:t>年度</w:t>
      </w:r>
      <w:r w:rsidRPr="005534B4">
        <w:rPr>
          <w:rFonts w:hint="eastAsia"/>
          <w:b/>
          <w:bCs/>
        </w:rPr>
        <w:t>に向けた地球温暖化対策について</w:t>
      </w:r>
    </w:p>
    <w:p w14:paraId="21DA8883" w14:textId="252F8970" w:rsidR="006A682E" w:rsidRPr="006A682E" w:rsidRDefault="006A682E" w:rsidP="009354C2">
      <w:pPr>
        <w:pStyle w:val="a3"/>
        <w:numPr>
          <w:ilvl w:val="0"/>
          <w:numId w:val="13"/>
        </w:numPr>
        <w:ind w:leftChars="0"/>
      </w:pPr>
      <w:r w:rsidRPr="006A682E">
        <w:rPr>
          <w:rFonts w:hint="eastAsia"/>
        </w:rPr>
        <w:t>2050</w:t>
      </w:r>
      <w:r w:rsidRPr="006A682E">
        <w:rPr>
          <w:rFonts w:hint="eastAsia"/>
        </w:rPr>
        <w:t>年の将来像を見通しつつ、万博開催による社会情勢の変化や国が進めるグリーントランスフォーメーション</w:t>
      </w:r>
      <w:r w:rsidRPr="006A682E">
        <w:rPr>
          <w:rFonts w:hint="eastAsia"/>
        </w:rPr>
        <w:t>(GX)</w:t>
      </w:r>
      <w:r w:rsidRPr="006A682E">
        <w:rPr>
          <w:rFonts w:hint="eastAsia"/>
        </w:rPr>
        <w:t>を通じた社会構造の転換などを踏まえ、温暖化対策を加速していくべき重要な時期</w:t>
      </w:r>
    </w:p>
    <w:p w14:paraId="22D97849" w14:textId="77777777" w:rsidR="009354C2" w:rsidRDefault="006A682E" w:rsidP="009354C2">
      <w:pPr>
        <w:pStyle w:val="a3"/>
        <w:numPr>
          <w:ilvl w:val="0"/>
          <w:numId w:val="13"/>
        </w:numPr>
        <w:ind w:leftChars="0"/>
      </w:pPr>
      <w:r w:rsidRPr="006A682E">
        <w:rPr>
          <w:rFonts w:hint="eastAsia"/>
        </w:rPr>
        <w:t>急速に進展したデジタル化による効率化と</w:t>
      </w:r>
      <w:r w:rsidRPr="006A682E">
        <w:rPr>
          <w:rFonts w:hint="eastAsia"/>
        </w:rPr>
        <w:t>AI</w:t>
      </w:r>
      <w:r w:rsidRPr="006A682E">
        <w:rPr>
          <w:rFonts w:hint="eastAsia"/>
        </w:rPr>
        <w:t>等の</w:t>
      </w:r>
      <w:r w:rsidR="009354C2">
        <w:rPr>
          <w:rFonts w:hint="eastAsia"/>
        </w:rPr>
        <w:t>発展</w:t>
      </w:r>
      <w:r w:rsidRPr="006A682E">
        <w:rPr>
          <w:rFonts w:hint="eastAsia"/>
        </w:rPr>
        <w:t>による影響、万博開催をきっかけとした最新技術の社会実装や行動変容、国の</w:t>
      </w:r>
      <w:r w:rsidRPr="006A682E">
        <w:rPr>
          <w:rFonts w:hint="eastAsia"/>
        </w:rPr>
        <w:t>GX</w:t>
      </w:r>
      <w:r w:rsidRPr="006A682E">
        <w:rPr>
          <w:rFonts w:hint="eastAsia"/>
        </w:rPr>
        <w:t>政策による社会構造の変化等を踏まえて重点施策による脱炭素化を加速</w:t>
      </w:r>
    </w:p>
    <w:p w14:paraId="00FEF86F" w14:textId="5424B198" w:rsidR="00E25E95" w:rsidRPr="005534B4" w:rsidRDefault="00C63376" w:rsidP="00E25E95">
      <w:r>
        <w:rPr>
          <w:rFonts w:hint="eastAsia"/>
          <w:b/>
          <w:bCs/>
        </w:rPr>
        <w:lastRenderedPageBreak/>
        <w:t>（</w:t>
      </w:r>
      <w:r w:rsidR="00EE0330">
        <w:rPr>
          <w:rFonts w:hint="eastAsia"/>
          <w:b/>
          <w:bCs/>
        </w:rPr>
        <w:t>１</w:t>
      </w:r>
      <w:r>
        <w:rPr>
          <w:rFonts w:hint="eastAsia"/>
          <w:b/>
          <w:bCs/>
        </w:rPr>
        <w:t>）</w:t>
      </w:r>
      <w:r w:rsidR="00E25E95" w:rsidRPr="005534B4">
        <w:rPr>
          <w:rFonts w:hint="eastAsia"/>
          <w:b/>
          <w:bCs/>
        </w:rPr>
        <w:t xml:space="preserve">計画の期間　　</w:t>
      </w:r>
      <w:r w:rsidR="00E25E95" w:rsidRPr="005534B4">
        <w:rPr>
          <w:rFonts w:hint="eastAsia"/>
        </w:rPr>
        <w:t>2021</w:t>
      </w:r>
      <w:r w:rsidR="00E25E95" w:rsidRPr="005534B4">
        <w:rPr>
          <w:rFonts w:hint="eastAsia"/>
        </w:rPr>
        <w:t>年度から</w:t>
      </w:r>
      <w:r w:rsidR="00E25E95" w:rsidRPr="005534B4">
        <w:rPr>
          <w:rFonts w:hint="eastAsia"/>
        </w:rPr>
        <w:t>20</w:t>
      </w:r>
      <w:r w:rsidR="00EE0330">
        <w:t>40</w:t>
      </w:r>
      <w:r w:rsidR="00E25E95" w:rsidRPr="005534B4">
        <w:rPr>
          <w:rFonts w:hint="eastAsia"/>
        </w:rPr>
        <w:t>年度までの</w:t>
      </w:r>
      <w:r w:rsidR="00EE0330">
        <w:t>2</w:t>
      </w:r>
      <w:r w:rsidR="00E25E95" w:rsidRPr="005534B4">
        <w:rPr>
          <w:rFonts w:hint="eastAsia"/>
        </w:rPr>
        <w:t>0</w:t>
      </w:r>
      <w:r w:rsidR="00E25E95" w:rsidRPr="005534B4">
        <w:rPr>
          <w:rFonts w:hint="eastAsia"/>
        </w:rPr>
        <w:t>年間</w:t>
      </w:r>
    </w:p>
    <w:p w14:paraId="770699A5" w14:textId="77777777" w:rsidR="00EE0330" w:rsidRDefault="00C63376" w:rsidP="00E25E95">
      <w:pPr>
        <w:rPr>
          <w:b/>
          <w:bCs/>
        </w:rPr>
      </w:pPr>
      <w:r>
        <w:rPr>
          <w:rFonts w:hint="eastAsia"/>
          <w:b/>
          <w:bCs/>
        </w:rPr>
        <w:t>（</w:t>
      </w:r>
      <w:r w:rsidR="00EE0330">
        <w:rPr>
          <w:rFonts w:hint="eastAsia"/>
          <w:b/>
          <w:bCs/>
        </w:rPr>
        <w:t>２</w:t>
      </w:r>
      <w:r>
        <w:rPr>
          <w:rFonts w:hint="eastAsia"/>
          <w:b/>
          <w:bCs/>
        </w:rPr>
        <w:t>）温室効果ガスの削減目標</w:t>
      </w:r>
      <w:r w:rsidR="00E25E95" w:rsidRPr="005534B4">
        <w:rPr>
          <w:rFonts w:hint="eastAsia"/>
          <w:b/>
          <w:bCs/>
        </w:rPr>
        <w:t xml:space="preserve">　</w:t>
      </w:r>
    </w:p>
    <w:p w14:paraId="657C1BA8" w14:textId="77777777" w:rsidR="00EE0330" w:rsidRDefault="00EE0330" w:rsidP="00EE0330">
      <w:pPr>
        <w:ind w:firstLineChars="200" w:firstLine="420"/>
      </w:pPr>
      <w:r w:rsidRPr="00EE0330">
        <w:rPr>
          <w:rFonts w:hint="eastAsia"/>
        </w:rPr>
        <w:t>府域の温室効果ガス排出量を</w:t>
      </w:r>
      <w:r w:rsidRPr="00EE0330">
        <w:rPr>
          <w:rFonts w:hint="eastAsia"/>
        </w:rPr>
        <w:t>2</w:t>
      </w:r>
      <w:r w:rsidRPr="00EE0330">
        <w:t>013</w:t>
      </w:r>
      <w:r w:rsidRPr="00EE0330">
        <w:rPr>
          <w:rFonts w:hint="eastAsia"/>
        </w:rPr>
        <w:t>年度比で</w:t>
      </w:r>
    </w:p>
    <w:p w14:paraId="508D6FD3" w14:textId="2B4DCD8C" w:rsidR="00E25E95" w:rsidRPr="00B944E0" w:rsidRDefault="00E25E95" w:rsidP="00EE0330">
      <w:pPr>
        <w:ind w:firstLineChars="200" w:firstLine="420"/>
        <w:rPr>
          <w:bCs/>
        </w:rPr>
      </w:pPr>
      <w:r w:rsidRPr="00B944E0">
        <w:rPr>
          <w:rFonts w:hint="eastAsia"/>
          <w:bCs/>
        </w:rPr>
        <w:t>2030</w:t>
      </w:r>
      <w:r w:rsidRPr="00B944E0">
        <w:rPr>
          <w:rFonts w:hint="eastAsia"/>
          <w:bCs/>
        </w:rPr>
        <w:t>年度</w:t>
      </w:r>
      <w:r w:rsidRPr="00B944E0">
        <w:rPr>
          <w:rFonts w:hint="eastAsia"/>
          <w:bCs/>
        </w:rPr>
        <w:t>4</w:t>
      </w:r>
      <w:r w:rsidR="00EE0330">
        <w:rPr>
          <w:bCs/>
        </w:rPr>
        <w:t>8</w:t>
      </w:r>
      <w:r w:rsidRPr="00B944E0">
        <w:rPr>
          <w:rFonts w:hint="eastAsia"/>
          <w:bCs/>
        </w:rPr>
        <w:t>％削減</w:t>
      </w:r>
      <w:r w:rsidR="00EE0330">
        <w:rPr>
          <w:rFonts w:hint="eastAsia"/>
          <w:bCs/>
        </w:rPr>
        <w:t>、</w:t>
      </w:r>
      <w:r w:rsidR="00EE0330">
        <w:rPr>
          <w:rFonts w:hint="eastAsia"/>
          <w:bCs/>
        </w:rPr>
        <w:t>2</w:t>
      </w:r>
      <w:r w:rsidR="00EE0330">
        <w:rPr>
          <w:bCs/>
        </w:rPr>
        <w:t>035</w:t>
      </w:r>
      <w:r w:rsidR="00EE0330">
        <w:rPr>
          <w:rFonts w:hint="eastAsia"/>
          <w:bCs/>
        </w:rPr>
        <w:t>年度</w:t>
      </w:r>
      <w:r w:rsidR="00EE0330">
        <w:rPr>
          <w:bCs/>
        </w:rPr>
        <w:t>62</w:t>
      </w:r>
      <w:r w:rsidR="00EE0330">
        <w:rPr>
          <w:rFonts w:hint="eastAsia"/>
          <w:bCs/>
        </w:rPr>
        <w:t>％削減、</w:t>
      </w:r>
      <w:r w:rsidR="00EE0330">
        <w:rPr>
          <w:rFonts w:hint="eastAsia"/>
          <w:bCs/>
        </w:rPr>
        <w:t>2</w:t>
      </w:r>
      <w:r w:rsidR="00EE0330">
        <w:rPr>
          <w:bCs/>
        </w:rPr>
        <w:t>040</w:t>
      </w:r>
      <w:r w:rsidR="00EE0330">
        <w:rPr>
          <w:rFonts w:hint="eastAsia"/>
          <w:bCs/>
        </w:rPr>
        <w:t>年度</w:t>
      </w:r>
      <w:r w:rsidR="00EE0330">
        <w:rPr>
          <w:rFonts w:hint="eastAsia"/>
          <w:bCs/>
        </w:rPr>
        <w:t>7</w:t>
      </w:r>
      <w:r w:rsidR="00EE0330">
        <w:rPr>
          <w:bCs/>
        </w:rPr>
        <w:t>5</w:t>
      </w:r>
      <w:r w:rsidR="00EE0330">
        <w:rPr>
          <w:rFonts w:hint="eastAsia"/>
          <w:bCs/>
        </w:rPr>
        <w:t>％削減</w:t>
      </w:r>
    </w:p>
    <w:p w14:paraId="5D07BFA7" w14:textId="77777777" w:rsidR="00E25E95" w:rsidRDefault="00E25E95" w:rsidP="00E25E95"/>
    <w:p w14:paraId="0D505259" w14:textId="540C102B" w:rsidR="00E25E95" w:rsidRDefault="00B318F5" w:rsidP="00E25E95">
      <w:pPr>
        <w:rPr>
          <w:b/>
          <w:bCs/>
        </w:rPr>
      </w:pPr>
      <w:r>
        <w:rPr>
          <w:rFonts w:hint="eastAsia"/>
          <w:b/>
          <w:bCs/>
        </w:rPr>
        <w:t xml:space="preserve">第３章　</w:t>
      </w:r>
      <w:r w:rsidR="00E25E95" w:rsidRPr="005534B4">
        <w:rPr>
          <w:rFonts w:hint="eastAsia"/>
          <w:b/>
          <w:bCs/>
        </w:rPr>
        <w:t>20</w:t>
      </w:r>
      <w:r w:rsidR="00EE0330">
        <w:rPr>
          <w:b/>
          <w:bCs/>
        </w:rPr>
        <w:t>40</w:t>
      </w:r>
      <w:r w:rsidR="00EE0330">
        <w:rPr>
          <w:rFonts w:hint="eastAsia"/>
          <w:b/>
          <w:bCs/>
        </w:rPr>
        <w:t>年度</w:t>
      </w:r>
      <w:r w:rsidR="00E25E95" w:rsidRPr="005534B4">
        <w:rPr>
          <w:rFonts w:hint="eastAsia"/>
          <w:b/>
          <w:bCs/>
        </w:rPr>
        <w:t>に向けて取り組む項目</w:t>
      </w:r>
    </w:p>
    <w:p w14:paraId="11E487DE" w14:textId="14F5865A" w:rsidR="00EE0330" w:rsidRPr="00EE0330" w:rsidRDefault="00EE0330" w:rsidP="00EE0330">
      <w:pPr>
        <w:pStyle w:val="a3"/>
        <w:numPr>
          <w:ilvl w:val="0"/>
          <w:numId w:val="14"/>
        </w:numPr>
        <w:ind w:leftChars="0"/>
      </w:pPr>
      <w:r w:rsidRPr="00EE0330">
        <w:rPr>
          <w:rFonts w:hint="eastAsia"/>
        </w:rPr>
        <w:t>従来の対策を継続して取り組むとともに、「おおさかヒートアイランド対策推進計画」の統合による内容も含め、７つの取組項目に新たな取組や施策を追加・拡充</w:t>
      </w:r>
    </w:p>
    <w:p w14:paraId="6DD5213A" w14:textId="1D1A7C50" w:rsidR="00EE0330" w:rsidRPr="005534B4" w:rsidRDefault="00EE0330" w:rsidP="00745550">
      <w:pPr>
        <w:pStyle w:val="a3"/>
        <w:numPr>
          <w:ilvl w:val="0"/>
          <w:numId w:val="14"/>
        </w:numPr>
        <w:ind w:leftChars="0"/>
      </w:pPr>
      <w:r w:rsidRPr="00EE0330">
        <w:rPr>
          <w:rFonts w:hint="eastAsia"/>
        </w:rPr>
        <w:t>「大阪・関西万博のレガシーとなる施策」や「脱炭素と経済成長の両立に寄与する施策」として、４つの重点施策を設定</w:t>
      </w:r>
    </w:p>
    <w:p w14:paraId="38E6E3C2" w14:textId="37220580" w:rsidR="00E25E95" w:rsidRDefault="00EE0330" w:rsidP="007C6B3F">
      <w:pPr>
        <w:ind w:firstLineChars="100" w:firstLine="210"/>
      </w:pPr>
      <w:r>
        <w:rPr>
          <w:rFonts w:hint="eastAsia"/>
        </w:rPr>
        <w:t>７つの取組項目</w:t>
      </w:r>
      <w:r w:rsidR="007C6B3F">
        <w:rPr>
          <w:rFonts w:hint="eastAsia"/>
        </w:rPr>
        <w:t>と</w:t>
      </w:r>
      <w:r>
        <w:rPr>
          <w:rFonts w:hint="eastAsia"/>
        </w:rPr>
        <w:t>は、①</w:t>
      </w:r>
      <w:r w:rsidR="00E25E95" w:rsidRPr="00EE0330">
        <w:rPr>
          <w:rFonts w:hint="eastAsia"/>
        </w:rPr>
        <w:t>あらゆる主体の意識改革</w:t>
      </w:r>
      <w:r>
        <w:rPr>
          <w:rFonts w:hint="eastAsia"/>
        </w:rPr>
        <w:t>と</w:t>
      </w:r>
      <w:r w:rsidR="00E25E95" w:rsidRPr="00EE0330">
        <w:rPr>
          <w:rFonts w:hint="eastAsia"/>
        </w:rPr>
        <w:t>行動喚起</w:t>
      </w:r>
      <w:r w:rsidR="007C6B3F">
        <w:rPr>
          <w:rFonts w:hint="eastAsia"/>
        </w:rPr>
        <w:t>、</w:t>
      </w:r>
      <w:r>
        <w:rPr>
          <w:rFonts w:hint="eastAsia"/>
        </w:rPr>
        <w:t>②</w:t>
      </w:r>
      <w:r w:rsidR="00E25E95" w:rsidRPr="00EE0330">
        <w:rPr>
          <w:rFonts w:hint="eastAsia"/>
        </w:rPr>
        <w:t>事業者における脱炭素化に向けた取組促進</w:t>
      </w:r>
      <w:r w:rsidR="007C6B3F">
        <w:rPr>
          <w:rFonts w:hint="eastAsia"/>
        </w:rPr>
        <w:t>、</w:t>
      </w:r>
      <w:r>
        <w:rPr>
          <w:rFonts w:hint="eastAsia"/>
        </w:rPr>
        <w:t>③</w:t>
      </w:r>
      <w:r w:rsidR="00E25E95" w:rsidRPr="00EE0330">
        <w:rPr>
          <w:rFonts w:hint="eastAsia"/>
        </w:rPr>
        <w:t>CO</w:t>
      </w:r>
      <w:r w:rsidR="00E25E95" w:rsidRPr="00EE0330">
        <w:rPr>
          <w:rFonts w:hint="eastAsia"/>
          <w:vertAlign w:val="subscript"/>
        </w:rPr>
        <w:t>2</w:t>
      </w:r>
      <w:r w:rsidR="00E25E95" w:rsidRPr="00EE0330">
        <w:rPr>
          <w:rFonts w:hint="eastAsia"/>
        </w:rPr>
        <w:t>排出の少ないエネルギーの利用促進</w:t>
      </w:r>
      <w:r w:rsidR="007C6B3F">
        <w:rPr>
          <w:rFonts w:hint="eastAsia"/>
        </w:rPr>
        <w:t>、</w:t>
      </w:r>
      <w:r>
        <w:rPr>
          <w:rFonts w:hint="eastAsia"/>
        </w:rPr>
        <w:t>④</w:t>
      </w:r>
      <w:r w:rsidR="00E25E95" w:rsidRPr="00EE0330">
        <w:rPr>
          <w:rFonts w:hint="eastAsia"/>
        </w:rPr>
        <w:t>輸送・移動における脱炭素化に向けた取組促進</w:t>
      </w:r>
      <w:r w:rsidR="007C6B3F">
        <w:rPr>
          <w:rFonts w:hint="eastAsia"/>
        </w:rPr>
        <w:t>、</w:t>
      </w:r>
      <w:r>
        <w:rPr>
          <w:rFonts w:hint="eastAsia"/>
        </w:rPr>
        <w:t>⑤</w:t>
      </w:r>
      <w:r w:rsidR="00E25E95" w:rsidRPr="00EE0330">
        <w:rPr>
          <w:rFonts w:hint="eastAsia"/>
        </w:rPr>
        <w:t>資源循環の促進</w:t>
      </w:r>
      <w:r w:rsidR="007C6B3F">
        <w:rPr>
          <w:rFonts w:hint="eastAsia"/>
        </w:rPr>
        <w:t>、</w:t>
      </w:r>
      <w:r>
        <w:rPr>
          <w:rFonts w:hint="eastAsia"/>
        </w:rPr>
        <w:t>⑥</w:t>
      </w:r>
      <w:r w:rsidR="00E25E95" w:rsidRPr="00EE0330">
        <w:rPr>
          <w:rFonts w:hint="eastAsia"/>
        </w:rPr>
        <w:t>森林</w:t>
      </w:r>
      <w:r>
        <w:rPr>
          <w:rFonts w:hint="eastAsia"/>
        </w:rPr>
        <w:t>・海洋生態系等による</w:t>
      </w:r>
      <w:r w:rsidR="00E25E95" w:rsidRPr="00EE0330">
        <w:rPr>
          <w:rFonts w:hint="eastAsia"/>
        </w:rPr>
        <w:t>吸収</w:t>
      </w:r>
      <w:r>
        <w:rPr>
          <w:rFonts w:hint="eastAsia"/>
        </w:rPr>
        <w:t>、</w:t>
      </w:r>
      <w:r w:rsidR="00E25E95" w:rsidRPr="00EE0330">
        <w:rPr>
          <w:rFonts w:hint="eastAsia"/>
        </w:rPr>
        <w:t>緑化の推進</w:t>
      </w:r>
      <w:r w:rsidR="007C6B3F">
        <w:rPr>
          <w:rFonts w:hint="eastAsia"/>
        </w:rPr>
        <w:t>、</w:t>
      </w:r>
      <w:r>
        <w:rPr>
          <w:rFonts w:hint="eastAsia"/>
        </w:rPr>
        <w:t>⑦</w:t>
      </w:r>
      <w:r w:rsidR="00E25E95" w:rsidRPr="00EE0330">
        <w:rPr>
          <w:rFonts w:hint="eastAsia"/>
        </w:rPr>
        <w:t>気候変動適応の推進等</w:t>
      </w:r>
      <w:r w:rsidR="007C6B3F">
        <w:rPr>
          <w:rFonts w:hint="eastAsia"/>
        </w:rPr>
        <w:t>。</w:t>
      </w:r>
    </w:p>
    <w:p w14:paraId="5E549B8A" w14:textId="6EDFF551" w:rsidR="00EE0330" w:rsidRPr="007C6B3F" w:rsidRDefault="00EE0330" w:rsidP="00E25E95"/>
    <w:p w14:paraId="143B8B27" w14:textId="5601D4CC" w:rsidR="00EE0330" w:rsidRDefault="00EE0330" w:rsidP="00C87CE4">
      <w:pPr>
        <w:ind w:firstLineChars="100" w:firstLine="210"/>
      </w:pPr>
      <w:r>
        <w:rPr>
          <w:rFonts w:hint="eastAsia"/>
        </w:rPr>
        <w:t>重点対策施策</w:t>
      </w:r>
      <w:r w:rsidR="007C6B3F">
        <w:rPr>
          <w:rFonts w:hint="eastAsia"/>
        </w:rPr>
        <w:t>と</w:t>
      </w:r>
      <w:r>
        <w:rPr>
          <w:rFonts w:hint="eastAsia"/>
        </w:rPr>
        <w:t>は、①次世代型太陽電池をはじめとしたカーボンニュートラル先進技術の</w:t>
      </w:r>
      <w:r w:rsidR="007C6B3F">
        <w:rPr>
          <w:rFonts w:hint="eastAsia"/>
        </w:rPr>
        <w:t>社会実装促進、</w:t>
      </w:r>
      <w:r>
        <w:rPr>
          <w:rFonts w:hint="eastAsia"/>
        </w:rPr>
        <w:t>②</w:t>
      </w:r>
      <w:r w:rsidR="007C6B3F">
        <w:rPr>
          <w:rFonts w:hint="eastAsia"/>
        </w:rPr>
        <w:t>電動モビリティによる脱炭素まちづくりの促進、</w:t>
      </w:r>
      <w:r>
        <w:rPr>
          <w:rFonts w:hint="eastAsia"/>
        </w:rPr>
        <w:t>③</w:t>
      </w:r>
      <w:r w:rsidR="007C6B3F">
        <w:rPr>
          <w:rFonts w:hint="eastAsia"/>
        </w:rPr>
        <w:t>環境価値の可視化等を通じたあらゆる世代の主体的な脱炭素行動変容の促進、</w:t>
      </w:r>
      <w:r>
        <w:rPr>
          <w:rFonts w:hint="eastAsia"/>
        </w:rPr>
        <w:t>④</w:t>
      </w:r>
      <w:r w:rsidR="007C6B3F">
        <w:rPr>
          <w:rFonts w:hint="eastAsia"/>
        </w:rPr>
        <w:t>GX</w:t>
      </w:r>
      <w:r w:rsidR="007C6B3F">
        <w:rPr>
          <w:rFonts w:hint="eastAsia"/>
        </w:rPr>
        <w:t>を通じた脱炭素経営の促進。</w:t>
      </w:r>
    </w:p>
    <w:p w14:paraId="2AFBB05E" w14:textId="77777777" w:rsidR="00E25E95" w:rsidRPr="005534B4" w:rsidRDefault="00E25E95" w:rsidP="00E25E95"/>
    <w:p w14:paraId="14A9DE58" w14:textId="77777777" w:rsidR="00E25E95" w:rsidRPr="005534B4" w:rsidRDefault="00B318F5" w:rsidP="00E25E95">
      <w:r>
        <w:rPr>
          <w:rFonts w:hint="eastAsia"/>
          <w:b/>
          <w:bCs/>
        </w:rPr>
        <w:t>第４章</w:t>
      </w:r>
      <w:r w:rsidR="00E25E95" w:rsidRPr="005534B4">
        <w:rPr>
          <w:rFonts w:hint="eastAsia"/>
          <w:b/>
          <w:bCs/>
        </w:rPr>
        <w:t xml:space="preserve"> </w:t>
      </w:r>
      <w:r w:rsidR="00E25E95" w:rsidRPr="005534B4">
        <w:rPr>
          <w:rFonts w:hint="eastAsia"/>
          <w:b/>
          <w:bCs/>
        </w:rPr>
        <w:t>対策の推進体制</w:t>
      </w:r>
    </w:p>
    <w:p w14:paraId="2CBAC754" w14:textId="77777777" w:rsidR="007C6B3F" w:rsidRPr="007C6B3F" w:rsidRDefault="007C6B3F" w:rsidP="007C6B3F">
      <w:pPr>
        <w:pStyle w:val="a3"/>
        <w:numPr>
          <w:ilvl w:val="0"/>
          <w:numId w:val="12"/>
        </w:numPr>
        <w:ind w:leftChars="0"/>
      </w:pPr>
      <w:r w:rsidRPr="007C6B3F">
        <w:rPr>
          <w:rFonts w:hint="eastAsia"/>
        </w:rPr>
        <w:t>持続可能な経済成長と地球温暖化対策の推進を図るため、おおさかカーボンニュートラル推進本部において、取組方針等を全庁で協議し、強力に推進</w:t>
      </w:r>
    </w:p>
    <w:p w14:paraId="53C3816D" w14:textId="78AB122A" w:rsidR="00E25E95" w:rsidRPr="005534B4" w:rsidRDefault="007C6B3F" w:rsidP="007C6B3F">
      <w:pPr>
        <w:pStyle w:val="a3"/>
        <w:numPr>
          <w:ilvl w:val="0"/>
          <w:numId w:val="12"/>
        </w:numPr>
        <w:ind w:leftChars="0"/>
      </w:pPr>
      <w:r w:rsidRPr="007C6B3F">
        <w:rPr>
          <w:rFonts w:hint="eastAsia"/>
        </w:rPr>
        <w:t>大阪府地球温暖化防止活動推進センター、おおさか気候変動適応センターとの連携により、緩和策と適応策に関する取組を両輪で推進</w:t>
      </w:r>
    </w:p>
    <w:p w14:paraId="7C707521" w14:textId="77777777" w:rsidR="00E25E95" w:rsidRPr="005534B4" w:rsidRDefault="00E25E95" w:rsidP="00E25E95"/>
    <w:p w14:paraId="014A5E4A" w14:textId="20E7A371" w:rsidR="00D111B8" w:rsidRDefault="00D111B8" w:rsidP="00EE39E6">
      <w:r>
        <w:rPr>
          <w:rFonts w:hint="eastAsia"/>
        </w:rPr>
        <w:t>（図の説明）</w:t>
      </w:r>
      <w:r w:rsidR="00C87CE4">
        <w:rPr>
          <w:rFonts w:hint="eastAsia"/>
        </w:rPr>
        <w:t>カーボンニュートラルの実現に向けた最近の動向及び</w:t>
      </w:r>
      <w:r w:rsidR="007C6B3F">
        <w:rPr>
          <w:rFonts w:hint="eastAsia"/>
        </w:rPr>
        <w:t>計画</w:t>
      </w:r>
      <w:r w:rsidR="00C87CE4">
        <w:rPr>
          <w:rFonts w:hint="eastAsia"/>
        </w:rPr>
        <w:t>における主な取組</w:t>
      </w:r>
      <w:r w:rsidRPr="00D111B8">
        <w:rPr>
          <w:rFonts w:hint="eastAsia"/>
        </w:rPr>
        <w:t>の</w:t>
      </w:r>
      <w:r w:rsidR="00C87CE4">
        <w:rPr>
          <w:rFonts w:hint="eastAsia"/>
        </w:rPr>
        <w:t>概略図</w:t>
      </w:r>
    </w:p>
    <w:p w14:paraId="3B774E38" w14:textId="7E6ED3CD" w:rsidR="007C6B3F" w:rsidRDefault="007C6B3F" w:rsidP="00EE39E6">
      <w:pPr>
        <w:ind w:firstLineChars="100" w:firstLine="210"/>
      </w:pPr>
      <w:r>
        <w:rPr>
          <w:rFonts w:hint="eastAsia"/>
        </w:rPr>
        <w:t>大阪・関西万博で披露されたカーボンニュートラル技術・取組や</w:t>
      </w:r>
      <w:bookmarkStart w:id="0" w:name="_Hlk219389613"/>
      <w:r>
        <w:rPr>
          <w:rFonts w:hint="eastAsia"/>
        </w:rPr>
        <w:t>GX(</w:t>
      </w:r>
      <w:r>
        <w:rPr>
          <w:rFonts w:hint="eastAsia"/>
        </w:rPr>
        <w:t>グリーントランスフォーメーション</w:t>
      </w:r>
      <w:r>
        <w:rPr>
          <w:rFonts w:hint="eastAsia"/>
        </w:rPr>
        <w:t>)</w:t>
      </w:r>
      <w:r>
        <w:rPr>
          <w:rFonts w:hint="eastAsia"/>
        </w:rPr>
        <w:t>を通じた脱炭素と経済成長の両立</w:t>
      </w:r>
      <w:r w:rsidR="00C87CE4">
        <w:rPr>
          <w:rFonts w:hint="eastAsia"/>
        </w:rPr>
        <w:t>の考え方</w:t>
      </w:r>
      <w:bookmarkEnd w:id="0"/>
      <w:r w:rsidR="00C87CE4">
        <w:rPr>
          <w:rFonts w:hint="eastAsia"/>
        </w:rPr>
        <w:t>といった</w:t>
      </w:r>
      <w:r>
        <w:rPr>
          <w:rFonts w:hint="eastAsia"/>
        </w:rPr>
        <w:t>カーボンニュートラルの実現に向けた最近の動向</w:t>
      </w:r>
      <w:r w:rsidR="0017190C">
        <w:rPr>
          <w:rFonts w:hint="eastAsia"/>
        </w:rPr>
        <w:t>と、それを踏まえた</w:t>
      </w:r>
      <w:r w:rsidR="00C87CE4">
        <w:rPr>
          <w:rFonts w:hint="eastAsia"/>
        </w:rPr>
        <w:t>計画</w:t>
      </w:r>
      <w:r w:rsidR="0017190C">
        <w:rPr>
          <w:rFonts w:hint="eastAsia"/>
        </w:rPr>
        <w:t>における</w:t>
      </w:r>
      <w:r w:rsidR="00C87CE4">
        <w:rPr>
          <w:rFonts w:hint="eastAsia"/>
        </w:rPr>
        <w:t>７つの取組項目</w:t>
      </w:r>
      <w:r w:rsidR="0017190C">
        <w:rPr>
          <w:rFonts w:hint="eastAsia"/>
        </w:rPr>
        <w:t>ごとの取組内容を掲載。</w:t>
      </w:r>
    </w:p>
    <w:p w14:paraId="117DD286" w14:textId="0468740D" w:rsidR="007C6B3F" w:rsidRDefault="007C6B3F" w:rsidP="00EE39E6">
      <w:pPr>
        <w:ind w:firstLineChars="100" w:firstLine="210"/>
      </w:pPr>
    </w:p>
    <w:p w14:paraId="3638D1EB" w14:textId="75758A2A" w:rsidR="001D5011" w:rsidRDefault="001D5011" w:rsidP="001D5011">
      <w:pPr>
        <w:pStyle w:val="a3"/>
        <w:numPr>
          <w:ilvl w:val="0"/>
          <w:numId w:val="15"/>
        </w:numPr>
        <w:ind w:leftChars="0"/>
      </w:pPr>
      <w:r>
        <w:rPr>
          <w:rFonts w:hint="eastAsia"/>
        </w:rPr>
        <w:t>カーボンニュートラルの実現に向けた最近の動向</w:t>
      </w:r>
    </w:p>
    <w:p w14:paraId="0F1490A9" w14:textId="44DE6094" w:rsidR="001D5011" w:rsidRDefault="001D5011" w:rsidP="001D5011">
      <w:pPr>
        <w:pStyle w:val="a3"/>
        <w:numPr>
          <w:ilvl w:val="0"/>
          <w:numId w:val="23"/>
        </w:numPr>
        <w:ind w:leftChars="0"/>
      </w:pPr>
      <w:r>
        <w:rPr>
          <w:rFonts w:hint="eastAsia"/>
        </w:rPr>
        <w:t>大阪・関西万博で披露されたカーボンニュートラル技術・取組</w:t>
      </w:r>
    </w:p>
    <w:p w14:paraId="222BEB81" w14:textId="1E947361" w:rsidR="001D5011" w:rsidRDefault="001D5011" w:rsidP="001D5011">
      <w:pPr>
        <w:pStyle w:val="a3"/>
        <w:numPr>
          <w:ilvl w:val="0"/>
          <w:numId w:val="25"/>
        </w:numPr>
        <w:ind w:leftChars="0" w:hanging="204"/>
      </w:pPr>
      <w:r>
        <w:rPr>
          <w:rFonts w:hint="eastAsia"/>
        </w:rPr>
        <w:t>太陽光・水素等の次世代エネルギー</w:t>
      </w:r>
      <w:r w:rsidR="00F94D28">
        <w:rPr>
          <w:rFonts w:hint="eastAsia"/>
        </w:rPr>
        <w:t>（ペロブスカイト太陽電池、グリーン水素による発電、帯水層蓄熱システム等）</w:t>
      </w:r>
    </w:p>
    <w:p w14:paraId="1A9F8C1E" w14:textId="2C68A913" w:rsidR="001D5011" w:rsidRDefault="001D5011" w:rsidP="001D5011">
      <w:pPr>
        <w:pStyle w:val="a3"/>
        <w:numPr>
          <w:ilvl w:val="0"/>
          <w:numId w:val="25"/>
        </w:numPr>
        <w:ind w:leftChars="0" w:hanging="204"/>
      </w:pPr>
      <w:r>
        <w:rPr>
          <w:rFonts w:hint="eastAsia"/>
        </w:rPr>
        <w:t>モビリティ</w:t>
      </w:r>
      <w:r w:rsidR="00F94D28">
        <w:rPr>
          <w:rFonts w:hint="eastAsia"/>
        </w:rPr>
        <w:t>（</w:t>
      </w:r>
      <w:r w:rsidR="00F94D28">
        <w:rPr>
          <w:rFonts w:hint="eastAsia"/>
        </w:rPr>
        <w:t>EV</w:t>
      </w:r>
      <w:r w:rsidR="00F94D28">
        <w:rPr>
          <w:rFonts w:hint="eastAsia"/>
        </w:rPr>
        <w:t>バス・走行中給電、次世代燃料（合成燃料・バイオ燃料）、水素燃料電池船・バス等）</w:t>
      </w:r>
    </w:p>
    <w:p w14:paraId="77C3EE6A" w14:textId="49DC727A" w:rsidR="001D5011" w:rsidRDefault="001D5011" w:rsidP="001D5011">
      <w:pPr>
        <w:pStyle w:val="a3"/>
        <w:numPr>
          <w:ilvl w:val="0"/>
          <w:numId w:val="25"/>
        </w:numPr>
        <w:ind w:leftChars="0" w:hanging="204"/>
      </w:pPr>
      <w:r>
        <w:rPr>
          <w:rFonts w:hint="eastAsia"/>
        </w:rPr>
        <w:t>行動変容</w:t>
      </w:r>
      <w:r w:rsidR="00F94D28">
        <w:rPr>
          <w:rFonts w:hint="eastAsia"/>
        </w:rPr>
        <w:t>（給水ボトル・マイボトルの利用、使用済みペットボトルの水平リサイクル、日傘のシェアなどの暑さ対策等）</w:t>
      </w:r>
    </w:p>
    <w:p w14:paraId="6C214D38" w14:textId="7FCDD77C" w:rsidR="001D5011" w:rsidRDefault="001D5011" w:rsidP="001D5011">
      <w:pPr>
        <w:pStyle w:val="a3"/>
        <w:numPr>
          <w:ilvl w:val="0"/>
          <w:numId w:val="25"/>
        </w:numPr>
        <w:ind w:leftChars="0" w:hanging="204"/>
      </w:pPr>
      <w:r>
        <w:rPr>
          <w:rFonts w:hint="eastAsia"/>
        </w:rPr>
        <w:t>カーボンリサイクル</w:t>
      </w:r>
      <w:r w:rsidR="00F94D28">
        <w:rPr>
          <w:rFonts w:hint="eastAsia"/>
        </w:rPr>
        <w:t>（</w:t>
      </w:r>
      <w:r w:rsidR="00F94D28">
        <w:rPr>
          <w:rFonts w:hint="eastAsia"/>
        </w:rPr>
        <w:t>C</w:t>
      </w:r>
      <w:r w:rsidR="00F94D28">
        <w:t>O2</w:t>
      </w:r>
      <w:r w:rsidR="00F94D28">
        <w:rPr>
          <w:rFonts w:hint="eastAsia"/>
        </w:rPr>
        <w:t>吸収コンクリート、</w:t>
      </w:r>
      <w:r w:rsidR="00F94D28">
        <w:rPr>
          <w:rFonts w:hint="eastAsia"/>
        </w:rPr>
        <w:t>C</w:t>
      </w:r>
      <w:r w:rsidR="00F94D28">
        <w:t>O2</w:t>
      </w:r>
      <w:r w:rsidR="00F94D28">
        <w:rPr>
          <w:rFonts w:hint="eastAsia"/>
        </w:rPr>
        <w:t>分離回収技術・</w:t>
      </w:r>
      <w:r w:rsidR="00F94D28">
        <w:rPr>
          <w:rFonts w:hint="eastAsia"/>
        </w:rPr>
        <w:t>D</w:t>
      </w:r>
      <w:r w:rsidR="00F94D28">
        <w:t>AC</w:t>
      </w:r>
      <w:r w:rsidR="00F94D28">
        <w:rPr>
          <w:rFonts w:hint="eastAsia"/>
        </w:rPr>
        <w:t>（直接空気回収技術）、</w:t>
      </w:r>
      <w:r w:rsidR="00F94D28">
        <w:rPr>
          <w:rFonts w:hint="eastAsia"/>
        </w:rPr>
        <w:lastRenderedPageBreak/>
        <w:t>メタネーション等）</w:t>
      </w:r>
    </w:p>
    <w:p w14:paraId="00A9112C" w14:textId="34FFB76A" w:rsidR="001D5011" w:rsidRDefault="001D5011" w:rsidP="001D5011">
      <w:pPr>
        <w:pStyle w:val="a3"/>
        <w:numPr>
          <w:ilvl w:val="0"/>
          <w:numId w:val="25"/>
        </w:numPr>
        <w:ind w:leftChars="0" w:hanging="204"/>
      </w:pPr>
      <w:r>
        <w:rPr>
          <w:rFonts w:hint="eastAsia"/>
        </w:rPr>
        <w:t>大屋根リング</w:t>
      </w:r>
    </w:p>
    <w:p w14:paraId="63882A23" w14:textId="3754A22D" w:rsidR="001D5011" w:rsidRDefault="001D5011" w:rsidP="001D5011">
      <w:pPr>
        <w:pStyle w:val="a3"/>
        <w:numPr>
          <w:ilvl w:val="0"/>
          <w:numId w:val="24"/>
        </w:numPr>
        <w:ind w:leftChars="0"/>
      </w:pPr>
      <w:r w:rsidRPr="001D5011">
        <w:rPr>
          <w:rFonts w:hint="eastAsia"/>
        </w:rPr>
        <w:t>GX(</w:t>
      </w:r>
      <w:r w:rsidRPr="001D5011">
        <w:rPr>
          <w:rFonts w:hint="eastAsia"/>
        </w:rPr>
        <w:t>グリーントランスフォーメーション</w:t>
      </w:r>
      <w:r w:rsidRPr="001D5011">
        <w:rPr>
          <w:rFonts w:hint="eastAsia"/>
        </w:rPr>
        <w:t>)</w:t>
      </w:r>
      <w:r w:rsidRPr="001D5011">
        <w:rPr>
          <w:rFonts w:hint="eastAsia"/>
        </w:rPr>
        <w:t>を通じた脱炭素と経済成長の両立の考え方</w:t>
      </w:r>
    </w:p>
    <w:p w14:paraId="48F2A21B" w14:textId="065814DE" w:rsidR="001D5011" w:rsidRDefault="00F94D28" w:rsidP="00EE39E6">
      <w:pPr>
        <w:ind w:firstLineChars="100" w:firstLine="210"/>
      </w:pPr>
      <w:r>
        <w:rPr>
          <w:rFonts w:hint="eastAsia"/>
        </w:rPr>
        <w:t>エネルギー安定供給、経済成長、脱炭素を同時実現するため、</w:t>
      </w:r>
      <w:r>
        <w:rPr>
          <w:rFonts w:hint="eastAsia"/>
        </w:rPr>
        <w:t>G</w:t>
      </w:r>
      <w:r>
        <w:t>X</w:t>
      </w:r>
      <w:r>
        <w:rPr>
          <w:rFonts w:hint="eastAsia"/>
        </w:rPr>
        <w:t>の取組を</w:t>
      </w:r>
      <w:r>
        <w:rPr>
          <w:rFonts w:hint="eastAsia"/>
        </w:rPr>
        <w:t>2</w:t>
      </w:r>
      <w:r>
        <w:t>040</w:t>
      </w:r>
      <w:r>
        <w:rPr>
          <w:rFonts w:hint="eastAsia"/>
        </w:rPr>
        <w:t>年に向けて大きく飛躍させるための方向性を国が提示</w:t>
      </w:r>
    </w:p>
    <w:p w14:paraId="6C99BF05" w14:textId="09743CC2" w:rsidR="00F94D28" w:rsidRDefault="00F94D28" w:rsidP="00F94D28">
      <w:pPr>
        <w:pStyle w:val="a3"/>
        <w:numPr>
          <w:ilvl w:val="0"/>
          <w:numId w:val="26"/>
        </w:numPr>
        <w:ind w:leftChars="0" w:hanging="204"/>
      </w:pPr>
      <w:r>
        <w:rPr>
          <w:rFonts w:hint="eastAsia"/>
        </w:rPr>
        <w:t>G</w:t>
      </w:r>
      <w:r>
        <w:t>X</w:t>
      </w:r>
      <w:r>
        <w:rPr>
          <w:rFonts w:hint="eastAsia"/>
        </w:rPr>
        <w:t>産業につながる市場創造（</w:t>
      </w:r>
      <w:r>
        <w:t>GX</w:t>
      </w:r>
      <w:r>
        <w:rPr>
          <w:rFonts w:hint="eastAsia"/>
        </w:rPr>
        <w:t>価値の見える化（</w:t>
      </w:r>
      <w:r>
        <w:rPr>
          <w:rFonts w:hint="eastAsia"/>
        </w:rPr>
        <w:t>C</w:t>
      </w:r>
      <w:r>
        <w:t>FP</w:t>
      </w:r>
      <w:r>
        <w:rPr>
          <w:rFonts w:hint="eastAsia"/>
        </w:rPr>
        <w:t>）、公共調達の推進等）</w:t>
      </w:r>
    </w:p>
    <w:p w14:paraId="2949B1B1" w14:textId="77777777" w:rsidR="00F94D28" w:rsidRDefault="00F94D28" w:rsidP="00F94D28">
      <w:pPr>
        <w:pStyle w:val="a3"/>
        <w:numPr>
          <w:ilvl w:val="0"/>
          <w:numId w:val="26"/>
        </w:numPr>
        <w:ind w:leftChars="0" w:hanging="204"/>
      </w:pPr>
      <w:r>
        <w:rPr>
          <w:rFonts w:hint="eastAsia"/>
        </w:rPr>
        <w:t>中堅・中小企業の</w:t>
      </w:r>
      <w:r>
        <w:rPr>
          <w:rFonts w:hint="eastAsia"/>
        </w:rPr>
        <w:t>G</w:t>
      </w:r>
      <w:r>
        <w:t>X</w:t>
      </w:r>
    </w:p>
    <w:p w14:paraId="7C253574" w14:textId="7D168D83" w:rsidR="00F94D28" w:rsidRDefault="00F94D28" w:rsidP="00F94D28">
      <w:pPr>
        <w:pStyle w:val="a3"/>
        <w:numPr>
          <w:ilvl w:val="0"/>
          <w:numId w:val="26"/>
        </w:numPr>
        <w:ind w:leftChars="0" w:hanging="204"/>
      </w:pPr>
      <w:r>
        <w:rPr>
          <w:rFonts w:hint="eastAsia"/>
        </w:rPr>
        <w:t>新たな金融手法の</w:t>
      </w:r>
      <w:r w:rsidR="002F7DC3">
        <w:rPr>
          <w:rFonts w:hint="eastAsia"/>
        </w:rPr>
        <w:t>活用</w:t>
      </w:r>
      <w:r>
        <w:rPr>
          <w:rFonts w:hint="eastAsia"/>
        </w:rPr>
        <w:t>等</w:t>
      </w:r>
    </w:p>
    <w:p w14:paraId="37343ED4" w14:textId="77777777" w:rsidR="00F94D28" w:rsidRDefault="00F94D28" w:rsidP="00EE39E6">
      <w:pPr>
        <w:ind w:firstLineChars="100" w:firstLine="210"/>
      </w:pPr>
    </w:p>
    <w:p w14:paraId="7022DE47" w14:textId="49667B22" w:rsidR="0017190C" w:rsidRDefault="0017190C" w:rsidP="001D5011">
      <w:pPr>
        <w:pStyle w:val="a3"/>
        <w:numPr>
          <w:ilvl w:val="0"/>
          <w:numId w:val="15"/>
        </w:numPr>
        <w:ind w:leftChars="0"/>
      </w:pPr>
      <w:r w:rsidRPr="0017190C">
        <w:rPr>
          <w:rFonts w:hint="eastAsia"/>
        </w:rPr>
        <w:t>７つの取組項目</w:t>
      </w:r>
      <w:r>
        <w:rPr>
          <w:rFonts w:hint="eastAsia"/>
        </w:rPr>
        <w:t>ごとの計画における主な取組</w:t>
      </w:r>
    </w:p>
    <w:p w14:paraId="323C6BE8" w14:textId="176F086F" w:rsidR="00C87CE4" w:rsidRPr="00C87CE4" w:rsidRDefault="00C87CE4" w:rsidP="00C87CE4">
      <w:pPr>
        <w:ind w:firstLineChars="100" w:firstLine="210"/>
      </w:pPr>
      <w:r w:rsidRPr="00C87CE4">
        <w:rPr>
          <w:rFonts w:hint="eastAsia"/>
        </w:rPr>
        <w:t>①あらゆる主体の意識改革と行動喚起</w:t>
      </w:r>
    </w:p>
    <w:p w14:paraId="00A8B51B" w14:textId="7CC051A9" w:rsidR="00C87CE4" w:rsidRDefault="00C87CE4" w:rsidP="0017190C">
      <w:pPr>
        <w:pStyle w:val="a3"/>
        <w:numPr>
          <w:ilvl w:val="0"/>
          <w:numId w:val="16"/>
        </w:numPr>
        <w:ind w:leftChars="0"/>
      </w:pPr>
      <w:r w:rsidRPr="00C87CE4">
        <w:rPr>
          <w:rFonts w:hint="eastAsia"/>
        </w:rPr>
        <w:t>環境価値の可視化等を通じた主体的な脱炭素行動変容の促進</w:t>
      </w:r>
    </w:p>
    <w:p w14:paraId="3E45F025" w14:textId="77777777" w:rsidR="00C87CE4" w:rsidRDefault="00C87CE4" w:rsidP="0017190C">
      <w:pPr>
        <w:pStyle w:val="a3"/>
        <w:numPr>
          <w:ilvl w:val="0"/>
          <w:numId w:val="16"/>
        </w:numPr>
        <w:ind w:leftChars="0"/>
      </w:pPr>
      <w:r w:rsidRPr="00C87CE4">
        <w:rPr>
          <w:rFonts w:hint="eastAsia"/>
        </w:rPr>
        <w:t>再生可能エネルギー電気の調達など府による率先行動</w:t>
      </w:r>
    </w:p>
    <w:p w14:paraId="79288C1B" w14:textId="77777777" w:rsidR="00C87CE4" w:rsidRDefault="00C87CE4" w:rsidP="0017190C">
      <w:pPr>
        <w:pStyle w:val="a3"/>
        <w:numPr>
          <w:ilvl w:val="0"/>
          <w:numId w:val="16"/>
        </w:numPr>
        <w:ind w:leftChars="0"/>
      </w:pPr>
      <w:r w:rsidRPr="00C87CE4">
        <w:rPr>
          <w:rFonts w:hint="eastAsia"/>
        </w:rPr>
        <w:t>生産・流通段階での</w:t>
      </w:r>
      <w:r w:rsidRPr="00C87CE4">
        <w:rPr>
          <w:rFonts w:hint="eastAsia"/>
        </w:rPr>
        <w:t>CO</w:t>
      </w:r>
      <w:r w:rsidRPr="003F1BF8">
        <w:rPr>
          <w:rFonts w:hint="eastAsia"/>
          <w:vertAlign w:val="subscript"/>
        </w:rPr>
        <w:t>2</w:t>
      </w:r>
      <w:r w:rsidRPr="00C87CE4">
        <w:rPr>
          <w:rFonts w:hint="eastAsia"/>
        </w:rPr>
        <w:t>削減にも考慮した大阪産</w:t>
      </w:r>
      <w:r w:rsidRPr="00C87CE4">
        <w:rPr>
          <w:rFonts w:hint="eastAsia"/>
        </w:rPr>
        <w:t>(</w:t>
      </w:r>
      <w:r w:rsidRPr="00C87CE4">
        <w:rPr>
          <w:rFonts w:hint="eastAsia"/>
        </w:rPr>
        <w:t>もん</w:t>
      </w:r>
      <w:r w:rsidRPr="00C87CE4">
        <w:rPr>
          <w:rFonts w:hint="eastAsia"/>
        </w:rPr>
        <w:t>)</w:t>
      </w:r>
      <w:r w:rsidRPr="00C87CE4">
        <w:rPr>
          <w:rFonts w:hint="eastAsia"/>
        </w:rPr>
        <w:t>など地産地消の促進</w:t>
      </w:r>
    </w:p>
    <w:p w14:paraId="53047E18" w14:textId="439D007D" w:rsidR="00C87CE4" w:rsidRPr="00C87CE4" w:rsidRDefault="00C87CE4" w:rsidP="0017190C">
      <w:pPr>
        <w:pStyle w:val="a3"/>
        <w:numPr>
          <w:ilvl w:val="0"/>
          <w:numId w:val="16"/>
        </w:numPr>
        <w:ind w:leftChars="0"/>
      </w:pPr>
      <w:r w:rsidRPr="00C87CE4">
        <w:rPr>
          <w:rFonts w:hint="eastAsia"/>
        </w:rPr>
        <w:t>ZEH</w:t>
      </w:r>
      <w:r w:rsidRPr="00C87CE4">
        <w:rPr>
          <w:rFonts w:hint="eastAsia"/>
        </w:rPr>
        <w:t xml:space="preserve">の普及促進　　等　</w:t>
      </w:r>
    </w:p>
    <w:p w14:paraId="6E663E40" w14:textId="31D71CB0" w:rsidR="00C87CE4" w:rsidRPr="00C87CE4" w:rsidRDefault="00C87CE4" w:rsidP="00C87CE4">
      <w:pPr>
        <w:ind w:firstLineChars="100" w:firstLine="210"/>
      </w:pPr>
      <w:r w:rsidRPr="00C87CE4">
        <w:rPr>
          <w:rFonts w:hint="eastAsia"/>
        </w:rPr>
        <w:t>②事業者における脱炭素化に向けた取組促進</w:t>
      </w:r>
    </w:p>
    <w:p w14:paraId="6A508957" w14:textId="77777777" w:rsidR="0017190C" w:rsidRDefault="00C87CE4" w:rsidP="0017190C">
      <w:pPr>
        <w:pStyle w:val="a3"/>
        <w:numPr>
          <w:ilvl w:val="0"/>
          <w:numId w:val="17"/>
        </w:numPr>
        <w:ind w:leftChars="0"/>
      </w:pPr>
      <w:r w:rsidRPr="00C87CE4">
        <w:rPr>
          <w:rFonts w:hint="eastAsia"/>
        </w:rPr>
        <w:t>気候変動対策条例に基づく届出制度</w:t>
      </w:r>
    </w:p>
    <w:p w14:paraId="6D951461" w14:textId="321853B8" w:rsidR="0017190C" w:rsidRDefault="00C87CE4" w:rsidP="0017190C">
      <w:pPr>
        <w:pStyle w:val="a3"/>
        <w:numPr>
          <w:ilvl w:val="0"/>
          <w:numId w:val="17"/>
        </w:numPr>
        <w:ind w:leftChars="0"/>
      </w:pPr>
      <w:r w:rsidRPr="00C87CE4">
        <w:rPr>
          <w:rFonts w:hint="eastAsia"/>
        </w:rPr>
        <w:t>サステナビリティ・リンク・ローン（</w:t>
      </w:r>
      <w:r w:rsidRPr="00C87CE4">
        <w:rPr>
          <w:rFonts w:hint="eastAsia"/>
        </w:rPr>
        <w:t>SLL</w:t>
      </w:r>
      <w:r w:rsidRPr="00C87CE4">
        <w:rPr>
          <w:rFonts w:hint="eastAsia"/>
        </w:rPr>
        <w:t>）制度の構築・運用</w:t>
      </w:r>
    </w:p>
    <w:p w14:paraId="791463AE" w14:textId="77777777" w:rsidR="0017190C" w:rsidRDefault="00C87CE4" w:rsidP="0017190C">
      <w:pPr>
        <w:pStyle w:val="a3"/>
        <w:numPr>
          <w:ilvl w:val="0"/>
          <w:numId w:val="17"/>
        </w:numPr>
        <w:ind w:leftChars="0"/>
      </w:pPr>
      <w:r w:rsidRPr="00C87CE4">
        <w:rPr>
          <w:rFonts w:hint="eastAsia"/>
        </w:rPr>
        <w:t>公共調達等における脱炭素評価</w:t>
      </w:r>
    </w:p>
    <w:p w14:paraId="636F0DCA" w14:textId="29B753BE" w:rsidR="00C87CE4" w:rsidRPr="00C87CE4" w:rsidRDefault="00C87CE4" w:rsidP="0017190C">
      <w:pPr>
        <w:pStyle w:val="a3"/>
        <w:numPr>
          <w:ilvl w:val="0"/>
          <w:numId w:val="17"/>
        </w:numPr>
        <w:ind w:leftChars="0"/>
      </w:pPr>
      <w:r w:rsidRPr="00C87CE4">
        <w:rPr>
          <w:rFonts w:hint="eastAsia"/>
        </w:rPr>
        <w:t>次世代型太陽電池等のカーボンニュートラル先進技術の社会実装促進　　等</w:t>
      </w:r>
    </w:p>
    <w:p w14:paraId="3670F7FE" w14:textId="24746734" w:rsidR="00C87CE4" w:rsidRPr="00C87CE4" w:rsidRDefault="00C87CE4" w:rsidP="00C87CE4">
      <w:pPr>
        <w:ind w:firstLineChars="100" w:firstLine="210"/>
      </w:pPr>
      <w:r w:rsidRPr="00C87CE4">
        <w:rPr>
          <w:rFonts w:hint="eastAsia"/>
        </w:rPr>
        <w:t>③</w:t>
      </w:r>
      <w:r w:rsidRPr="00C87CE4">
        <w:rPr>
          <w:rFonts w:hint="eastAsia"/>
        </w:rPr>
        <w:t>CO</w:t>
      </w:r>
      <w:r w:rsidRPr="003F1BF8">
        <w:rPr>
          <w:rFonts w:hint="eastAsia"/>
          <w:vertAlign w:val="subscript"/>
        </w:rPr>
        <w:t>2</w:t>
      </w:r>
      <w:r w:rsidRPr="00C87CE4">
        <w:rPr>
          <w:rFonts w:hint="eastAsia"/>
        </w:rPr>
        <w:t>排出の少ないエネルギーの利用促進</w:t>
      </w:r>
    </w:p>
    <w:p w14:paraId="033A9A0A" w14:textId="3F40E0AC" w:rsidR="0017190C" w:rsidRDefault="00C87CE4" w:rsidP="0017190C">
      <w:pPr>
        <w:pStyle w:val="a3"/>
        <w:numPr>
          <w:ilvl w:val="0"/>
          <w:numId w:val="18"/>
        </w:numPr>
        <w:ind w:leftChars="0"/>
      </w:pPr>
      <w:r w:rsidRPr="00C87CE4">
        <w:rPr>
          <w:rFonts w:hint="eastAsia"/>
        </w:rPr>
        <w:t>共同購入支援事業などによる太陽光発電設備等の設置促進</w:t>
      </w:r>
    </w:p>
    <w:p w14:paraId="0074F312" w14:textId="77777777" w:rsidR="0017190C" w:rsidRDefault="00C87CE4" w:rsidP="0017190C">
      <w:pPr>
        <w:pStyle w:val="a3"/>
        <w:numPr>
          <w:ilvl w:val="0"/>
          <w:numId w:val="18"/>
        </w:numPr>
        <w:ind w:leftChars="0"/>
      </w:pPr>
      <w:r w:rsidRPr="00C87CE4">
        <w:rPr>
          <w:rFonts w:hint="eastAsia"/>
        </w:rPr>
        <w:t>CO</w:t>
      </w:r>
      <w:r w:rsidRPr="003F1BF8">
        <w:rPr>
          <w:rFonts w:hint="eastAsia"/>
          <w:vertAlign w:val="subscript"/>
        </w:rPr>
        <w:t>2</w:t>
      </w:r>
      <w:r w:rsidRPr="00C87CE4">
        <w:rPr>
          <w:rFonts w:hint="eastAsia"/>
        </w:rPr>
        <w:t>排出の少ない電気の選択の促進</w:t>
      </w:r>
    </w:p>
    <w:p w14:paraId="26E69D8C" w14:textId="680F8271" w:rsidR="00C87CE4" w:rsidRPr="00C87CE4" w:rsidRDefault="00C87CE4" w:rsidP="0017190C">
      <w:pPr>
        <w:pStyle w:val="a3"/>
        <w:numPr>
          <w:ilvl w:val="0"/>
          <w:numId w:val="18"/>
        </w:numPr>
        <w:ind w:leftChars="0"/>
      </w:pPr>
      <w:r w:rsidRPr="00C87CE4">
        <w:rPr>
          <w:rFonts w:hint="eastAsia"/>
        </w:rPr>
        <w:t>ペロブスカイト太陽電池の普及促進　　等</w:t>
      </w:r>
    </w:p>
    <w:p w14:paraId="7836C844" w14:textId="20A7F283" w:rsidR="00C87CE4" w:rsidRPr="00C87CE4" w:rsidRDefault="00C87CE4" w:rsidP="00C87CE4">
      <w:pPr>
        <w:ind w:firstLineChars="100" w:firstLine="210"/>
      </w:pPr>
      <w:r w:rsidRPr="00C87CE4">
        <w:rPr>
          <w:rFonts w:hint="eastAsia"/>
        </w:rPr>
        <w:t>④輸送・移動における脱炭素化に向けた取組促進</w:t>
      </w:r>
    </w:p>
    <w:p w14:paraId="22CE77FC" w14:textId="77777777" w:rsidR="0017190C" w:rsidRDefault="00C87CE4" w:rsidP="0017190C">
      <w:pPr>
        <w:pStyle w:val="a3"/>
        <w:numPr>
          <w:ilvl w:val="0"/>
          <w:numId w:val="19"/>
        </w:numPr>
        <w:ind w:leftChars="0"/>
      </w:pPr>
      <w:r w:rsidRPr="00C87CE4">
        <w:rPr>
          <w:rFonts w:hint="eastAsia"/>
        </w:rPr>
        <w:t>ZEV</w:t>
      </w:r>
      <w:r w:rsidRPr="00C87CE4">
        <w:rPr>
          <w:rFonts w:hint="eastAsia"/>
        </w:rPr>
        <w:t>を中心とする電動車の普及促進</w:t>
      </w:r>
    </w:p>
    <w:p w14:paraId="4B53711C" w14:textId="77777777" w:rsidR="0017190C" w:rsidRDefault="00C87CE4" w:rsidP="0017190C">
      <w:pPr>
        <w:pStyle w:val="a3"/>
        <w:numPr>
          <w:ilvl w:val="0"/>
          <w:numId w:val="19"/>
        </w:numPr>
        <w:ind w:leftChars="0"/>
      </w:pPr>
      <w:r w:rsidRPr="00C87CE4">
        <w:rPr>
          <w:rFonts w:hint="eastAsia"/>
        </w:rPr>
        <w:t>物流の脱炭素化（</w:t>
      </w:r>
      <w:r w:rsidRPr="00C87CE4">
        <w:rPr>
          <w:rFonts w:hint="eastAsia"/>
        </w:rPr>
        <w:t>EV</w:t>
      </w:r>
      <w:r w:rsidRPr="00C87CE4">
        <w:rPr>
          <w:rFonts w:hint="eastAsia"/>
        </w:rPr>
        <w:t>・</w:t>
      </w:r>
      <w:r w:rsidRPr="00C87CE4">
        <w:rPr>
          <w:rFonts w:hint="eastAsia"/>
        </w:rPr>
        <w:t>FC</w:t>
      </w:r>
      <w:r w:rsidRPr="00C87CE4">
        <w:rPr>
          <w:rFonts w:hint="eastAsia"/>
        </w:rPr>
        <w:t>商用車等の導入）に対する支援</w:t>
      </w:r>
    </w:p>
    <w:p w14:paraId="572A2F71" w14:textId="77777777" w:rsidR="0017190C" w:rsidRDefault="00C87CE4" w:rsidP="0017190C">
      <w:pPr>
        <w:pStyle w:val="a3"/>
        <w:numPr>
          <w:ilvl w:val="0"/>
          <w:numId w:val="19"/>
        </w:numPr>
        <w:ind w:leftChars="0"/>
      </w:pPr>
      <w:r w:rsidRPr="00C87CE4">
        <w:rPr>
          <w:rFonts w:hint="eastAsia"/>
        </w:rPr>
        <w:t>EV</w:t>
      </w:r>
      <w:r w:rsidRPr="00C87CE4">
        <w:rPr>
          <w:rFonts w:hint="eastAsia"/>
        </w:rPr>
        <w:t>ワイヤレス給電技術の実証支援</w:t>
      </w:r>
    </w:p>
    <w:p w14:paraId="68ADD2AF" w14:textId="6794EBE2" w:rsidR="00C87CE4" w:rsidRPr="00C87CE4" w:rsidRDefault="00C87CE4" w:rsidP="0017190C">
      <w:pPr>
        <w:pStyle w:val="a3"/>
        <w:numPr>
          <w:ilvl w:val="0"/>
          <w:numId w:val="19"/>
        </w:numPr>
        <w:ind w:leftChars="0"/>
      </w:pPr>
      <w:r w:rsidRPr="00C87CE4">
        <w:rPr>
          <w:rFonts w:hint="eastAsia"/>
        </w:rPr>
        <w:t xml:space="preserve">充電器・水素ステーションなどのインフラの整備促進　　等　　</w:t>
      </w:r>
    </w:p>
    <w:p w14:paraId="6F7878AF" w14:textId="660F3D0A" w:rsidR="00C87CE4" w:rsidRPr="00C87CE4" w:rsidRDefault="00C87CE4" w:rsidP="00C87CE4">
      <w:pPr>
        <w:ind w:firstLineChars="100" w:firstLine="210"/>
      </w:pPr>
      <w:r w:rsidRPr="00C87CE4">
        <w:rPr>
          <w:rFonts w:hint="eastAsia"/>
        </w:rPr>
        <w:t>⑤資源循環の促進</w:t>
      </w:r>
    </w:p>
    <w:p w14:paraId="7C873325" w14:textId="77777777" w:rsidR="0017190C" w:rsidRDefault="00C87CE4" w:rsidP="0017190C">
      <w:pPr>
        <w:pStyle w:val="a3"/>
        <w:numPr>
          <w:ilvl w:val="0"/>
          <w:numId w:val="20"/>
        </w:numPr>
        <w:ind w:leftChars="0"/>
      </w:pPr>
      <w:r w:rsidRPr="00C87CE4">
        <w:rPr>
          <w:rFonts w:hint="eastAsia"/>
        </w:rPr>
        <w:t>使い捨てプラスチックごみの排出抑制及び分別・リサイクルの促進</w:t>
      </w:r>
    </w:p>
    <w:p w14:paraId="7BBACE1A" w14:textId="469C7D7E" w:rsidR="00C87CE4" w:rsidRPr="00C87CE4" w:rsidRDefault="00C87CE4" w:rsidP="0017190C">
      <w:pPr>
        <w:pStyle w:val="a3"/>
        <w:numPr>
          <w:ilvl w:val="0"/>
          <w:numId w:val="20"/>
        </w:numPr>
        <w:ind w:leftChars="0"/>
      </w:pPr>
      <w:r w:rsidRPr="00C87CE4">
        <w:rPr>
          <w:rFonts w:hint="eastAsia"/>
        </w:rPr>
        <w:t>食品の使いきりの推進等による食品ロスの削減　　等</w:t>
      </w:r>
    </w:p>
    <w:p w14:paraId="4881B774" w14:textId="71A5A456" w:rsidR="00C87CE4" w:rsidRPr="00C87CE4" w:rsidRDefault="00C87CE4" w:rsidP="00C87CE4">
      <w:pPr>
        <w:ind w:firstLineChars="100" w:firstLine="210"/>
      </w:pPr>
      <w:r w:rsidRPr="00C87CE4">
        <w:rPr>
          <w:rFonts w:hint="eastAsia"/>
        </w:rPr>
        <w:t>⑥森林・海洋生態系等による吸収、緑化等の推進</w:t>
      </w:r>
    </w:p>
    <w:p w14:paraId="603AF72D" w14:textId="77777777" w:rsidR="0017190C" w:rsidRDefault="00C87CE4" w:rsidP="0017190C">
      <w:pPr>
        <w:pStyle w:val="a3"/>
        <w:numPr>
          <w:ilvl w:val="0"/>
          <w:numId w:val="21"/>
        </w:numPr>
        <w:ind w:leftChars="0"/>
      </w:pPr>
      <w:r w:rsidRPr="00C87CE4">
        <w:rPr>
          <w:rFonts w:hint="eastAsia"/>
        </w:rPr>
        <w:t>市町村による森林整備及び木材利用の促進のための技術的支援</w:t>
      </w:r>
    </w:p>
    <w:p w14:paraId="3367A84B" w14:textId="5E96F4D2" w:rsidR="00C87CE4" w:rsidRPr="00C87CE4" w:rsidRDefault="00C87CE4" w:rsidP="0017190C">
      <w:pPr>
        <w:pStyle w:val="a3"/>
        <w:numPr>
          <w:ilvl w:val="0"/>
          <w:numId w:val="21"/>
        </w:numPr>
        <w:ind w:leftChars="0"/>
      </w:pPr>
      <w:r w:rsidRPr="00C87CE4">
        <w:rPr>
          <w:rFonts w:hint="eastAsia"/>
        </w:rPr>
        <w:t xml:space="preserve">大阪湾奥部ブルーカーボン生態系の再生・創出　　等　　</w:t>
      </w:r>
    </w:p>
    <w:p w14:paraId="2AB02634" w14:textId="7A9E732C" w:rsidR="00C87CE4" w:rsidRPr="00C87CE4" w:rsidRDefault="00C87CE4" w:rsidP="00C87CE4">
      <w:pPr>
        <w:ind w:firstLineChars="100" w:firstLine="210"/>
      </w:pPr>
      <w:r w:rsidRPr="00C87CE4">
        <w:rPr>
          <w:rFonts w:hint="eastAsia"/>
        </w:rPr>
        <w:t>⑦</w:t>
      </w:r>
      <w:r w:rsidRPr="00C87CE4">
        <w:rPr>
          <w:rFonts w:hint="eastAsia"/>
        </w:rPr>
        <w:t xml:space="preserve"> </w:t>
      </w:r>
      <w:r w:rsidRPr="00C87CE4">
        <w:rPr>
          <w:rFonts w:hint="eastAsia"/>
        </w:rPr>
        <w:t>気候変動適応の推進等</w:t>
      </w:r>
    </w:p>
    <w:p w14:paraId="18BA9074" w14:textId="48446564" w:rsidR="0017190C" w:rsidRDefault="00C87CE4" w:rsidP="0017190C">
      <w:pPr>
        <w:pStyle w:val="a3"/>
        <w:numPr>
          <w:ilvl w:val="0"/>
          <w:numId w:val="22"/>
        </w:numPr>
        <w:ind w:leftChars="0"/>
      </w:pPr>
      <w:r w:rsidRPr="00C87CE4">
        <w:rPr>
          <w:rFonts w:hint="eastAsia"/>
        </w:rPr>
        <w:t>大阪の地域特性を踏まえた暑さ対策の推進</w:t>
      </w:r>
    </w:p>
    <w:p w14:paraId="227C4ED3" w14:textId="605E323F" w:rsidR="007C6B3F" w:rsidRDefault="00C87CE4" w:rsidP="0017190C">
      <w:pPr>
        <w:pStyle w:val="a3"/>
        <w:numPr>
          <w:ilvl w:val="0"/>
          <w:numId w:val="22"/>
        </w:numPr>
        <w:ind w:leftChars="0"/>
      </w:pPr>
      <w:r w:rsidRPr="00C87CE4">
        <w:rPr>
          <w:rFonts w:hint="eastAsia"/>
        </w:rPr>
        <w:t>様々な分野における適応取組のさらなる推進　　等</w:t>
      </w:r>
    </w:p>
    <w:sectPr w:rsidR="007C6B3F" w:rsidSect="00E25E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C410" w14:textId="77777777" w:rsidR="00634117" w:rsidRDefault="00634117" w:rsidP="00634117">
      <w:r>
        <w:separator/>
      </w:r>
    </w:p>
  </w:endnote>
  <w:endnote w:type="continuationSeparator" w:id="0">
    <w:p w14:paraId="67E376EE" w14:textId="77777777" w:rsidR="00634117" w:rsidRDefault="00634117" w:rsidP="0063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C3DB" w14:textId="77777777" w:rsidR="00634117" w:rsidRDefault="00634117" w:rsidP="00634117">
      <w:r>
        <w:separator/>
      </w:r>
    </w:p>
  </w:footnote>
  <w:footnote w:type="continuationSeparator" w:id="0">
    <w:p w14:paraId="018394E8" w14:textId="77777777" w:rsidR="00634117" w:rsidRDefault="00634117" w:rsidP="0063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746B"/>
    <w:multiLevelType w:val="hybridMultilevel"/>
    <w:tmpl w:val="E1286164"/>
    <w:lvl w:ilvl="0" w:tplc="0409000B">
      <w:start w:val="1"/>
      <w:numFmt w:val="bullet"/>
      <w:lvlText w:val=""/>
      <w:lvlJc w:val="left"/>
      <w:pPr>
        <w:ind w:left="531" w:hanging="420"/>
      </w:pPr>
      <w:rPr>
        <w:rFonts w:ascii="Wingdings" w:hAnsi="Wingdings" w:hint="default"/>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 w15:restartNumberingAfterBreak="0">
    <w:nsid w:val="0F6E2C04"/>
    <w:multiLevelType w:val="hybridMultilevel"/>
    <w:tmpl w:val="67A002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D84AF0"/>
    <w:multiLevelType w:val="hybridMultilevel"/>
    <w:tmpl w:val="554487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8F55F6"/>
    <w:multiLevelType w:val="hybridMultilevel"/>
    <w:tmpl w:val="2BE8AC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156BCE"/>
    <w:multiLevelType w:val="hybridMultilevel"/>
    <w:tmpl w:val="0BE0DD5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BE306D0"/>
    <w:multiLevelType w:val="hybridMultilevel"/>
    <w:tmpl w:val="1F8EFFF4"/>
    <w:lvl w:ilvl="0" w:tplc="39B095B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1F03C54"/>
    <w:multiLevelType w:val="hybridMultilevel"/>
    <w:tmpl w:val="538451FC"/>
    <w:lvl w:ilvl="0" w:tplc="39B095B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40B3B"/>
    <w:multiLevelType w:val="hybridMultilevel"/>
    <w:tmpl w:val="33A4A6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833476"/>
    <w:multiLevelType w:val="hybridMultilevel"/>
    <w:tmpl w:val="63CE2B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D55EA"/>
    <w:multiLevelType w:val="hybridMultilevel"/>
    <w:tmpl w:val="83C458F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FA80E33"/>
    <w:multiLevelType w:val="hybridMultilevel"/>
    <w:tmpl w:val="BAE0D6D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514022A"/>
    <w:multiLevelType w:val="hybridMultilevel"/>
    <w:tmpl w:val="853E21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C051D2"/>
    <w:multiLevelType w:val="hybridMultilevel"/>
    <w:tmpl w:val="696CF19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B452D0"/>
    <w:multiLevelType w:val="hybridMultilevel"/>
    <w:tmpl w:val="7144DC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92257A"/>
    <w:multiLevelType w:val="hybridMultilevel"/>
    <w:tmpl w:val="F170EE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BD2770D"/>
    <w:multiLevelType w:val="hybridMultilevel"/>
    <w:tmpl w:val="FD183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EB10A8"/>
    <w:multiLevelType w:val="hybridMultilevel"/>
    <w:tmpl w:val="09FC45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2B2590"/>
    <w:multiLevelType w:val="hybridMultilevel"/>
    <w:tmpl w:val="8E4A2C9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87707B7"/>
    <w:multiLevelType w:val="hybridMultilevel"/>
    <w:tmpl w:val="5150D2A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660581"/>
    <w:multiLevelType w:val="hybridMultilevel"/>
    <w:tmpl w:val="A19EB0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6D5C12"/>
    <w:multiLevelType w:val="hybridMultilevel"/>
    <w:tmpl w:val="DC122CD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2F77963"/>
    <w:multiLevelType w:val="hybridMultilevel"/>
    <w:tmpl w:val="25CC7A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DF10A27"/>
    <w:multiLevelType w:val="hybridMultilevel"/>
    <w:tmpl w:val="3516FD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EB30E56"/>
    <w:multiLevelType w:val="hybridMultilevel"/>
    <w:tmpl w:val="42008E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EC55CA8"/>
    <w:multiLevelType w:val="hybridMultilevel"/>
    <w:tmpl w:val="BDBA12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4E7D55"/>
    <w:multiLevelType w:val="hybridMultilevel"/>
    <w:tmpl w:val="D49C068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3"/>
  </w:num>
  <w:num w:numId="3">
    <w:abstractNumId w:val="1"/>
  </w:num>
  <w:num w:numId="4">
    <w:abstractNumId w:val="16"/>
  </w:num>
  <w:num w:numId="5">
    <w:abstractNumId w:val="24"/>
  </w:num>
  <w:num w:numId="6">
    <w:abstractNumId w:val="22"/>
  </w:num>
  <w:num w:numId="7">
    <w:abstractNumId w:val="11"/>
  </w:num>
  <w:num w:numId="8">
    <w:abstractNumId w:val="18"/>
  </w:num>
  <w:num w:numId="9">
    <w:abstractNumId w:val="7"/>
  </w:num>
  <w:num w:numId="10">
    <w:abstractNumId w:val="19"/>
  </w:num>
  <w:num w:numId="11">
    <w:abstractNumId w:val="21"/>
  </w:num>
  <w:num w:numId="12">
    <w:abstractNumId w:val="13"/>
  </w:num>
  <w:num w:numId="13">
    <w:abstractNumId w:val="15"/>
  </w:num>
  <w:num w:numId="14">
    <w:abstractNumId w:val="2"/>
  </w:num>
  <w:num w:numId="15">
    <w:abstractNumId w:val="8"/>
  </w:num>
  <w:num w:numId="16">
    <w:abstractNumId w:val="14"/>
  </w:num>
  <w:num w:numId="17">
    <w:abstractNumId w:val="20"/>
  </w:num>
  <w:num w:numId="18">
    <w:abstractNumId w:val="12"/>
  </w:num>
  <w:num w:numId="19">
    <w:abstractNumId w:val="23"/>
  </w:num>
  <w:num w:numId="20">
    <w:abstractNumId w:val="10"/>
  </w:num>
  <w:num w:numId="21">
    <w:abstractNumId w:val="9"/>
  </w:num>
  <w:num w:numId="22">
    <w:abstractNumId w:val="25"/>
  </w:num>
  <w:num w:numId="23">
    <w:abstractNumId w:val="17"/>
  </w:num>
  <w:num w:numId="24">
    <w:abstractNumId w:val="4"/>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95"/>
    <w:rsid w:val="00011874"/>
    <w:rsid w:val="00022E7B"/>
    <w:rsid w:val="00096DCB"/>
    <w:rsid w:val="000E1093"/>
    <w:rsid w:val="000E648A"/>
    <w:rsid w:val="000E7114"/>
    <w:rsid w:val="00113BC8"/>
    <w:rsid w:val="0017190C"/>
    <w:rsid w:val="001C7E5F"/>
    <w:rsid w:val="001D5011"/>
    <w:rsid w:val="002926AB"/>
    <w:rsid w:val="002F7DC3"/>
    <w:rsid w:val="003D3026"/>
    <w:rsid w:val="003F1BF8"/>
    <w:rsid w:val="0049415E"/>
    <w:rsid w:val="004B3A4A"/>
    <w:rsid w:val="005534B4"/>
    <w:rsid w:val="00570F9A"/>
    <w:rsid w:val="00633198"/>
    <w:rsid w:val="00634117"/>
    <w:rsid w:val="006624CC"/>
    <w:rsid w:val="006A682E"/>
    <w:rsid w:val="006D61B7"/>
    <w:rsid w:val="00711358"/>
    <w:rsid w:val="007C6B3F"/>
    <w:rsid w:val="0082235E"/>
    <w:rsid w:val="009354C2"/>
    <w:rsid w:val="00A32BC8"/>
    <w:rsid w:val="00A42D4E"/>
    <w:rsid w:val="00B318F5"/>
    <w:rsid w:val="00B360C5"/>
    <w:rsid w:val="00B944E0"/>
    <w:rsid w:val="00BA567F"/>
    <w:rsid w:val="00BC6FA2"/>
    <w:rsid w:val="00C63376"/>
    <w:rsid w:val="00C87CE4"/>
    <w:rsid w:val="00D111B8"/>
    <w:rsid w:val="00D147BE"/>
    <w:rsid w:val="00D479E8"/>
    <w:rsid w:val="00DB5851"/>
    <w:rsid w:val="00DE7823"/>
    <w:rsid w:val="00E200EF"/>
    <w:rsid w:val="00E25E95"/>
    <w:rsid w:val="00EE0330"/>
    <w:rsid w:val="00EE39E6"/>
    <w:rsid w:val="00EF472D"/>
    <w:rsid w:val="00F90F71"/>
    <w:rsid w:val="00F9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A5A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1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5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318F5"/>
    <w:pPr>
      <w:ind w:leftChars="400" w:left="840"/>
    </w:pPr>
  </w:style>
  <w:style w:type="paragraph" w:styleId="a4">
    <w:name w:val="header"/>
    <w:basedOn w:val="a"/>
    <w:link w:val="a5"/>
    <w:uiPriority w:val="99"/>
    <w:unhideWhenUsed/>
    <w:rsid w:val="00634117"/>
    <w:pPr>
      <w:tabs>
        <w:tab w:val="center" w:pos="4252"/>
        <w:tab w:val="right" w:pos="8504"/>
      </w:tabs>
      <w:snapToGrid w:val="0"/>
    </w:pPr>
  </w:style>
  <w:style w:type="character" w:customStyle="1" w:styleId="a5">
    <w:name w:val="ヘッダー (文字)"/>
    <w:basedOn w:val="a0"/>
    <w:link w:val="a4"/>
    <w:uiPriority w:val="99"/>
    <w:rsid w:val="00634117"/>
  </w:style>
  <w:style w:type="paragraph" w:styleId="a6">
    <w:name w:val="footer"/>
    <w:basedOn w:val="a"/>
    <w:link w:val="a7"/>
    <w:uiPriority w:val="99"/>
    <w:unhideWhenUsed/>
    <w:rsid w:val="00634117"/>
    <w:pPr>
      <w:tabs>
        <w:tab w:val="center" w:pos="4252"/>
        <w:tab w:val="right" w:pos="8504"/>
      </w:tabs>
      <w:snapToGrid w:val="0"/>
    </w:pPr>
  </w:style>
  <w:style w:type="character" w:customStyle="1" w:styleId="a7">
    <w:name w:val="フッター (文字)"/>
    <w:basedOn w:val="a0"/>
    <w:link w:val="a6"/>
    <w:uiPriority w:val="99"/>
    <w:rsid w:val="0063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755">
      <w:bodyDiv w:val="1"/>
      <w:marLeft w:val="0"/>
      <w:marRight w:val="0"/>
      <w:marTop w:val="0"/>
      <w:marBottom w:val="0"/>
      <w:divBdr>
        <w:top w:val="none" w:sz="0" w:space="0" w:color="auto"/>
        <w:left w:val="none" w:sz="0" w:space="0" w:color="auto"/>
        <w:bottom w:val="none" w:sz="0" w:space="0" w:color="auto"/>
        <w:right w:val="none" w:sz="0" w:space="0" w:color="auto"/>
      </w:divBdr>
    </w:div>
    <w:div w:id="77412769">
      <w:bodyDiv w:val="1"/>
      <w:marLeft w:val="0"/>
      <w:marRight w:val="0"/>
      <w:marTop w:val="0"/>
      <w:marBottom w:val="0"/>
      <w:divBdr>
        <w:top w:val="none" w:sz="0" w:space="0" w:color="auto"/>
        <w:left w:val="none" w:sz="0" w:space="0" w:color="auto"/>
        <w:bottom w:val="none" w:sz="0" w:space="0" w:color="auto"/>
        <w:right w:val="none" w:sz="0" w:space="0" w:color="auto"/>
      </w:divBdr>
    </w:div>
    <w:div w:id="138351873">
      <w:bodyDiv w:val="1"/>
      <w:marLeft w:val="0"/>
      <w:marRight w:val="0"/>
      <w:marTop w:val="0"/>
      <w:marBottom w:val="0"/>
      <w:divBdr>
        <w:top w:val="none" w:sz="0" w:space="0" w:color="auto"/>
        <w:left w:val="none" w:sz="0" w:space="0" w:color="auto"/>
        <w:bottom w:val="none" w:sz="0" w:space="0" w:color="auto"/>
        <w:right w:val="none" w:sz="0" w:space="0" w:color="auto"/>
      </w:divBdr>
    </w:div>
    <w:div w:id="149372072">
      <w:bodyDiv w:val="1"/>
      <w:marLeft w:val="0"/>
      <w:marRight w:val="0"/>
      <w:marTop w:val="0"/>
      <w:marBottom w:val="0"/>
      <w:divBdr>
        <w:top w:val="none" w:sz="0" w:space="0" w:color="auto"/>
        <w:left w:val="none" w:sz="0" w:space="0" w:color="auto"/>
        <w:bottom w:val="none" w:sz="0" w:space="0" w:color="auto"/>
        <w:right w:val="none" w:sz="0" w:space="0" w:color="auto"/>
      </w:divBdr>
    </w:div>
    <w:div w:id="232618686">
      <w:bodyDiv w:val="1"/>
      <w:marLeft w:val="0"/>
      <w:marRight w:val="0"/>
      <w:marTop w:val="0"/>
      <w:marBottom w:val="0"/>
      <w:divBdr>
        <w:top w:val="none" w:sz="0" w:space="0" w:color="auto"/>
        <w:left w:val="none" w:sz="0" w:space="0" w:color="auto"/>
        <w:bottom w:val="none" w:sz="0" w:space="0" w:color="auto"/>
        <w:right w:val="none" w:sz="0" w:space="0" w:color="auto"/>
      </w:divBdr>
    </w:div>
    <w:div w:id="372773238">
      <w:bodyDiv w:val="1"/>
      <w:marLeft w:val="0"/>
      <w:marRight w:val="0"/>
      <w:marTop w:val="0"/>
      <w:marBottom w:val="0"/>
      <w:divBdr>
        <w:top w:val="none" w:sz="0" w:space="0" w:color="auto"/>
        <w:left w:val="none" w:sz="0" w:space="0" w:color="auto"/>
        <w:bottom w:val="none" w:sz="0" w:space="0" w:color="auto"/>
        <w:right w:val="none" w:sz="0" w:space="0" w:color="auto"/>
      </w:divBdr>
    </w:div>
    <w:div w:id="452673785">
      <w:bodyDiv w:val="1"/>
      <w:marLeft w:val="0"/>
      <w:marRight w:val="0"/>
      <w:marTop w:val="0"/>
      <w:marBottom w:val="0"/>
      <w:divBdr>
        <w:top w:val="none" w:sz="0" w:space="0" w:color="auto"/>
        <w:left w:val="none" w:sz="0" w:space="0" w:color="auto"/>
        <w:bottom w:val="none" w:sz="0" w:space="0" w:color="auto"/>
        <w:right w:val="none" w:sz="0" w:space="0" w:color="auto"/>
      </w:divBdr>
    </w:div>
    <w:div w:id="501504508">
      <w:bodyDiv w:val="1"/>
      <w:marLeft w:val="0"/>
      <w:marRight w:val="0"/>
      <w:marTop w:val="0"/>
      <w:marBottom w:val="0"/>
      <w:divBdr>
        <w:top w:val="none" w:sz="0" w:space="0" w:color="auto"/>
        <w:left w:val="none" w:sz="0" w:space="0" w:color="auto"/>
        <w:bottom w:val="none" w:sz="0" w:space="0" w:color="auto"/>
        <w:right w:val="none" w:sz="0" w:space="0" w:color="auto"/>
      </w:divBdr>
    </w:div>
    <w:div w:id="545483014">
      <w:bodyDiv w:val="1"/>
      <w:marLeft w:val="0"/>
      <w:marRight w:val="0"/>
      <w:marTop w:val="0"/>
      <w:marBottom w:val="0"/>
      <w:divBdr>
        <w:top w:val="none" w:sz="0" w:space="0" w:color="auto"/>
        <w:left w:val="none" w:sz="0" w:space="0" w:color="auto"/>
        <w:bottom w:val="none" w:sz="0" w:space="0" w:color="auto"/>
        <w:right w:val="none" w:sz="0" w:space="0" w:color="auto"/>
      </w:divBdr>
    </w:div>
    <w:div w:id="801654575">
      <w:bodyDiv w:val="1"/>
      <w:marLeft w:val="0"/>
      <w:marRight w:val="0"/>
      <w:marTop w:val="0"/>
      <w:marBottom w:val="0"/>
      <w:divBdr>
        <w:top w:val="none" w:sz="0" w:space="0" w:color="auto"/>
        <w:left w:val="none" w:sz="0" w:space="0" w:color="auto"/>
        <w:bottom w:val="none" w:sz="0" w:space="0" w:color="auto"/>
        <w:right w:val="none" w:sz="0" w:space="0" w:color="auto"/>
      </w:divBdr>
    </w:div>
    <w:div w:id="846361303">
      <w:bodyDiv w:val="1"/>
      <w:marLeft w:val="0"/>
      <w:marRight w:val="0"/>
      <w:marTop w:val="0"/>
      <w:marBottom w:val="0"/>
      <w:divBdr>
        <w:top w:val="none" w:sz="0" w:space="0" w:color="auto"/>
        <w:left w:val="none" w:sz="0" w:space="0" w:color="auto"/>
        <w:bottom w:val="none" w:sz="0" w:space="0" w:color="auto"/>
        <w:right w:val="none" w:sz="0" w:space="0" w:color="auto"/>
      </w:divBdr>
    </w:div>
    <w:div w:id="853033659">
      <w:bodyDiv w:val="1"/>
      <w:marLeft w:val="0"/>
      <w:marRight w:val="0"/>
      <w:marTop w:val="0"/>
      <w:marBottom w:val="0"/>
      <w:divBdr>
        <w:top w:val="none" w:sz="0" w:space="0" w:color="auto"/>
        <w:left w:val="none" w:sz="0" w:space="0" w:color="auto"/>
        <w:bottom w:val="none" w:sz="0" w:space="0" w:color="auto"/>
        <w:right w:val="none" w:sz="0" w:space="0" w:color="auto"/>
      </w:divBdr>
    </w:div>
    <w:div w:id="940332046">
      <w:bodyDiv w:val="1"/>
      <w:marLeft w:val="0"/>
      <w:marRight w:val="0"/>
      <w:marTop w:val="0"/>
      <w:marBottom w:val="0"/>
      <w:divBdr>
        <w:top w:val="none" w:sz="0" w:space="0" w:color="auto"/>
        <w:left w:val="none" w:sz="0" w:space="0" w:color="auto"/>
        <w:bottom w:val="none" w:sz="0" w:space="0" w:color="auto"/>
        <w:right w:val="none" w:sz="0" w:space="0" w:color="auto"/>
      </w:divBdr>
    </w:div>
    <w:div w:id="983856377">
      <w:bodyDiv w:val="1"/>
      <w:marLeft w:val="0"/>
      <w:marRight w:val="0"/>
      <w:marTop w:val="0"/>
      <w:marBottom w:val="0"/>
      <w:divBdr>
        <w:top w:val="none" w:sz="0" w:space="0" w:color="auto"/>
        <w:left w:val="none" w:sz="0" w:space="0" w:color="auto"/>
        <w:bottom w:val="none" w:sz="0" w:space="0" w:color="auto"/>
        <w:right w:val="none" w:sz="0" w:space="0" w:color="auto"/>
      </w:divBdr>
    </w:div>
    <w:div w:id="1017655358">
      <w:bodyDiv w:val="1"/>
      <w:marLeft w:val="0"/>
      <w:marRight w:val="0"/>
      <w:marTop w:val="0"/>
      <w:marBottom w:val="0"/>
      <w:divBdr>
        <w:top w:val="none" w:sz="0" w:space="0" w:color="auto"/>
        <w:left w:val="none" w:sz="0" w:space="0" w:color="auto"/>
        <w:bottom w:val="none" w:sz="0" w:space="0" w:color="auto"/>
        <w:right w:val="none" w:sz="0" w:space="0" w:color="auto"/>
      </w:divBdr>
    </w:div>
    <w:div w:id="1024870281">
      <w:bodyDiv w:val="1"/>
      <w:marLeft w:val="0"/>
      <w:marRight w:val="0"/>
      <w:marTop w:val="0"/>
      <w:marBottom w:val="0"/>
      <w:divBdr>
        <w:top w:val="none" w:sz="0" w:space="0" w:color="auto"/>
        <w:left w:val="none" w:sz="0" w:space="0" w:color="auto"/>
        <w:bottom w:val="none" w:sz="0" w:space="0" w:color="auto"/>
        <w:right w:val="none" w:sz="0" w:space="0" w:color="auto"/>
      </w:divBdr>
    </w:div>
    <w:div w:id="1035230964">
      <w:bodyDiv w:val="1"/>
      <w:marLeft w:val="0"/>
      <w:marRight w:val="0"/>
      <w:marTop w:val="0"/>
      <w:marBottom w:val="0"/>
      <w:divBdr>
        <w:top w:val="none" w:sz="0" w:space="0" w:color="auto"/>
        <w:left w:val="none" w:sz="0" w:space="0" w:color="auto"/>
        <w:bottom w:val="none" w:sz="0" w:space="0" w:color="auto"/>
        <w:right w:val="none" w:sz="0" w:space="0" w:color="auto"/>
      </w:divBdr>
    </w:div>
    <w:div w:id="1039866164">
      <w:bodyDiv w:val="1"/>
      <w:marLeft w:val="0"/>
      <w:marRight w:val="0"/>
      <w:marTop w:val="0"/>
      <w:marBottom w:val="0"/>
      <w:divBdr>
        <w:top w:val="none" w:sz="0" w:space="0" w:color="auto"/>
        <w:left w:val="none" w:sz="0" w:space="0" w:color="auto"/>
        <w:bottom w:val="none" w:sz="0" w:space="0" w:color="auto"/>
        <w:right w:val="none" w:sz="0" w:space="0" w:color="auto"/>
      </w:divBdr>
    </w:div>
    <w:div w:id="1083797532">
      <w:bodyDiv w:val="1"/>
      <w:marLeft w:val="0"/>
      <w:marRight w:val="0"/>
      <w:marTop w:val="0"/>
      <w:marBottom w:val="0"/>
      <w:divBdr>
        <w:top w:val="none" w:sz="0" w:space="0" w:color="auto"/>
        <w:left w:val="none" w:sz="0" w:space="0" w:color="auto"/>
        <w:bottom w:val="none" w:sz="0" w:space="0" w:color="auto"/>
        <w:right w:val="none" w:sz="0" w:space="0" w:color="auto"/>
      </w:divBdr>
    </w:div>
    <w:div w:id="1128160388">
      <w:bodyDiv w:val="1"/>
      <w:marLeft w:val="0"/>
      <w:marRight w:val="0"/>
      <w:marTop w:val="0"/>
      <w:marBottom w:val="0"/>
      <w:divBdr>
        <w:top w:val="none" w:sz="0" w:space="0" w:color="auto"/>
        <w:left w:val="none" w:sz="0" w:space="0" w:color="auto"/>
        <w:bottom w:val="none" w:sz="0" w:space="0" w:color="auto"/>
        <w:right w:val="none" w:sz="0" w:space="0" w:color="auto"/>
      </w:divBdr>
    </w:div>
    <w:div w:id="1337928225">
      <w:bodyDiv w:val="1"/>
      <w:marLeft w:val="0"/>
      <w:marRight w:val="0"/>
      <w:marTop w:val="0"/>
      <w:marBottom w:val="0"/>
      <w:divBdr>
        <w:top w:val="none" w:sz="0" w:space="0" w:color="auto"/>
        <w:left w:val="none" w:sz="0" w:space="0" w:color="auto"/>
        <w:bottom w:val="none" w:sz="0" w:space="0" w:color="auto"/>
        <w:right w:val="none" w:sz="0" w:space="0" w:color="auto"/>
      </w:divBdr>
    </w:div>
    <w:div w:id="1504977153">
      <w:bodyDiv w:val="1"/>
      <w:marLeft w:val="0"/>
      <w:marRight w:val="0"/>
      <w:marTop w:val="0"/>
      <w:marBottom w:val="0"/>
      <w:divBdr>
        <w:top w:val="none" w:sz="0" w:space="0" w:color="auto"/>
        <w:left w:val="none" w:sz="0" w:space="0" w:color="auto"/>
        <w:bottom w:val="none" w:sz="0" w:space="0" w:color="auto"/>
        <w:right w:val="none" w:sz="0" w:space="0" w:color="auto"/>
      </w:divBdr>
    </w:div>
    <w:div w:id="1522670835">
      <w:bodyDiv w:val="1"/>
      <w:marLeft w:val="0"/>
      <w:marRight w:val="0"/>
      <w:marTop w:val="0"/>
      <w:marBottom w:val="0"/>
      <w:divBdr>
        <w:top w:val="none" w:sz="0" w:space="0" w:color="auto"/>
        <w:left w:val="none" w:sz="0" w:space="0" w:color="auto"/>
        <w:bottom w:val="none" w:sz="0" w:space="0" w:color="auto"/>
        <w:right w:val="none" w:sz="0" w:space="0" w:color="auto"/>
      </w:divBdr>
    </w:div>
    <w:div w:id="1617057890">
      <w:bodyDiv w:val="1"/>
      <w:marLeft w:val="0"/>
      <w:marRight w:val="0"/>
      <w:marTop w:val="0"/>
      <w:marBottom w:val="0"/>
      <w:divBdr>
        <w:top w:val="none" w:sz="0" w:space="0" w:color="auto"/>
        <w:left w:val="none" w:sz="0" w:space="0" w:color="auto"/>
        <w:bottom w:val="none" w:sz="0" w:space="0" w:color="auto"/>
        <w:right w:val="none" w:sz="0" w:space="0" w:color="auto"/>
      </w:divBdr>
    </w:div>
    <w:div w:id="1642080428">
      <w:bodyDiv w:val="1"/>
      <w:marLeft w:val="0"/>
      <w:marRight w:val="0"/>
      <w:marTop w:val="0"/>
      <w:marBottom w:val="0"/>
      <w:divBdr>
        <w:top w:val="none" w:sz="0" w:space="0" w:color="auto"/>
        <w:left w:val="none" w:sz="0" w:space="0" w:color="auto"/>
        <w:bottom w:val="none" w:sz="0" w:space="0" w:color="auto"/>
        <w:right w:val="none" w:sz="0" w:space="0" w:color="auto"/>
      </w:divBdr>
    </w:div>
    <w:div w:id="1696611170">
      <w:bodyDiv w:val="1"/>
      <w:marLeft w:val="0"/>
      <w:marRight w:val="0"/>
      <w:marTop w:val="0"/>
      <w:marBottom w:val="0"/>
      <w:divBdr>
        <w:top w:val="none" w:sz="0" w:space="0" w:color="auto"/>
        <w:left w:val="none" w:sz="0" w:space="0" w:color="auto"/>
        <w:bottom w:val="none" w:sz="0" w:space="0" w:color="auto"/>
        <w:right w:val="none" w:sz="0" w:space="0" w:color="auto"/>
      </w:divBdr>
    </w:div>
    <w:div w:id="1718429221">
      <w:bodyDiv w:val="1"/>
      <w:marLeft w:val="0"/>
      <w:marRight w:val="0"/>
      <w:marTop w:val="0"/>
      <w:marBottom w:val="0"/>
      <w:divBdr>
        <w:top w:val="none" w:sz="0" w:space="0" w:color="auto"/>
        <w:left w:val="none" w:sz="0" w:space="0" w:color="auto"/>
        <w:bottom w:val="none" w:sz="0" w:space="0" w:color="auto"/>
        <w:right w:val="none" w:sz="0" w:space="0" w:color="auto"/>
      </w:divBdr>
    </w:div>
    <w:div w:id="1905407952">
      <w:bodyDiv w:val="1"/>
      <w:marLeft w:val="0"/>
      <w:marRight w:val="0"/>
      <w:marTop w:val="0"/>
      <w:marBottom w:val="0"/>
      <w:divBdr>
        <w:top w:val="none" w:sz="0" w:space="0" w:color="auto"/>
        <w:left w:val="none" w:sz="0" w:space="0" w:color="auto"/>
        <w:bottom w:val="none" w:sz="0" w:space="0" w:color="auto"/>
        <w:right w:val="none" w:sz="0" w:space="0" w:color="auto"/>
      </w:divBdr>
    </w:div>
    <w:div w:id="2051495592">
      <w:bodyDiv w:val="1"/>
      <w:marLeft w:val="0"/>
      <w:marRight w:val="0"/>
      <w:marTop w:val="0"/>
      <w:marBottom w:val="0"/>
      <w:divBdr>
        <w:top w:val="none" w:sz="0" w:space="0" w:color="auto"/>
        <w:left w:val="none" w:sz="0" w:space="0" w:color="auto"/>
        <w:bottom w:val="none" w:sz="0" w:space="0" w:color="auto"/>
        <w:right w:val="none" w:sz="0" w:space="0" w:color="auto"/>
      </w:divBdr>
    </w:div>
    <w:div w:id="2113629047">
      <w:bodyDiv w:val="1"/>
      <w:marLeft w:val="0"/>
      <w:marRight w:val="0"/>
      <w:marTop w:val="0"/>
      <w:marBottom w:val="0"/>
      <w:divBdr>
        <w:top w:val="none" w:sz="0" w:space="0" w:color="auto"/>
        <w:left w:val="none" w:sz="0" w:space="0" w:color="auto"/>
        <w:bottom w:val="none" w:sz="0" w:space="0" w:color="auto"/>
        <w:right w:val="none" w:sz="0" w:space="0" w:color="auto"/>
      </w:divBdr>
    </w:div>
    <w:div w:id="2146310555">
      <w:bodyDiv w:val="1"/>
      <w:marLeft w:val="0"/>
      <w:marRight w:val="0"/>
      <w:marTop w:val="0"/>
      <w:marBottom w:val="0"/>
      <w:divBdr>
        <w:top w:val="none" w:sz="0" w:space="0" w:color="auto"/>
        <w:left w:val="none" w:sz="0" w:space="0" w:color="auto"/>
        <w:bottom w:val="none" w:sz="0" w:space="0" w:color="auto"/>
        <w:right w:val="none" w:sz="0" w:space="0" w:color="auto"/>
      </w:divBdr>
    </w:div>
    <w:div w:id="21463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読み上げ用ファイル（改定案の概要）</dc:title>
  <dc:subject/>
  <dc:creator/>
  <cp:keywords/>
  <dc:description/>
  <cp:lastModifiedBy/>
  <cp:revision>1</cp:revision>
  <dcterms:created xsi:type="dcterms:W3CDTF">2026-01-19T07:30:00Z</dcterms:created>
  <dcterms:modified xsi:type="dcterms:W3CDTF">2026-01-27T01:56:00Z</dcterms:modified>
</cp:coreProperties>
</file>