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2EB9D" w14:textId="77777777" w:rsidR="00E46815" w:rsidRDefault="00AD5197" w:rsidP="00E46815">
      <w:pPr>
        <w:jc w:val="center"/>
      </w:pPr>
      <w:r>
        <w:rPr>
          <w:rFonts w:hint="eastAsia"/>
        </w:rPr>
        <w:t>「国家戦略特別区域外国人滞在施設経営事業に係る処分基準に基づく行政処分等取扱要領（案）」に対する</w:t>
      </w:r>
    </w:p>
    <w:p w14:paraId="51D604E7" w14:textId="0AB5DC59" w:rsidR="006F5D26" w:rsidRDefault="00AD5197" w:rsidP="00E46815">
      <w:pPr>
        <w:ind w:leftChars="810" w:left="1701"/>
      </w:pPr>
      <w:r>
        <w:rPr>
          <w:rFonts w:hint="eastAsia"/>
        </w:rPr>
        <w:t>府民意見等と</w:t>
      </w:r>
      <w:r w:rsidR="00E46815">
        <w:rPr>
          <w:rFonts w:hint="eastAsia"/>
        </w:rPr>
        <w:t>大阪府の</w:t>
      </w:r>
      <w:r>
        <w:rPr>
          <w:rFonts w:hint="eastAsia"/>
        </w:rPr>
        <w:t>考え方について</w:t>
      </w:r>
    </w:p>
    <w:p w14:paraId="11953FFF" w14:textId="337940D1" w:rsidR="00AD5197" w:rsidRDefault="00AD5197">
      <w:r>
        <w:rPr>
          <w:rFonts w:hint="eastAsia"/>
        </w:rPr>
        <w:t>【募集期間】令和７年10月</w:t>
      </w:r>
      <w:r w:rsidR="00E6798D">
        <w:rPr>
          <w:rFonts w:hint="eastAsia"/>
        </w:rPr>
        <w:t>17日（金曜日）から令和７年11月15日（土曜日）まで</w:t>
      </w:r>
    </w:p>
    <w:p w14:paraId="7D6586F7" w14:textId="448F771E" w:rsidR="00AD5197" w:rsidRDefault="00AD5197" w:rsidP="00370C08">
      <w:pPr>
        <w:ind w:left="1260" w:hangingChars="600" w:hanging="1260"/>
      </w:pPr>
      <w:r>
        <w:rPr>
          <w:rFonts w:hint="eastAsia"/>
        </w:rPr>
        <w:t>【募集方法】「大阪府パブリックコメント手続実施要綱」に基づき、電子申請、郵送、ファクシミリのいずれかにより</w:t>
      </w:r>
      <w:r w:rsidR="00C143A8">
        <w:rPr>
          <w:rFonts w:hint="eastAsia"/>
        </w:rPr>
        <w:t>ご</w:t>
      </w:r>
      <w:r>
        <w:rPr>
          <w:rFonts w:hint="eastAsia"/>
        </w:rPr>
        <w:t>意見等を提出いただく方法で募集しました。</w:t>
      </w:r>
    </w:p>
    <w:p w14:paraId="2AAA5B73" w14:textId="508DBF24" w:rsidR="00AD5197" w:rsidRDefault="00AD5197">
      <w:r>
        <w:rPr>
          <w:rFonts w:hint="eastAsia"/>
        </w:rPr>
        <w:t>【意見件数】</w:t>
      </w:r>
      <w:r w:rsidR="00583151">
        <w:rPr>
          <w:rFonts w:hint="eastAsia"/>
        </w:rPr>
        <w:t>４</w:t>
      </w:r>
      <w:r>
        <w:rPr>
          <w:rFonts w:hint="eastAsia"/>
        </w:rPr>
        <w:t>者から</w:t>
      </w:r>
      <w:r w:rsidR="00583151">
        <w:rPr>
          <w:rFonts w:hint="eastAsia"/>
        </w:rPr>
        <w:t>９</w:t>
      </w:r>
      <w:r>
        <w:rPr>
          <w:rFonts w:hint="eastAsia"/>
        </w:rPr>
        <w:t>件の意見</w:t>
      </w:r>
      <w:r w:rsidR="00C143A8">
        <w:rPr>
          <w:rFonts w:hint="eastAsia"/>
        </w:rPr>
        <w:t>（本意見</w:t>
      </w:r>
      <w:r w:rsidR="00FC2403">
        <w:rPr>
          <w:rFonts w:hint="eastAsia"/>
        </w:rPr>
        <w:t>募集の</w:t>
      </w:r>
      <w:r w:rsidR="00C143A8">
        <w:rPr>
          <w:rFonts w:hint="eastAsia"/>
        </w:rPr>
        <w:t>趣旨と関係のない意見を除く。）</w:t>
      </w:r>
    </w:p>
    <w:p w14:paraId="34E8E873" w14:textId="662A4689" w:rsidR="00E6798D" w:rsidRDefault="00E6798D"/>
    <w:p w14:paraId="7EE0EFE6" w14:textId="60337F02" w:rsidR="00E6798D" w:rsidRDefault="00E6798D">
      <w:r>
        <w:rPr>
          <w:rFonts w:hint="eastAsia"/>
        </w:rPr>
        <w:t>・寄せられた</w:t>
      </w:r>
      <w:r w:rsidR="00C143A8">
        <w:rPr>
          <w:rFonts w:hint="eastAsia"/>
        </w:rPr>
        <w:t>ご</w:t>
      </w:r>
      <w:r>
        <w:rPr>
          <w:rFonts w:hint="eastAsia"/>
        </w:rPr>
        <w:t>意見の概要、</w:t>
      </w:r>
      <w:r w:rsidR="00C143A8">
        <w:rPr>
          <w:rFonts w:hint="eastAsia"/>
        </w:rPr>
        <w:t>ご</w:t>
      </w:r>
      <w:r>
        <w:rPr>
          <w:rFonts w:hint="eastAsia"/>
        </w:rPr>
        <w:t>意見等に対する考え方は以下の通りです。</w:t>
      </w:r>
    </w:p>
    <w:p w14:paraId="3BDBA3BD" w14:textId="1DF6DD64" w:rsidR="00E6798D" w:rsidRDefault="00E6798D" w:rsidP="009B5D41">
      <w:pPr>
        <w:ind w:left="210" w:hangingChars="100" w:hanging="210"/>
      </w:pPr>
      <w:r>
        <w:rPr>
          <w:rFonts w:hint="eastAsia"/>
        </w:rPr>
        <w:t>・</w:t>
      </w:r>
      <w:r w:rsidR="00C143A8">
        <w:rPr>
          <w:rFonts w:hint="eastAsia"/>
        </w:rPr>
        <w:t>ご</w:t>
      </w:r>
      <w:r>
        <w:rPr>
          <w:rFonts w:hint="eastAsia"/>
        </w:rPr>
        <w:t>意見等は基本的に原文のまま掲載していますが、個人や団体名を特定又は類推できる情報の削除や、趣旨を損なわない範囲で一部要約している部分があります。</w:t>
      </w:r>
    </w:p>
    <w:tbl>
      <w:tblPr>
        <w:tblStyle w:val="a3"/>
        <w:tblW w:w="0" w:type="auto"/>
        <w:jc w:val="center"/>
        <w:tblLook w:val="04A0" w:firstRow="1" w:lastRow="0" w:firstColumn="1" w:lastColumn="0" w:noHBand="0" w:noVBand="1"/>
      </w:tblPr>
      <w:tblGrid>
        <w:gridCol w:w="426"/>
        <w:gridCol w:w="6358"/>
        <w:gridCol w:w="6358"/>
      </w:tblGrid>
      <w:tr w:rsidR="00E6798D" w:rsidRPr="00C143A8" w14:paraId="66B53F40" w14:textId="77777777" w:rsidTr="005A1AF3">
        <w:trPr>
          <w:jc w:val="center"/>
        </w:trPr>
        <w:tc>
          <w:tcPr>
            <w:tcW w:w="426" w:type="dxa"/>
          </w:tcPr>
          <w:p w14:paraId="673A4CAA" w14:textId="77777777" w:rsidR="00E6798D" w:rsidRPr="00C143A8" w:rsidRDefault="00E6798D">
            <w:pPr>
              <w:rPr>
                <w:rFonts w:asciiTheme="minorEastAsia" w:hAnsiTheme="minorEastAsia"/>
                <w:sz w:val="20"/>
                <w:szCs w:val="20"/>
              </w:rPr>
            </w:pPr>
          </w:p>
        </w:tc>
        <w:tc>
          <w:tcPr>
            <w:tcW w:w="6358" w:type="dxa"/>
            <w:vAlign w:val="center"/>
          </w:tcPr>
          <w:p w14:paraId="429BF0CC" w14:textId="2626011D" w:rsidR="00E6798D" w:rsidRPr="00C143A8" w:rsidRDefault="00C143A8" w:rsidP="00E6798D">
            <w:pPr>
              <w:jc w:val="center"/>
              <w:rPr>
                <w:rFonts w:asciiTheme="minorEastAsia" w:hAnsiTheme="minorEastAsia"/>
                <w:sz w:val="20"/>
                <w:szCs w:val="20"/>
              </w:rPr>
            </w:pPr>
            <w:r w:rsidRPr="00C143A8">
              <w:rPr>
                <w:rFonts w:asciiTheme="minorEastAsia" w:hAnsiTheme="minorEastAsia" w:hint="eastAsia"/>
                <w:sz w:val="20"/>
                <w:szCs w:val="20"/>
              </w:rPr>
              <w:t>ご</w:t>
            </w:r>
            <w:r w:rsidR="00E6798D" w:rsidRPr="00C143A8">
              <w:rPr>
                <w:rFonts w:asciiTheme="minorEastAsia" w:hAnsiTheme="minorEastAsia" w:hint="eastAsia"/>
                <w:sz w:val="20"/>
                <w:szCs w:val="20"/>
              </w:rPr>
              <w:t>意見の要旨</w:t>
            </w:r>
          </w:p>
        </w:tc>
        <w:tc>
          <w:tcPr>
            <w:tcW w:w="6358" w:type="dxa"/>
            <w:vAlign w:val="center"/>
          </w:tcPr>
          <w:p w14:paraId="7371902F" w14:textId="7F9A66E9" w:rsidR="00E6798D" w:rsidRPr="00C143A8" w:rsidRDefault="00E6798D" w:rsidP="00E6798D">
            <w:pPr>
              <w:jc w:val="center"/>
              <w:rPr>
                <w:rFonts w:asciiTheme="minorEastAsia" w:hAnsiTheme="minorEastAsia"/>
                <w:sz w:val="20"/>
                <w:szCs w:val="20"/>
              </w:rPr>
            </w:pPr>
            <w:r w:rsidRPr="00C143A8">
              <w:rPr>
                <w:rFonts w:asciiTheme="minorEastAsia" w:hAnsiTheme="minorEastAsia" w:hint="eastAsia"/>
                <w:sz w:val="20"/>
                <w:szCs w:val="20"/>
              </w:rPr>
              <w:t>府の考え方</w:t>
            </w:r>
          </w:p>
        </w:tc>
      </w:tr>
      <w:tr w:rsidR="00C143A8" w:rsidRPr="00C143A8" w14:paraId="3E37C94B" w14:textId="77777777" w:rsidTr="00A90B92">
        <w:trPr>
          <w:trHeight w:val="2815"/>
          <w:jc w:val="center"/>
        </w:trPr>
        <w:tc>
          <w:tcPr>
            <w:tcW w:w="426" w:type="dxa"/>
          </w:tcPr>
          <w:p w14:paraId="6A6AA9EA" w14:textId="04414CF8" w:rsidR="00C143A8" w:rsidRPr="00C143A8" w:rsidRDefault="00C143A8" w:rsidP="00C143A8">
            <w:pPr>
              <w:rPr>
                <w:rFonts w:asciiTheme="minorEastAsia" w:hAnsiTheme="minorEastAsia"/>
                <w:sz w:val="20"/>
                <w:szCs w:val="20"/>
              </w:rPr>
            </w:pPr>
            <w:r w:rsidRPr="00C143A8">
              <w:rPr>
                <w:rFonts w:asciiTheme="minorEastAsia" w:hAnsiTheme="minorEastAsia" w:hint="eastAsia"/>
                <w:sz w:val="20"/>
                <w:szCs w:val="20"/>
              </w:rPr>
              <w:t>１</w:t>
            </w:r>
          </w:p>
        </w:tc>
        <w:tc>
          <w:tcPr>
            <w:tcW w:w="6358" w:type="dxa"/>
            <w:tcBorders>
              <w:top w:val="single" w:sz="4" w:space="0" w:color="auto"/>
              <w:left w:val="single" w:sz="4" w:space="0" w:color="auto"/>
              <w:bottom w:val="single" w:sz="4" w:space="0" w:color="auto"/>
              <w:right w:val="single" w:sz="4" w:space="0" w:color="auto"/>
            </w:tcBorders>
            <w:shd w:val="clear" w:color="auto" w:fill="auto"/>
          </w:tcPr>
          <w:p w14:paraId="19056461" w14:textId="19987B81" w:rsidR="00C143A8" w:rsidRPr="00C143A8" w:rsidRDefault="00C143A8" w:rsidP="00C143A8">
            <w:pPr>
              <w:spacing w:line="240" w:lineRule="exact"/>
              <w:rPr>
                <w:rFonts w:asciiTheme="minorEastAsia" w:hAnsiTheme="minorEastAsia"/>
                <w:sz w:val="20"/>
                <w:szCs w:val="20"/>
              </w:rPr>
            </w:pPr>
            <w:r w:rsidRPr="00C143A8">
              <w:rPr>
                <w:rFonts w:asciiTheme="minorEastAsia" w:hAnsiTheme="minorEastAsia" w:hint="eastAsia"/>
                <w:color w:val="000000"/>
                <w:sz w:val="20"/>
                <w:szCs w:val="20"/>
              </w:rPr>
              <w:t>認定区域計画の変更により、従来営業可能であった施設が「用途地域の変更」により認定対象外となる場合というのは事業者の違反行為や不誠実な運営によるものではなく、行政の政策判断による制度的変更にほかなりません。</w:t>
            </w:r>
            <w:r w:rsidRPr="00C143A8">
              <w:rPr>
                <w:rFonts w:asciiTheme="minorEastAsia" w:hAnsiTheme="minorEastAsia" w:hint="eastAsia"/>
                <w:color w:val="000000"/>
                <w:sz w:val="20"/>
                <w:szCs w:val="20"/>
              </w:rPr>
              <w:br/>
              <w:t>したがって、これを直ちに「特定認定の取消し（ア）」により一律に失効させることは、信頼保護原則・既得権保護の観点から不当であると考えます。</w:t>
            </w:r>
            <w:r w:rsidRPr="00C143A8">
              <w:rPr>
                <w:rFonts w:asciiTheme="minorEastAsia" w:hAnsiTheme="minorEastAsia" w:hint="eastAsia"/>
                <w:color w:val="000000"/>
                <w:sz w:val="20"/>
                <w:szCs w:val="20"/>
              </w:rPr>
              <w:br/>
              <w:t>行政が認定した制度のもとで誠実に運営してきた事業者を　制度変更によって排除することは、民間の投資意欲や雇用維持に対する信頼を失わせる結果を招きます。このような事態は、今後の公民連携事業全般にも悪影響を及ぼす恐れがございます。</w:t>
            </w:r>
          </w:p>
        </w:tc>
        <w:tc>
          <w:tcPr>
            <w:tcW w:w="6358" w:type="dxa"/>
            <w:tcBorders>
              <w:top w:val="single" w:sz="4" w:space="0" w:color="auto"/>
              <w:left w:val="nil"/>
              <w:bottom w:val="single" w:sz="4" w:space="0" w:color="auto"/>
              <w:right w:val="single" w:sz="4" w:space="0" w:color="auto"/>
            </w:tcBorders>
            <w:shd w:val="clear" w:color="auto" w:fill="auto"/>
          </w:tcPr>
          <w:p w14:paraId="4E367F72" w14:textId="77777777" w:rsidR="00481B0E" w:rsidRDefault="00C143A8" w:rsidP="00C143A8">
            <w:pPr>
              <w:spacing w:line="240" w:lineRule="exact"/>
              <w:rPr>
                <w:rFonts w:asciiTheme="minorEastAsia" w:hAnsiTheme="minorEastAsia"/>
                <w:color w:val="000000"/>
                <w:sz w:val="20"/>
                <w:szCs w:val="20"/>
              </w:rPr>
            </w:pPr>
            <w:r w:rsidRPr="00481B0E">
              <w:rPr>
                <w:rFonts w:asciiTheme="minorEastAsia" w:hAnsiTheme="minorEastAsia" w:hint="eastAsia"/>
                <w:color w:val="000000"/>
                <w:spacing w:val="6"/>
                <w:kern w:val="0"/>
                <w:sz w:val="20"/>
                <w:szCs w:val="20"/>
                <w:fitText w:val="6100" w:id="-609472767"/>
              </w:rPr>
              <w:t>国家戦略特別区域法（平成25年法律第107号）第13条第13</w:t>
            </w:r>
            <w:r w:rsidRPr="00481B0E">
              <w:rPr>
                <w:rFonts w:asciiTheme="minorEastAsia" w:hAnsiTheme="minorEastAsia" w:hint="eastAsia"/>
                <w:color w:val="000000"/>
                <w:spacing w:val="-2"/>
                <w:kern w:val="0"/>
                <w:sz w:val="20"/>
                <w:szCs w:val="20"/>
                <w:fitText w:val="6100" w:id="-609472767"/>
              </w:rPr>
              <w:t>項</w:t>
            </w:r>
          </w:p>
          <w:p w14:paraId="7EE8A611" w14:textId="1BC41D58" w:rsidR="00C143A8" w:rsidRPr="00481B0E" w:rsidRDefault="00C143A8" w:rsidP="00C143A8">
            <w:pPr>
              <w:spacing w:line="240" w:lineRule="exact"/>
              <w:rPr>
                <w:rFonts w:asciiTheme="minorEastAsia" w:hAnsiTheme="minorEastAsia"/>
                <w:color w:val="000000"/>
                <w:sz w:val="20"/>
                <w:szCs w:val="20"/>
              </w:rPr>
            </w:pPr>
            <w:r w:rsidRPr="00C143A8">
              <w:rPr>
                <w:rFonts w:asciiTheme="minorEastAsia" w:hAnsiTheme="minorEastAsia" w:hint="eastAsia"/>
                <w:color w:val="000000"/>
                <w:sz w:val="20"/>
                <w:szCs w:val="20"/>
              </w:rPr>
              <w:t>第1号において、認定区域計画の変更の認定があったときは、認定を取り消すことができると定められておりますが、認定区域計画において別に定める場合等は、除くこととしています。</w:t>
            </w:r>
          </w:p>
        </w:tc>
      </w:tr>
      <w:tr w:rsidR="00C143A8" w:rsidRPr="00C143A8" w14:paraId="7ACF10DC" w14:textId="77777777" w:rsidTr="00F83BE4">
        <w:trPr>
          <w:jc w:val="center"/>
        </w:trPr>
        <w:tc>
          <w:tcPr>
            <w:tcW w:w="426" w:type="dxa"/>
          </w:tcPr>
          <w:p w14:paraId="524874E8" w14:textId="6CBA5997" w:rsidR="00C143A8" w:rsidRPr="00C143A8" w:rsidRDefault="00C143A8" w:rsidP="00C143A8">
            <w:pPr>
              <w:rPr>
                <w:rFonts w:asciiTheme="minorEastAsia" w:hAnsiTheme="minorEastAsia"/>
                <w:sz w:val="20"/>
                <w:szCs w:val="20"/>
              </w:rPr>
            </w:pPr>
            <w:r w:rsidRPr="00C143A8">
              <w:rPr>
                <w:rFonts w:asciiTheme="minorEastAsia" w:hAnsiTheme="minorEastAsia" w:hint="eastAsia"/>
                <w:sz w:val="20"/>
                <w:szCs w:val="20"/>
              </w:rPr>
              <w:t>２</w:t>
            </w:r>
          </w:p>
        </w:tc>
        <w:tc>
          <w:tcPr>
            <w:tcW w:w="6358" w:type="dxa"/>
            <w:tcBorders>
              <w:top w:val="single" w:sz="4" w:space="0" w:color="auto"/>
              <w:left w:val="single" w:sz="4" w:space="0" w:color="auto"/>
              <w:bottom w:val="single" w:sz="4" w:space="0" w:color="auto"/>
              <w:right w:val="single" w:sz="4" w:space="0" w:color="auto"/>
            </w:tcBorders>
            <w:shd w:val="clear" w:color="auto" w:fill="auto"/>
          </w:tcPr>
          <w:p w14:paraId="3A1C3A24" w14:textId="77777777" w:rsidR="00C143A8" w:rsidRDefault="00C143A8" w:rsidP="00C143A8">
            <w:pPr>
              <w:tabs>
                <w:tab w:val="left" w:pos="1990"/>
              </w:tabs>
              <w:spacing w:line="240" w:lineRule="exact"/>
              <w:rPr>
                <w:rFonts w:asciiTheme="minorEastAsia" w:hAnsiTheme="minorEastAsia"/>
                <w:color w:val="000000"/>
                <w:sz w:val="20"/>
                <w:szCs w:val="20"/>
              </w:rPr>
            </w:pPr>
            <w:r w:rsidRPr="00C143A8">
              <w:rPr>
                <w:rFonts w:asciiTheme="minorEastAsia" w:hAnsiTheme="minorEastAsia" w:hint="eastAsia"/>
                <w:color w:val="000000"/>
                <w:sz w:val="20"/>
                <w:szCs w:val="20"/>
              </w:rPr>
              <w:t>既存認定施設の営業継続を原則とすること</w:t>
            </w:r>
            <w:r w:rsidRPr="00C143A8">
              <w:rPr>
                <w:rFonts w:asciiTheme="minorEastAsia" w:hAnsiTheme="minorEastAsia" w:hint="eastAsia"/>
                <w:color w:val="000000"/>
                <w:sz w:val="20"/>
                <w:szCs w:val="20"/>
              </w:rPr>
              <w:br/>
              <w:t>用途地域の見直し等により制度変更が生じた場合でも、改正前に適法に認定を受け、適切に運営されている施設については、原則として当該施設が存続する限りにおいて営業を継続できるよう既得権を保護する規定を明文化していただきたく存じます。</w:t>
            </w:r>
          </w:p>
          <w:p w14:paraId="40B9CF62" w14:textId="1BF8FD5B" w:rsidR="00A90B92" w:rsidRPr="00C143A8" w:rsidRDefault="00A90B92" w:rsidP="00C143A8">
            <w:pPr>
              <w:tabs>
                <w:tab w:val="left" w:pos="1990"/>
              </w:tabs>
              <w:spacing w:line="240" w:lineRule="exact"/>
              <w:rPr>
                <w:rFonts w:asciiTheme="minorEastAsia" w:hAnsiTheme="minorEastAsia"/>
                <w:sz w:val="20"/>
                <w:szCs w:val="20"/>
              </w:rPr>
            </w:pPr>
          </w:p>
        </w:tc>
        <w:tc>
          <w:tcPr>
            <w:tcW w:w="6358" w:type="dxa"/>
            <w:tcBorders>
              <w:top w:val="single" w:sz="4" w:space="0" w:color="auto"/>
              <w:left w:val="nil"/>
              <w:bottom w:val="single" w:sz="4" w:space="0" w:color="auto"/>
              <w:right w:val="single" w:sz="4" w:space="0" w:color="auto"/>
            </w:tcBorders>
            <w:shd w:val="clear" w:color="auto" w:fill="auto"/>
          </w:tcPr>
          <w:p w14:paraId="1137B45C" w14:textId="77777777" w:rsidR="00481B0E" w:rsidRDefault="00C143A8" w:rsidP="00C143A8">
            <w:pPr>
              <w:spacing w:line="240" w:lineRule="exact"/>
              <w:rPr>
                <w:rFonts w:asciiTheme="minorEastAsia" w:hAnsiTheme="minorEastAsia"/>
                <w:color w:val="000000"/>
                <w:sz w:val="20"/>
                <w:szCs w:val="20"/>
              </w:rPr>
            </w:pPr>
            <w:r w:rsidRPr="00481B0E">
              <w:rPr>
                <w:rFonts w:asciiTheme="minorEastAsia" w:hAnsiTheme="minorEastAsia" w:hint="eastAsia"/>
                <w:color w:val="000000"/>
                <w:spacing w:val="6"/>
                <w:kern w:val="0"/>
                <w:sz w:val="20"/>
                <w:szCs w:val="20"/>
                <w:fitText w:val="6100" w:id="-609472766"/>
              </w:rPr>
              <w:t>国家戦略特別区域法（平成25年法律第107号）第13条第13</w:t>
            </w:r>
            <w:r w:rsidRPr="00481B0E">
              <w:rPr>
                <w:rFonts w:asciiTheme="minorEastAsia" w:hAnsiTheme="minorEastAsia" w:hint="eastAsia"/>
                <w:color w:val="000000"/>
                <w:spacing w:val="-2"/>
                <w:kern w:val="0"/>
                <w:sz w:val="20"/>
                <w:szCs w:val="20"/>
                <w:fitText w:val="6100" w:id="-609472766"/>
              </w:rPr>
              <w:t>項</w:t>
            </w:r>
          </w:p>
          <w:p w14:paraId="3355BA0B" w14:textId="210EF162" w:rsidR="00C143A8" w:rsidRPr="00481B0E" w:rsidRDefault="00C143A8" w:rsidP="00C143A8">
            <w:pPr>
              <w:spacing w:line="240" w:lineRule="exact"/>
              <w:rPr>
                <w:rFonts w:asciiTheme="minorEastAsia" w:hAnsiTheme="minorEastAsia"/>
                <w:color w:val="000000"/>
                <w:sz w:val="20"/>
                <w:szCs w:val="20"/>
              </w:rPr>
            </w:pPr>
            <w:r w:rsidRPr="00C143A8">
              <w:rPr>
                <w:rFonts w:asciiTheme="minorEastAsia" w:hAnsiTheme="minorEastAsia" w:hint="eastAsia"/>
                <w:color w:val="000000"/>
                <w:sz w:val="20"/>
                <w:szCs w:val="20"/>
              </w:rPr>
              <w:t>第1号において、認定区域計画の変更の認定があったときは、認定を取り消すことができると定められておりますが、認定区域計画において別に定める場合等は、除くこととしています。</w:t>
            </w:r>
          </w:p>
        </w:tc>
      </w:tr>
      <w:tr w:rsidR="00C143A8" w:rsidRPr="00C143A8" w14:paraId="10B58F86" w14:textId="77777777" w:rsidTr="00A90B92">
        <w:trPr>
          <w:trHeight w:val="1257"/>
          <w:jc w:val="center"/>
        </w:trPr>
        <w:tc>
          <w:tcPr>
            <w:tcW w:w="426" w:type="dxa"/>
          </w:tcPr>
          <w:p w14:paraId="1C02582F" w14:textId="35B7CFDB" w:rsidR="00C143A8" w:rsidRPr="00C143A8" w:rsidRDefault="00C143A8" w:rsidP="00C143A8">
            <w:pPr>
              <w:rPr>
                <w:rFonts w:asciiTheme="minorEastAsia" w:hAnsiTheme="minorEastAsia"/>
                <w:sz w:val="20"/>
                <w:szCs w:val="20"/>
              </w:rPr>
            </w:pPr>
            <w:r w:rsidRPr="00C143A8">
              <w:rPr>
                <w:rFonts w:asciiTheme="minorEastAsia" w:hAnsiTheme="minorEastAsia" w:hint="eastAsia"/>
                <w:sz w:val="20"/>
                <w:szCs w:val="20"/>
              </w:rPr>
              <w:lastRenderedPageBreak/>
              <w:t>３</w:t>
            </w:r>
          </w:p>
        </w:tc>
        <w:tc>
          <w:tcPr>
            <w:tcW w:w="6358" w:type="dxa"/>
            <w:tcBorders>
              <w:top w:val="single" w:sz="4" w:space="0" w:color="auto"/>
              <w:left w:val="single" w:sz="4" w:space="0" w:color="auto"/>
              <w:bottom w:val="single" w:sz="4" w:space="0" w:color="auto"/>
              <w:right w:val="single" w:sz="4" w:space="0" w:color="auto"/>
            </w:tcBorders>
            <w:shd w:val="clear" w:color="auto" w:fill="auto"/>
          </w:tcPr>
          <w:p w14:paraId="20FDB8A6" w14:textId="6B55790F" w:rsidR="00C143A8" w:rsidRPr="00C143A8" w:rsidRDefault="00C143A8" w:rsidP="00C143A8">
            <w:pPr>
              <w:spacing w:line="240" w:lineRule="exact"/>
              <w:rPr>
                <w:rFonts w:asciiTheme="minorEastAsia" w:hAnsiTheme="minorEastAsia"/>
                <w:sz w:val="20"/>
                <w:szCs w:val="20"/>
              </w:rPr>
            </w:pPr>
            <w:r w:rsidRPr="00C143A8">
              <w:rPr>
                <w:rFonts w:asciiTheme="minorEastAsia" w:hAnsiTheme="minorEastAsia" w:hint="eastAsia"/>
                <w:color w:val="000000"/>
                <w:sz w:val="20"/>
                <w:szCs w:val="20"/>
              </w:rPr>
              <w:t>苦情対応に関する運用の明確化</w:t>
            </w:r>
            <w:r w:rsidRPr="00C143A8">
              <w:rPr>
                <w:rFonts w:asciiTheme="minorEastAsia" w:hAnsiTheme="minorEastAsia" w:hint="eastAsia"/>
                <w:color w:val="000000"/>
                <w:sz w:val="20"/>
                <w:szCs w:val="20"/>
              </w:rPr>
              <w:br/>
              <w:t>単発的な電話応答の遅れなどをもって違反と判断することなく、反復・継続して改善が見られない場合限り処分対象とする旨を明記していただきたく存じます。</w:t>
            </w:r>
          </w:p>
        </w:tc>
        <w:tc>
          <w:tcPr>
            <w:tcW w:w="6358" w:type="dxa"/>
            <w:tcBorders>
              <w:top w:val="single" w:sz="4" w:space="0" w:color="auto"/>
              <w:left w:val="nil"/>
              <w:bottom w:val="single" w:sz="4" w:space="0" w:color="auto"/>
              <w:right w:val="single" w:sz="4" w:space="0" w:color="auto"/>
            </w:tcBorders>
            <w:shd w:val="clear" w:color="auto" w:fill="auto"/>
          </w:tcPr>
          <w:p w14:paraId="40A18D46" w14:textId="49121CE6" w:rsidR="00C143A8" w:rsidRPr="00C143A8" w:rsidRDefault="00C143A8" w:rsidP="00C143A8">
            <w:pPr>
              <w:spacing w:line="240" w:lineRule="exact"/>
              <w:rPr>
                <w:rFonts w:asciiTheme="minorEastAsia" w:hAnsiTheme="minorEastAsia"/>
                <w:sz w:val="20"/>
                <w:szCs w:val="20"/>
              </w:rPr>
            </w:pPr>
            <w:r w:rsidRPr="00C143A8">
              <w:rPr>
                <w:rFonts w:asciiTheme="minorEastAsia" w:hAnsiTheme="minorEastAsia" w:hint="eastAsia"/>
                <w:color w:val="000000"/>
                <w:sz w:val="20"/>
                <w:szCs w:val="20"/>
              </w:rPr>
              <w:t>苦情者からの電話に応対しない、滞在者へ必要な措置を実施しない等、認定事業者等が適切かつ迅速な苦情処理を行っていない場合には、まず、必要な指導等を行うこととしています。</w:t>
            </w:r>
          </w:p>
        </w:tc>
      </w:tr>
      <w:tr w:rsidR="00C143A8" w:rsidRPr="00C143A8" w14:paraId="3BCF73EB" w14:textId="77777777" w:rsidTr="00A90B92">
        <w:trPr>
          <w:trHeight w:val="1700"/>
          <w:jc w:val="center"/>
        </w:trPr>
        <w:tc>
          <w:tcPr>
            <w:tcW w:w="426" w:type="dxa"/>
          </w:tcPr>
          <w:p w14:paraId="103AD966" w14:textId="6B868BA3" w:rsidR="00C143A8" w:rsidRPr="00C143A8" w:rsidRDefault="00C143A8" w:rsidP="00C143A8">
            <w:pPr>
              <w:rPr>
                <w:rFonts w:asciiTheme="minorEastAsia" w:hAnsiTheme="minorEastAsia"/>
                <w:sz w:val="20"/>
                <w:szCs w:val="20"/>
              </w:rPr>
            </w:pPr>
            <w:r w:rsidRPr="00C143A8">
              <w:rPr>
                <w:rFonts w:asciiTheme="minorEastAsia" w:hAnsiTheme="minorEastAsia" w:hint="eastAsia"/>
                <w:sz w:val="20"/>
                <w:szCs w:val="20"/>
              </w:rPr>
              <w:t>４</w:t>
            </w:r>
          </w:p>
        </w:tc>
        <w:tc>
          <w:tcPr>
            <w:tcW w:w="6358" w:type="dxa"/>
            <w:tcBorders>
              <w:top w:val="single" w:sz="4" w:space="0" w:color="auto"/>
              <w:left w:val="single" w:sz="4" w:space="0" w:color="auto"/>
              <w:bottom w:val="single" w:sz="4" w:space="0" w:color="auto"/>
              <w:right w:val="single" w:sz="4" w:space="0" w:color="auto"/>
            </w:tcBorders>
            <w:shd w:val="clear" w:color="auto" w:fill="auto"/>
          </w:tcPr>
          <w:p w14:paraId="3CB2EAB5" w14:textId="247597AB" w:rsidR="00C143A8" w:rsidRPr="00C143A8" w:rsidRDefault="00C143A8" w:rsidP="00C143A8">
            <w:pPr>
              <w:spacing w:line="240" w:lineRule="exact"/>
              <w:rPr>
                <w:rFonts w:asciiTheme="minorEastAsia" w:hAnsiTheme="minorEastAsia"/>
                <w:sz w:val="20"/>
                <w:szCs w:val="20"/>
              </w:rPr>
            </w:pPr>
            <w:r w:rsidRPr="00C143A8">
              <w:rPr>
                <w:rFonts w:asciiTheme="minorEastAsia" w:hAnsiTheme="minorEastAsia" w:hint="eastAsia"/>
                <w:color w:val="000000"/>
                <w:sz w:val="20"/>
                <w:szCs w:val="20"/>
              </w:rPr>
              <w:t>立入検査の実施基準が不明確なままでは、事業者によって検査頻度に偏りが生じるおそれがございます。検査は必要最小限かつ客観的理由に基づく場合に限定し、その結果を文書で通知する運用を求めます。</w:t>
            </w:r>
          </w:p>
        </w:tc>
        <w:tc>
          <w:tcPr>
            <w:tcW w:w="6358" w:type="dxa"/>
            <w:tcBorders>
              <w:top w:val="single" w:sz="4" w:space="0" w:color="auto"/>
              <w:left w:val="nil"/>
              <w:bottom w:val="single" w:sz="4" w:space="0" w:color="auto"/>
              <w:right w:val="single" w:sz="4" w:space="0" w:color="auto"/>
            </w:tcBorders>
            <w:shd w:val="clear" w:color="auto" w:fill="auto"/>
          </w:tcPr>
          <w:p w14:paraId="36E2F4A0" w14:textId="62828B6F" w:rsidR="00C143A8" w:rsidRPr="00C143A8" w:rsidRDefault="00C143A8" w:rsidP="00C143A8">
            <w:pPr>
              <w:spacing w:line="240" w:lineRule="exact"/>
              <w:rPr>
                <w:rFonts w:asciiTheme="minorEastAsia" w:hAnsiTheme="minorEastAsia"/>
                <w:sz w:val="20"/>
                <w:szCs w:val="20"/>
              </w:rPr>
            </w:pPr>
            <w:r w:rsidRPr="00C143A8">
              <w:rPr>
                <w:rFonts w:asciiTheme="minorEastAsia" w:hAnsiTheme="minorEastAsia" w:hint="eastAsia"/>
                <w:color w:val="000000"/>
                <w:sz w:val="20"/>
                <w:szCs w:val="20"/>
              </w:rPr>
              <w:t>大阪府では、認定事業者等の適正な運営を確保するため、定期的な立入検査を実施するとともに、施設に関するトラブル等の相談や通報があった場合は、速やかに立入検査を実施</w:t>
            </w:r>
            <w:r w:rsidR="00481B0E">
              <w:rPr>
                <w:rFonts w:asciiTheme="minorEastAsia" w:hAnsiTheme="minorEastAsia" w:hint="eastAsia"/>
                <w:color w:val="000000"/>
                <w:sz w:val="20"/>
                <w:szCs w:val="20"/>
              </w:rPr>
              <w:t>しています</w:t>
            </w:r>
            <w:r w:rsidRPr="00C143A8">
              <w:rPr>
                <w:rFonts w:asciiTheme="minorEastAsia" w:hAnsiTheme="minorEastAsia" w:hint="eastAsia"/>
                <w:color w:val="000000"/>
                <w:sz w:val="20"/>
                <w:szCs w:val="20"/>
              </w:rPr>
              <w:t>。</w:t>
            </w:r>
            <w:r w:rsidRPr="00C143A8">
              <w:rPr>
                <w:rFonts w:asciiTheme="minorEastAsia" w:hAnsiTheme="minorEastAsia" w:hint="eastAsia"/>
                <w:color w:val="000000"/>
                <w:sz w:val="20"/>
                <w:szCs w:val="20"/>
              </w:rPr>
              <w:br/>
              <w:t>立入検査時に違反事項を確認した場合は、改善指導を行います。指導を行ったにもかかわらず、改善されない場合や改善に時間を</w:t>
            </w:r>
            <w:r w:rsidR="00FC2403">
              <w:rPr>
                <w:rFonts w:asciiTheme="minorEastAsia" w:hAnsiTheme="minorEastAsia" w:hint="eastAsia"/>
                <w:color w:val="000000"/>
                <w:sz w:val="20"/>
                <w:szCs w:val="20"/>
              </w:rPr>
              <w:t>要</w:t>
            </w:r>
            <w:r w:rsidRPr="00C143A8">
              <w:rPr>
                <w:rFonts w:asciiTheme="minorEastAsia" w:hAnsiTheme="minorEastAsia" w:hint="eastAsia"/>
                <w:color w:val="000000"/>
                <w:sz w:val="20"/>
                <w:szCs w:val="20"/>
              </w:rPr>
              <w:t>する場合は、指導書を交付</w:t>
            </w:r>
            <w:r w:rsidR="00FC2403">
              <w:rPr>
                <w:rFonts w:asciiTheme="minorEastAsia" w:hAnsiTheme="minorEastAsia" w:hint="eastAsia"/>
                <w:color w:val="000000"/>
                <w:sz w:val="20"/>
                <w:szCs w:val="20"/>
              </w:rPr>
              <w:t>することとしてい</w:t>
            </w:r>
            <w:r w:rsidRPr="00C143A8">
              <w:rPr>
                <w:rFonts w:asciiTheme="minorEastAsia" w:hAnsiTheme="minorEastAsia" w:hint="eastAsia"/>
                <w:color w:val="000000"/>
                <w:sz w:val="20"/>
                <w:szCs w:val="20"/>
              </w:rPr>
              <w:t>ます。</w:t>
            </w:r>
          </w:p>
        </w:tc>
      </w:tr>
      <w:tr w:rsidR="00C143A8" w:rsidRPr="00C143A8" w14:paraId="7F391420" w14:textId="77777777" w:rsidTr="00A90B92">
        <w:trPr>
          <w:trHeight w:val="703"/>
          <w:jc w:val="center"/>
        </w:trPr>
        <w:tc>
          <w:tcPr>
            <w:tcW w:w="426" w:type="dxa"/>
          </w:tcPr>
          <w:p w14:paraId="01654376" w14:textId="1681FC44" w:rsidR="00C143A8" w:rsidRPr="00C143A8" w:rsidRDefault="00C143A8" w:rsidP="00C143A8">
            <w:pPr>
              <w:rPr>
                <w:rFonts w:asciiTheme="minorEastAsia" w:hAnsiTheme="minorEastAsia"/>
                <w:sz w:val="20"/>
                <w:szCs w:val="20"/>
              </w:rPr>
            </w:pPr>
            <w:r w:rsidRPr="00C143A8">
              <w:rPr>
                <w:rFonts w:asciiTheme="minorEastAsia" w:hAnsiTheme="minorEastAsia" w:hint="eastAsia"/>
                <w:sz w:val="20"/>
                <w:szCs w:val="20"/>
              </w:rPr>
              <w:t>５</w:t>
            </w:r>
          </w:p>
        </w:tc>
        <w:tc>
          <w:tcPr>
            <w:tcW w:w="6358" w:type="dxa"/>
            <w:tcBorders>
              <w:top w:val="nil"/>
              <w:left w:val="single" w:sz="4" w:space="0" w:color="auto"/>
              <w:bottom w:val="single" w:sz="4" w:space="0" w:color="auto"/>
              <w:right w:val="single" w:sz="4" w:space="0" w:color="auto"/>
            </w:tcBorders>
            <w:shd w:val="clear" w:color="auto" w:fill="auto"/>
          </w:tcPr>
          <w:p w14:paraId="24D9BDB1" w14:textId="47189CBD" w:rsidR="00C143A8" w:rsidRPr="00C143A8" w:rsidRDefault="00C143A8" w:rsidP="00C143A8">
            <w:pPr>
              <w:spacing w:line="240" w:lineRule="exact"/>
              <w:rPr>
                <w:rFonts w:asciiTheme="minorEastAsia" w:hAnsiTheme="minorEastAsia"/>
                <w:sz w:val="20"/>
                <w:szCs w:val="20"/>
              </w:rPr>
            </w:pPr>
            <w:r w:rsidRPr="00C143A8">
              <w:rPr>
                <w:rFonts w:asciiTheme="minorEastAsia" w:hAnsiTheme="minorEastAsia" w:hint="eastAsia"/>
                <w:color w:val="000000"/>
                <w:sz w:val="20"/>
                <w:szCs w:val="20"/>
              </w:rPr>
              <w:t>「営業自粛」は行政指導であり、強制的な行政処分と混同されないよう、要領内で明確な区別を設けていただきたく存じます</w:t>
            </w:r>
          </w:p>
        </w:tc>
        <w:tc>
          <w:tcPr>
            <w:tcW w:w="6358" w:type="dxa"/>
            <w:tcBorders>
              <w:top w:val="nil"/>
              <w:left w:val="nil"/>
              <w:bottom w:val="single" w:sz="4" w:space="0" w:color="auto"/>
              <w:right w:val="single" w:sz="4" w:space="0" w:color="auto"/>
            </w:tcBorders>
            <w:shd w:val="clear" w:color="auto" w:fill="auto"/>
          </w:tcPr>
          <w:p w14:paraId="504EEF24" w14:textId="1EE6EC3B" w:rsidR="00C143A8" w:rsidRPr="00C143A8" w:rsidRDefault="00C143A8" w:rsidP="00C143A8">
            <w:pPr>
              <w:spacing w:line="240" w:lineRule="exact"/>
              <w:rPr>
                <w:rFonts w:asciiTheme="minorEastAsia" w:hAnsiTheme="minorEastAsia"/>
                <w:sz w:val="20"/>
                <w:szCs w:val="20"/>
              </w:rPr>
            </w:pPr>
            <w:r w:rsidRPr="00C143A8">
              <w:rPr>
                <w:rFonts w:asciiTheme="minorEastAsia" w:hAnsiTheme="minorEastAsia" w:hint="eastAsia"/>
                <w:color w:val="000000"/>
                <w:sz w:val="20"/>
                <w:szCs w:val="20"/>
              </w:rPr>
              <w:t>本要領において、第２で</w:t>
            </w:r>
            <w:r w:rsidR="00FC2403">
              <w:rPr>
                <w:rFonts w:asciiTheme="minorEastAsia" w:hAnsiTheme="minorEastAsia" w:hint="eastAsia"/>
                <w:color w:val="000000"/>
                <w:sz w:val="20"/>
                <w:szCs w:val="20"/>
              </w:rPr>
              <w:t>は</w:t>
            </w:r>
            <w:r w:rsidRPr="00C143A8">
              <w:rPr>
                <w:rFonts w:asciiTheme="minorEastAsia" w:hAnsiTheme="minorEastAsia" w:hint="eastAsia"/>
                <w:color w:val="000000"/>
                <w:sz w:val="20"/>
                <w:szCs w:val="20"/>
              </w:rPr>
              <w:t>行政指導</w:t>
            </w:r>
            <w:r w:rsidR="00FC2403">
              <w:rPr>
                <w:rFonts w:asciiTheme="minorEastAsia" w:hAnsiTheme="minorEastAsia" w:hint="eastAsia"/>
                <w:color w:val="000000"/>
                <w:sz w:val="20"/>
                <w:szCs w:val="20"/>
              </w:rPr>
              <w:t>について、</w:t>
            </w:r>
            <w:r w:rsidRPr="00C143A8">
              <w:rPr>
                <w:rFonts w:asciiTheme="minorEastAsia" w:hAnsiTheme="minorEastAsia" w:hint="eastAsia"/>
                <w:color w:val="000000"/>
                <w:sz w:val="20"/>
                <w:szCs w:val="20"/>
              </w:rPr>
              <w:t>第３で</w:t>
            </w:r>
            <w:r w:rsidR="00FC2403">
              <w:rPr>
                <w:rFonts w:asciiTheme="minorEastAsia" w:hAnsiTheme="minorEastAsia" w:hint="eastAsia"/>
                <w:color w:val="000000"/>
                <w:sz w:val="20"/>
                <w:szCs w:val="20"/>
              </w:rPr>
              <w:t>は</w:t>
            </w:r>
            <w:r w:rsidRPr="00C143A8">
              <w:rPr>
                <w:rFonts w:asciiTheme="minorEastAsia" w:hAnsiTheme="minorEastAsia" w:hint="eastAsia"/>
                <w:color w:val="000000"/>
                <w:sz w:val="20"/>
                <w:szCs w:val="20"/>
              </w:rPr>
              <w:t>行政処分</w:t>
            </w:r>
            <w:r w:rsidR="00FC2403">
              <w:rPr>
                <w:rFonts w:asciiTheme="minorEastAsia" w:hAnsiTheme="minorEastAsia" w:hint="eastAsia"/>
                <w:color w:val="000000"/>
                <w:sz w:val="20"/>
                <w:szCs w:val="20"/>
              </w:rPr>
              <w:t>について定めています</w:t>
            </w:r>
            <w:r w:rsidRPr="00C143A8">
              <w:rPr>
                <w:rFonts w:asciiTheme="minorEastAsia" w:hAnsiTheme="minorEastAsia" w:hint="eastAsia"/>
                <w:color w:val="000000"/>
                <w:sz w:val="20"/>
                <w:szCs w:val="20"/>
              </w:rPr>
              <w:t>。</w:t>
            </w:r>
          </w:p>
        </w:tc>
      </w:tr>
      <w:tr w:rsidR="00C143A8" w:rsidRPr="00C143A8" w14:paraId="575A4E79" w14:textId="77777777" w:rsidTr="00A90B92">
        <w:trPr>
          <w:trHeight w:val="1535"/>
          <w:jc w:val="center"/>
        </w:trPr>
        <w:tc>
          <w:tcPr>
            <w:tcW w:w="426" w:type="dxa"/>
          </w:tcPr>
          <w:p w14:paraId="1594994C" w14:textId="25817FB0" w:rsidR="00C143A8" w:rsidRPr="00C143A8" w:rsidRDefault="00C143A8" w:rsidP="00C143A8">
            <w:pPr>
              <w:rPr>
                <w:rFonts w:asciiTheme="minorEastAsia" w:hAnsiTheme="minorEastAsia"/>
                <w:sz w:val="20"/>
                <w:szCs w:val="20"/>
              </w:rPr>
            </w:pPr>
            <w:r w:rsidRPr="00C143A8">
              <w:rPr>
                <w:rFonts w:asciiTheme="minorEastAsia" w:hAnsiTheme="minorEastAsia" w:hint="eastAsia"/>
                <w:sz w:val="20"/>
                <w:szCs w:val="20"/>
              </w:rPr>
              <w:t>６</w:t>
            </w:r>
          </w:p>
        </w:tc>
        <w:tc>
          <w:tcPr>
            <w:tcW w:w="6358" w:type="dxa"/>
            <w:tcBorders>
              <w:top w:val="single" w:sz="4" w:space="0" w:color="auto"/>
              <w:left w:val="single" w:sz="4" w:space="0" w:color="auto"/>
              <w:bottom w:val="single" w:sz="4" w:space="0" w:color="auto"/>
              <w:right w:val="single" w:sz="4" w:space="0" w:color="auto"/>
            </w:tcBorders>
            <w:shd w:val="clear" w:color="auto" w:fill="auto"/>
          </w:tcPr>
          <w:p w14:paraId="00C9C32B" w14:textId="5BC99E27" w:rsidR="00C143A8" w:rsidRPr="00C143A8" w:rsidRDefault="00C143A8" w:rsidP="00C143A8">
            <w:pPr>
              <w:spacing w:line="240" w:lineRule="exact"/>
              <w:rPr>
                <w:rFonts w:asciiTheme="minorEastAsia" w:hAnsiTheme="minorEastAsia"/>
                <w:sz w:val="20"/>
                <w:szCs w:val="20"/>
              </w:rPr>
            </w:pPr>
            <w:r w:rsidRPr="00C143A8">
              <w:rPr>
                <w:rFonts w:asciiTheme="minorEastAsia" w:hAnsiTheme="minorEastAsia" w:hint="eastAsia"/>
                <w:color w:val="000000"/>
                <w:sz w:val="20"/>
                <w:szCs w:val="20"/>
              </w:rPr>
              <w:t>このような処分基準の条例を作らなければならないほど、この国家戦略事業は貧弱なものだったのでしょうか。</w:t>
            </w:r>
            <w:r w:rsidRPr="00C143A8">
              <w:rPr>
                <w:rFonts w:asciiTheme="minorEastAsia" w:hAnsiTheme="minorEastAsia" w:hint="eastAsia"/>
                <w:color w:val="000000"/>
                <w:sz w:val="20"/>
                <w:szCs w:val="20"/>
              </w:rPr>
              <w:br/>
              <w:t>今になって、遅きに失したと言っても過言ではないかもしれません。ここまでして、民泊を継続する理由がわかりません。</w:t>
            </w:r>
            <w:r w:rsidRPr="00C143A8">
              <w:rPr>
                <w:rFonts w:asciiTheme="minorEastAsia" w:hAnsiTheme="minorEastAsia" w:hint="eastAsia"/>
                <w:color w:val="000000"/>
                <w:sz w:val="20"/>
                <w:szCs w:val="20"/>
              </w:rPr>
              <w:br/>
              <w:t>民泊を止めた方が早いです。</w:t>
            </w:r>
          </w:p>
        </w:tc>
        <w:tc>
          <w:tcPr>
            <w:tcW w:w="6358" w:type="dxa"/>
            <w:tcBorders>
              <w:top w:val="single" w:sz="4" w:space="0" w:color="auto"/>
              <w:left w:val="nil"/>
              <w:bottom w:val="single" w:sz="4" w:space="0" w:color="auto"/>
              <w:right w:val="single" w:sz="4" w:space="0" w:color="auto"/>
            </w:tcBorders>
            <w:shd w:val="clear" w:color="auto" w:fill="auto"/>
          </w:tcPr>
          <w:p w14:paraId="78BF422A" w14:textId="24BA5061" w:rsidR="00FC2403" w:rsidRDefault="00FC2403" w:rsidP="00C143A8">
            <w:pPr>
              <w:spacing w:line="240" w:lineRule="exact"/>
              <w:rPr>
                <w:rFonts w:asciiTheme="minorEastAsia" w:hAnsiTheme="minorEastAsia"/>
                <w:color w:val="000000"/>
                <w:sz w:val="20"/>
                <w:szCs w:val="20"/>
              </w:rPr>
            </w:pPr>
            <w:r>
              <w:rPr>
                <w:rFonts w:asciiTheme="minorEastAsia" w:hAnsiTheme="minorEastAsia" w:hint="eastAsia"/>
                <w:color w:val="000000"/>
                <w:sz w:val="20"/>
                <w:szCs w:val="20"/>
              </w:rPr>
              <w:t>国家戦略特別区域法（平成25年法律第107号）に基づく民泊の適正な運営を図るため、処分基準については平成28年3月に定めています。</w:t>
            </w:r>
          </w:p>
          <w:p w14:paraId="5750F1D5" w14:textId="3956EE70" w:rsidR="00C143A8" w:rsidRPr="00FC2403" w:rsidRDefault="00FC2403" w:rsidP="00C143A8">
            <w:pPr>
              <w:spacing w:line="240" w:lineRule="exact"/>
              <w:rPr>
                <w:rFonts w:asciiTheme="minorEastAsia" w:hAnsiTheme="minorEastAsia"/>
                <w:color w:val="000000"/>
                <w:sz w:val="20"/>
                <w:szCs w:val="20"/>
              </w:rPr>
            </w:pPr>
            <w:r w:rsidRPr="00C143A8">
              <w:rPr>
                <w:rFonts w:asciiTheme="minorEastAsia" w:hAnsiTheme="minorEastAsia" w:hint="eastAsia"/>
                <w:color w:val="000000"/>
                <w:sz w:val="20"/>
                <w:szCs w:val="20"/>
              </w:rPr>
              <w:t>本要領は、</w:t>
            </w:r>
            <w:r w:rsidR="00293FB2">
              <w:rPr>
                <w:rFonts w:asciiTheme="minorEastAsia" w:hAnsiTheme="minorEastAsia" w:hint="eastAsia"/>
                <w:color w:val="000000"/>
                <w:sz w:val="20"/>
                <w:szCs w:val="20"/>
              </w:rPr>
              <w:t>行政指導及び行政処分の手順等を改めて</w:t>
            </w:r>
            <w:r w:rsidRPr="00C143A8">
              <w:rPr>
                <w:rFonts w:asciiTheme="minorEastAsia" w:hAnsiTheme="minorEastAsia" w:hint="eastAsia"/>
                <w:color w:val="000000"/>
                <w:sz w:val="20"/>
                <w:szCs w:val="20"/>
              </w:rPr>
              <w:t>定めるものです。</w:t>
            </w:r>
          </w:p>
        </w:tc>
      </w:tr>
      <w:tr w:rsidR="00C143A8" w:rsidRPr="00C143A8" w14:paraId="79394E52" w14:textId="77777777" w:rsidTr="00A90B92">
        <w:trPr>
          <w:trHeight w:val="2252"/>
          <w:jc w:val="center"/>
        </w:trPr>
        <w:tc>
          <w:tcPr>
            <w:tcW w:w="426" w:type="dxa"/>
          </w:tcPr>
          <w:p w14:paraId="6C7FDE22" w14:textId="5B7A6AC0" w:rsidR="00C143A8" w:rsidRPr="00C143A8" w:rsidRDefault="00C143A8" w:rsidP="00C143A8">
            <w:pPr>
              <w:rPr>
                <w:rFonts w:asciiTheme="minorEastAsia" w:hAnsiTheme="minorEastAsia"/>
                <w:sz w:val="20"/>
                <w:szCs w:val="20"/>
              </w:rPr>
            </w:pPr>
            <w:r w:rsidRPr="00C143A8">
              <w:rPr>
                <w:rFonts w:asciiTheme="minorEastAsia" w:hAnsiTheme="minorEastAsia" w:hint="eastAsia"/>
                <w:sz w:val="20"/>
                <w:szCs w:val="20"/>
              </w:rPr>
              <w:t>７</w:t>
            </w:r>
          </w:p>
        </w:tc>
        <w:tc>
          <w:tcPr>
            <w:tcW w:w="6358" w:type="dxa"/>
            <w:tcBorders>
              <w:top w:val="single" w:sz="4" w:space="0" w:color="auto"/>
              <w:left w:val="single" w:sz="4" w:space="0" w:color="auto"/>
              <w:bottom w:val="single" w:sz="4" w:space="0" w:color="auto"/>
              <w:right w:val="single" w:sz="4" w:space="0" w:color="auto"/>
            </w:tcBorders>
            <w:shd w:val="clear" w:color="auto" w:fill="auto"/>
          </w:tcPr>
          <w:p w14:paraId="0079C155" w14:textId="0D142B48" w:rsidR="00C143A8" w:rsidRPr="00C143A8" w:rsidRDefault="00C143A8" w:rsidP="00C143A8">
            <w:pPr>
              <w:tabs>
                <w:tab w:val="left" w:pos="3870"/>
              </w:tabs>
              <w:spacing w:line="240" w:lineRule="exact"/>
              <w:rPr>
                <w:rFonts w:asciiTheme="minorEastAsia" w:hAnsiTheme="minorEastAsia"/>
                <w:sz w:val="20"/>
                <w:szCs w:val="20"/>
              </w:rPr>
            </w:pPr>
            <w:r w:rsidRPr="00C143A8">
              <w:rPr>
                <w:rFonts w:asciiTheme="minorEastAsia" w:hAnsiTheme="minorEastAsia" w:hint="eastAsia"/>
                <w:color w:val="000000"/>
                <w:sz w:val="20"/>
                <w:szCs w:val="20"/>
              </w:rPr>
              <w:t>適法・健全な民泊と違法・迷惑民泊を明確に区別し、違法・迷惑民泊に対して指導を強化する府の取り組みに賛同いたします。</w:t>
            </w:r>
            <w:r w:rsidRPr="00C143A8">
              <w:rPr>
                <w:rFonts w:asciiTheme="minorEastAsia" w:hAnsiTheme="minorEastAsia" w:hint="eastAsia"/>
                <w:color w:val="000000"/>
                <w:sz w:val="20"/>
                <w:szCs w:val="20"/>
              </w:rPr>
              <w:br/>
              <w:t>要領案は周辺住民に迷惑を及ぼす施設（迷惑民泊）に対する指導強化を目的に策定するものと理解しています。多くの近隣トラブル等の問題の根本は、違法民泊・迷惑民泊にあり、府の取り組みは、適法・健全な民泊を運営する適正な事業者と違法・迷惑民泊を運営する不適正な事業者を明確に区別し、後者に焦点を当てる取り組みと理解しており、この方針に賛同いたします。</w:t>
            </w:r>
          </w:p>
        </w:tc>
        <w:tc>
          <w:tcPr>
            <w:tcW w:w="6358" w:type="dxa"/>
            <w:tcBorders>
              <w:top w:val="single" w:sz="4" w:space="0" w:color="auto"/>
              <w:left w:val="nil"/>
              <w:bottom w:val="single" w:sz="4" w:space="0" w:color="auto"/>
              <w:right w:val="single" w:sz="4" w:space="0" w:color="auto"/>
            </w:tcBorders>
            <w:shd w:val="clear" w:color="auto" w:fill="auto"/>
          </w:tcPr>
          <w:p w14:paraId="2E5F2789" w14:textId="77777777" w:rsidR="00FC2403" w:rsidRDefault="00FC2403" w:rsidP="00FC2403">
            <w:pPr>
              <w:spacing w:line="240" w:lineRule="exact"/>
              <w:rPr>
                <w:rFonts w:asciiTheme="minorEastAsia" w:hAnsiTheme="minorEastAsia"/>
                <w:color w:val="000000"/>
                <w:sz w:val="20"/>
                <w:szCs w:val="20"/>
              </w:rPr>
            </w:pPr>
            <w:r>
              <w:rPr>
                <w:rFonts w:asciiTheme="minorEastAsia" w:hAnsiTheme="minorEastAsia" w:hint="eastAsia"/>
                <w:color w:val="000000"/>
                <w:sz w:val="20"/>
                <w:szCs w:val="20"/>
              </w:rPr>
              <w:t>国家戦略特別区域法（平成25年法律第107号）に基づく民泊の適正な運営を図るため、処分基準については平成28年3月に定めています。</w:t>
            </w:r>
          </w:p>
          <w:p w14:paraId="59FA7A79" w14:textId="4062ACE2" w:rsidR="00C143A8" w:rsidRPr="00C143A8" w:rsidRDefault="00FC2403" w:rsidP="00FC2403">
            <w:pPr>
              <w:spacing w:line="240" w:lineRule="exact"/>
              <w:rPr>
                <w:rFonts w:asciiTheme="minorEastAsia" w:hAnsiTheme="minorEastAsia"/>
                <w:sz w:val="20"/>
                <w:szCs w:val="20"/>
              </w:rPr>
            </w:pPr>
            <w:r w:rsidRPr="00C143A8">
              <w:rPr>
                <w:rFonts w:asciiTheme="minorEastAsia" w:hAnsiTheme="minorEastAsia" w:hint="eastAsia"/>
                <w:color w:val="000000"/>
                <w:sz w:val="20"/>
                <w:szCs w:val="20"/>
              </w:rPr>
              <w:t>本要領は、</w:t>
            </w:r>
            <w:r w:rsidR="00293FB2">
              <w:rPr>
                <w:rFonts w:asciiTheme="minorEastAsia" w:hAnsiTheme="minorEastAsia" w:hint="eastAsia"/>
                <w:color w:val="000000"/>
                <w:sz w:val="20"/>
                <w:szCs w:val="20"/>
              </w:rPr>
              <w:t>行政指導及び行政処分の手順等を改めて定める</w:t>
            </w:r>
            <w:r w:rsidRPr="00C143A8">
              <w:rPr>
                <w:rFonts w:asciiTheme="minorEastAsia" w:hAnsiTheme="minorEastAsia" w:hint="eastAsia"/>
                <w:color w:val="000000"/>
                <w:sz w:val="20"/>
                <w:szCs w:val="20"/>
              </w:rPr>
              <w:t>ものです。</w:t>
            </w:r>
          </w:p>
        </w:tc>
      </w:tr>
    </w:tbl>
    <w:p w14:paraId="2D1A206A" w14:textId="77777777" w:rsidR="00E46815" w:rsidRDefault="00E46815">
      <w:r>
        <w:br w:type="page"/>
      </w:r>
    </w:p>
    <w:tbl>
      <w:tblPr>
        <w:tblStyle w:val="a3"/>
        <w:tblW w:w="0" w:type="auto"/>
        <w:jc w:val="center"/>
        <w:tblLook w:val="04A0" w:firstRow="1" w:lastRow="0" w:firstColumn="1" w:lastColumn="0" w:noHBand="0" w:noVBand="1"/>
      </w:tblPr>
      <w:tblGrid>
        <w:gridCol w:w="426"/>
        <w:gridCol w:w="6358"/>
        <w:gridCol w:w="6358"/>
      </w:tblGrid>
      <w:tr w:rsidR="00C143A8" w:rsidRPr="00A90B92" w14:paraId="42855CC7" w14:textId="77777777" w:rsidTr="00293FB2">
        <w:trPr>
          <w:trHeight w:val="5793"/>
          <w:jc w:val="center"/>
        </w:trPr>
        <w:tc>
          <w:tcPr>
            <w:tcW w:w="426" w:type="dxa"/>
          </w:tcPr>
          <w:p w14:paraId="5B629379" w14:textId="00B7FAB8" w:rsidR="00C143A8" w:rsidRPr="00A90B92" w:rsidRDefault="00C143A8" w:rsidP="00C143A8">
            <w:pPr>
              <w:rPr>
                <w:rFonts w:asciiTheme="minorEastAsia" w:hAnsiTheme="minorEastAsia"/>
                <w:szCs w:val="21"/>
              </w:rPr>
            </w:pPr>
            <w:r w:rsidRPr="00A90B92">
              <w:rPr>
                <w:rFonts w:asciiTheme="minorEastAsia" w:hAnsiTheme="minorEastAsia" w:hint="eastAsia"/>
                <w:szCs w:val="21"/>
              </w:rPr>
              <w:lastRenderedPageBreak/>
              <w:t>８</w:t>
            </w:r>
          </w:p>
        </w:tc>
        <w:tc>
          <w:tcPr>
            <w:tcW w:w="6358" w:type="dxa"/>
            <w:tcBorders>
              <w:top w:val="single" w:sz="4" w:space="0" w:color="auto"/>
              <w:left w:val="single" w:sz="4" w:space="0" w:color="auto"/>
              <w:bottom w:val="single" w:sz="4" w:space="0" w:color="auto"/>
              <w:right w:val="single" w:sz="4" w:space="0" w:color="auto"/>
            </w:tcBorders>
            <w:shd w:val="clear" w:color="auto" w:fill="auto"/>
          </w:tcPr>
          <w:p w14:paraId="6FC07E71" w14:textId="1EA9B637" w:rsidR="00C143A8" w:rsidRPr="00A90B92" w:rsidRDefault="00C143A8" w:rsidP="00293FB2">
            <w:pPr>
              <w:spacing w:line="240" w:lineRule="exact"/>
              <w:rPr>
                <w:rFonts w:asciiTheme="minorEastAsia" w:hAnsiTheme="minorEastAsia"/>
                <w:szCs w:val="21"/>
              </w:rPr>
            </w:pPr>
            <w:r w:rsidRPr="00A90B92">
              <w:rPr>
                <w:rFonts w:asciiTheme="minorEastAsia" w:hAnsiTheme="minorEastAsia" w:hint="eastAsia"/>
                <w:color w:val="000000"/>
                <w:szCs w:val="21"/>
              </w:rPr>
              <w:t>提示された「行政処分等取扱要領」は「特区民泊制度」の不十分な認定基準に基づき制定されているので、これまた周辺住民の迷惑解消を考慮しない形式的な対応で、周辺地域の住民とのトラブルや苦情が改善するとは思えない稚拙なものだと断言せざるをえない。具体的には</w:t>
            </w:r>
            <w:r w:rsidRPr="00A90B92">
              <w:rPr>
                <w:rFonts w:asciiTheme="minorEastAsia" w:hAnsiTheme="minorEastAsia" w:hint="eastAsia"/>
                <w:color w:val="000000"/>
                <w:szCs w:val="21"/>
              </w:rPr>
              <w:br/>
              <w:t>（１）周辺住民とのトラブルの原因は施設の不備ではなく、顧客である外国人の周辺住民の迷惑を無視とした騒音（部屋で騒ぐ、同泊の友人に配慮してか民泊の外に出ての携帯電話での周辺への騒音、近隣へのごみ放置、周辺住宅のインターフォン押下）であることを認識すべき</w:t>
            </w:r>
            <w:r w:rsidRPr="00A90B92">
              <w:rPr>
                <w:rFonts w:asciiTheme="minorEastAsia" w:hAnsiTheme="minorEastAsia" w:hint="eastAsia"/>
                <w:color w:val="000000"/>
                <w:szCs w:val="21"/>
              </w:rPr>
              <w:br/>
              <w:t>（２）民泊の環境要件の確認など無意味であり、なすべきは①実際の宿泊客に運営状況を聞き、申請した民泊ルールが形式的にどうかではなく実質的に宿泊客に伝わっているか確認すること、②周辺住民にヒアリングして迷惑状況を確認すること、③苦情への対応状況でなく、そもそも「苦情を発生させない」努力（一般の宿泊施設であれば勤務しているスタッフが周辺への迷惑行為を認知し、周辺住民が苦情を言う前に対処する／民泊は常駐スタッフが居ないことをイイことに、本来は施設運用者が負担すべき労力を周辺住民に「苦情を言う」というカタチで負担を強いていることが問題の本質であると理解すべき）として騒音計や監視カメラを設置しAIなどを活用して民泊住民の迷惑行為を遠隔地にいるスタッフで率先して拾うなどの対策を辞ししているか／今後実施するかなどを確認することである。</w:t>
            </w:r>
          </w:p>
        </w:tc>
        <w:tc>
          <w:tcPr>
            <w:tcW w:w="6358" w:type="dxa"/>
            <w:tcBorders>
              <w:top w:val="single" w:sz="4" w:space="0" w:color="auto"/>
              <w:left w:val="nil"/>
              <w:bottom w:val="single" w:sz="4" w:space="0" w:color="auto"/>
              <w:right w:val="single" w:sz="4" w:space="0" w:color="auto"/>
            </w:tcBorders>
            <w:shd w:val="clear" w:color="auto" w:fill="auto"/>
          </w:tcPr>
          <w:p w14:paraId="4BA3F95B" w14:textId="77777777" w:rsidR="00C143A8" w:rsidRDefault="00B45F6F" w:rsidP="00C143A8">
            <w:pPr>
              <w:spacing w:line="240" w:lineRule="exact"/>
              <w:rPr>
                <w:rFonts w:asciiTheme="minorEastAsia" w:hAnsiTheme="minorEastAsia"/>
                <w:szCs w:val="21"/>
              </w:rPr>
            </w:pPr>
            <w:r>
              <w:rPr>
                <w:rFonts w:asciiTheme="minorEastAsia" w:hAnsiTheme="minorEastAsia" w:hint="eastAsia"/>
                <w:szCs w:val="21"/>
              </w:rPr>
              <w:t>滞在者に対する廃棄物の処理方法や騒音等の防止に関する注意を含め</w:t>
            </w:r>
            <w:r w:rsidR="00481B0E">
              <w:rPr>
                <w:rFonts w:asciiTheme="minorEastAsia" w:hAnsiTheme="minorEastAsia" w:hint="eastAsia"/>
                <w:szCs w:val="21"/>
              </w:rPr>
              <w:t>、国家戦略特別区域法（平成25年法律第107号）に基づく民泊の適正な運営を図るため、処分基準については、既に平成28年3月に定めています。</w:t>
            </w:r>
          </w:p>
          <w:p w14:paraId="46BFAE0F" w14:textId="6561AED9" w:rsidR="00481B0E" w:rsidRPr="00A90B92" w:rsidRDefault="00481B0E" w:rsidP="00C143A8">
            <w:pPr>
              <w:spacing w:line="240" w:lineRule="exact"/>
              <w:rPr>
                <w:rFonts w:asciiTheme="minorEastAsia" w:hAnsiTheme="minorEastAsia" w:hint="eastAsia"/>
                <w:szCs w:val="21"/>
              </w:rPr>
            </w:pPr>
            <w:r>
              <w:rPr>
                <w:rFonts w:asciiTheme="minorEastAsia" w:hAnsiTheme="minorEastAsia" w:hint="eastAsia"/>
                <w:szCs w:val="21"/>
              </w:rPr>
              <w:t>本要領は、行政指導及び行政処分の手順等を改めて定めるものです。</w:t>
            </w:r>
          </w:p>
        </w:tc>
      </w:tr>
      <w:tr w:rsidR="00C143A8" w:rsidRPr="00A90B92" w14:paraId="27CAB0C7" w14:textId="77777777" w:rsidTr="00A90B92">
        <w:trPr>
          <w:trHeight w:val="985"/>
          <w:jc w:val="center"/>
        </w:trPr>
        <w:tc>
          <w:tcPr>
            <w:tcW w:w="426" w:type="dxa"/>
          </w:tcPr>
          <w:p w14:paraId="3DB3F852" w14:textId="43B2C2D2" w:rsidR="00C143A8" w:rsidRPr="00A90B92" w:rsidRDefault="00C143A8" w:rsidP="00C143A8">
            <w:pPr>
              <w:rPr>
                <w:rFonts w:asciiTheme="minorEastAsia" w:hAnsiTheme="minorEastAsia"/>
                <w:szCs w:val="21"/>
              </w:rPr>
            </w:pPr>
            <w:r w:rsidRPr="00A90B92">
              <w:rPr>
                <w:rFonts w:asciiTheme="minorEastAsia" w:hAnsiTheme="minorEastAsia" w:hint="eastAsia"/>
                <w:szCs w:val="21"/>
              </w:rPr>
              <w:t>９</w:t>
            </w:r>
          </w:p>
        </w:tc>
        <w:tc>
          <w:tcPr>
            <w:tcW w:w="6358" w:type="dxa"/>
            <w:tcBorders>
              <w:top w:val="nil"/>
              <w:left w:val="single" w:sz="4" w:space="0" w:color="auto"/>
              <w:bottom w:val="single" w:sz="4" w:space="0" w:color="auto"/>
              <w:right w:val="single" w:sz="4" w:space="0" w:color="auto"/>
            </w:tcBorders>
            <w:shd w:val="clear" w:color="auto" w:fill="auto"/>
          </w:tcPr>
          <w:p w14:paraId="3C4A46F1" w14:textId="37C17A4C" w:rsidR="00C143A8" w:rsidRPr="00A90B92" w:rsidRDefault="00C143A8" w:rsidP="00C143A8">
            <w:pPr>
              <w:spacing w:line="240" w:lineRule="exact"/>
              <w:rPr>
                <w:rFonts w:asciiTheme="minorEastAsia" w:hAnsiTheme="minorEastAsia"/>
                <w:szCs w:val="21"/>
              </w:rPr>
            </w:pPr>
            <w:r w:rsidRPr="00A90B92">
              <w:rPr>
                <w:rFonts w:asciiTheme="minorEastAsia" w:hAnsiTheme="minorEastAsia" w:hint="eastAsia"/>
                <w:color w:val="000000"/>
                <w:szCs w:val="21"/>
              </w:rPr>
              <w:t>（３）処分は営業停止ではなく、周辺住民への謝罪及び謝罪金の支払いである。営業停止しても周辺住民の被った被害は補填されない。</w:t>
            </w:r>
          </w:p>
        </w:tc>
        <w:tc>
          <w:tcPr>
            <w:tcW w:w="6358" w:type="dxa"/>
            <w:tcBorders>
              <w:top w:val="nil"/>
              <w:left w:val="nil"/>
              <w:bottom w:val="single" w:sz="4" w:space="0" w:color="auto"/>
              <w:right w:val="single" w:sz="4" w:space="0" w:color="auto"/>
            </w:tcBorders>
            <w:shd w:val="clear" w:color="auto" w:fill="auto"/>
          </w:tcPr>
          <w:p w14:paraId="08906DA3" w14:textId="56F1FBD2" w:rsidR="00C143A8" w:rsidRPr="00293FB2" w:rsidRDefault="00C143A8" w:rsidP="00C143A8">
            <w:pPr>
              <w:spacing w:line="240" w:lineRule="exact"/>
              <w:rPr>
                <w:rFonts w:asciiTheme="minorEastAsia" w:hAnsiTheme="minorEastAsia"/>
                <w:color w:val="000000"/>
                <w:szCs w:val="21"/>
              </w:rPr>
            </w:pPr>
            <w:r w:rsidRPr="00A90B92">
              <w:rPr>
                <w:rFonts w:asciiTheme="minorEastAsia" w:hAnsiTheme="minorEastAsia" w:hint="eastAsia"/>
                <w:color w:val="000000"/>
                <w:szCs w:val="21"/>
              </w:rPr>
              <w:t>本要領は、国家戦略特別区域法（平成25年法律第107号）に基づき認定</w:t>
            </w:r>
            <w:r w:rsidR="00481B0E">
              <w:rPr>
                <w:rFonts w:asciiTheme="minorEastAsia" w:hAnsiTheme="minorEastAsia" w:hint="eastAsia"/>
                <w:color w:val="000000"/>
                <w:szCs w:val="21"/>
              </w:rPr>
              <w:t>を受けている</w:t>
            </w:r>
            <w:r w:rsidRPr="00A90B92">
              <w:rPr>
                <w:rFonts w:asciiTheme="minorEastAsia" w:hAnsiTheme="minorEastAsia" w:hint="eastAsia"/>
                <w:color w:val="000000"/>
                <w:szCs w:val="21"/>
              </w:rPr>
              <w:t>事業者に対し</w:t>
            </w:r>
            <w:r w:rsidR="00481B0E">
              <w:rPr>
                <w:rFonts w:asciiTheme="minorEastAsia" w:hAnsiTheme="minorEastAsia" w:hint="eastAsia"/>
                <w:color w:val="000000"/>
                <w:szCs w:val="21"/>
              </w:rPr>
              <w:t>、</w:t>
            </w:r>
            <w:r w:rsidRPr="00A90B92">
              <w:rPr>
                <w:rFonts w:asciiTheme="minorEastAsia" w:hAnsiTheme="minorEastAsia" w:hint="eastAsia"/>
                <w:color w:val="000000"/>
                <w:szCs w:val="21"/>
              </w:rPr>
              <w:t>行政指導や行政処分</w:t>
            </w:r>
            <w:r w:rsidR="00293FB2">
              <w:rPr>
                <w:rFonts w:asciiTheme="minorEastAsia" w:hAnsiTheme="minorEastAsia" w:hint="eastAsia"/>
                <w:color w:val="000000"/>
                <w:szCs w:val="21"/>
              </w:rPr>
              <w:t>の</w:t>
            </w:r>
            <w:r w:rsidR="00481B0E">
              <w:rPr>
                <w:rFonts w:asciiTheme="minorEastAsia" w:hAnsiTheme="minorEastAsia" w:hint="eastAsia"/>
                <w:color w:val="000000"/>
                <w:szCs w:val="21"/>
              </w:rPr>
              <w:t>手順</w:t>
            </w:r>
            <w:r w:rsidR="00293FB2">
              <w:rPr>
                <w:rFonts w:asciiTheme="minorEastAsia" w:hAnsiTheme="minorEastAsia" w:hint="eastAsia"/>
                <w:color w:val="000000"/>
                <w:szCs w:val="21"/>
              </w:rPr>
              <w:t>等</w:t>
            </w:r>
            <w:r w:rsidRPr="00A90B92">
              <w:rPr>
                <w:rFonts w:asciiTheme="minorEastAsia" w:hAnsiTheme="minorEastAsia" w:hint="eastAsia"/>
                <w:color w:val="000000"/>
                <w:szCs w:val="21"/>
              </w:rPr>
              <w:t>を定めるものです。</w:t>
            </w:r>
          </w:p>
        </w:tc>
      </w:tr>
    </w:tbl>
    <w:p w14:paraId="65F96428" w14:textId="77777777" w:rsidR="00E6798D" w:rsidRDefault="00E6798D"/>
    <w:sectPr w:rsidR="00E6798D" w:rsidSect="00AD5197">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A3CF9" w14:textId="77777777" w:rsidR="00583151" w:rsidRDefault="00583151" w:rsidP="00583151">
      <w:r>
        <w:separator/>
      </w:r>
    </w:p>
  </w:endnote>
  <w:endnote w:type="continuationSeparator" w:id="0">
    <w:p w14:paraId="215DD208" w14:textId="77777777" w:rsidR="00583151" w:rsidRDefault="00583151" w:rsidP="0058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A1412" w14:textId="77777777" w:rsidR="00583151" w:rsidRDefault="00583151" w:rsidP="00583151">
      <w:r>
        <w:separator/>
      </w:r>
    </w:p>
  </w:footnote>
  <w:footnote w:type="continuationSeparator" w:id="0">
    <w:p w14:paraId="053D6E9B" w14:textId="77777777" w:rsidR="00583151" w:rsidRDefault="00583151" w:rsidP="005831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3E0"/>
    <w:rsid w:val="001B7579"/>
    <w:rsid w:val="0022617D"/>
    <w:rsid w:val="00293FB2"/>
    <w:rsid w:val="00370C08"/>
    <w:rsid w:val="00481B0E"/>
    <w:rsid w:val="00534DA3"/>
    <w:rsid w:val="00583151"/>
    <w:rsid w:val="005A1AF3"/>
    <w:rsid w:val="006F5D26"/>
    <w:rsid w:val="0084649F"/>
    <w:rsid w:val="008643E0"/>
    <w:rsid w:val="0098779D"/>
    <w:rsid w:val="009B5D41"/>
    <w:rsid w:val="00A90B92"/>
    <w:rsid w:val="00AB3FCF"/>
    <w:rsid w:val="00AD5197"/>
    <w:rsid w:val="00B45F6F"/>
    <w:rsid w:val="00C143A8"/>
    <w:rsid w:val="00C72697"/>
    <w:rsid w:val="00C83A94"/>
    <w:rsid w:val="00DD38BB"/>
    <w:rsid w:val="00E46815"/>
    <w:rsid w:val="00E6798D"/>
    <w:rsid w:val="00F71AA4"/>
    <w:rsid w:val="00FC2403"/>
    <w:rsid w:val="00FD2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EF4FF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7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3151"/>
    <w:pPr>
      <w:tabs>
        <w:tab w:val="center" w:pos="4252"/>
        <w:tab w:val="right" w:pos="8504"/>
      </w:tabs>
      <w:snapToGrid w:val="0"/>
    </w:pPr>
  </w:style>
  <w:style w:type="character" w:customStyle="1" w:styleId="a5">
    <w:name w:val="ヘッダー (文字)"/>
    <w:basedOn w:val="a0"/>
    <w:link w:val="a4"/>
    <w:uiPriority w:val="99"/>
    <w:rsid w:val="00583151"/>
  </w:style>
  <w:style w:type="paragraph" w:styleId="a6">
    <w:name w:val="footer"/>
    <w:basedOn w:val="a"/>
    <w:link w:val="a7"/>
    <w:uiPriority w:val="99"/>
    <w:unhideWhenUsed/>
    <w:rsid w:val="00583151"/>
    <w:pPr>
      <w:tabs>
        <w:tab w:val="center" w:pos="4252"/>
        <w:tab w:val="right" w:pos="8504"/>
      </w:tabs>
      <w:snapToGrid w:val="0"/>
    </w:pPr>
  </w:style>
  <w:style w:type="character" w:customStyle="1" w:styleId="a7">
    <w:name w:val="フッター (文字)"/>
    <w:basedOn w:val="a0"/>
    <w:link w:val="a6"/>
    <w:uiPriority w:val="99"/>
    <w:rsid w:val="00583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446</Words>
  <Characters>2545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2025-11-18T13:00:00Z</dcterms:created>
  <dcterms:modified xsi:type="dcterms:W3CDTF">2025-11-21T07:55:00Z</dcterms:modified>
</cp:coreProperties>
</file>