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516F2" w14:textId="4CC13A52" w:rsidR="003013A3" w:rsidRPr="00740E34" w:rsidRDefault="00DE5E48" w:rsidP="003013A3">
      <w:pPr>
        <w:spacing w:line="300" w:lineRule="exact"/>
        <w:jc w:val="center"/>
        <w:rPr>
          <w:rFonts w:ascii="HGPｺﾞｼｯｸM" w:eastAsia="HGPｺﾞｼｯｸM" w:hAnsi="游明朝" w:cs="Times New Roman"/>
          <w:color w:val="000000" w:themeColor="text1"/>
          <w:sz w:val="28"/>
          <w:szCs w:val="28"/>
        </w:rPr>
      </w:pPr>
      <w:r w:rsidRPr="00740E34">
        <w:rPr>
          <w:rFonts w:ascii="HG丸ｺﾞｼｯｸM-PRO" w:eastAsia="HG丸ｺﾞｼｯｸM-PRO" w:hAnsi="HG丸ｺﾞｼｯｸM-PRO" w:cs="HGｺﾞｼｯｸM" w:hint="eastAsia"/>
          <w:b/>
          <w:bCs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567C4" wp14:editId="5A591CA7">
                <wp:simplePos x="0" y="0"/>
                <wp:positionH relativeFrom="column">
                  <wp:posOffset>8145780</wp:posOffset>
                </wp:positionH>
                <wp:positionV relativeFrom="paragraph">
                  <wp:posOffset>-564515</wp:posOffset>
                </wp:positionV>
                <wp:extent cx="701040" cy="320040"/>
                <wp:effectExtent l="0" t="0" r="2286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3200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53CEE2" w14:textId="403097E2" w:rsidR="00DE5E48" w:rsidRPr="00586EC5" w:rsidRDefault="00DE5E48" w:rsidP="00DE5E4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586EC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資料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567C4" id="正方形/長方形 1" o:spid="_x0000_s1026" style="position:absolute;left:0;text-align:left;margin-left:641.4pt;margin-top:-44.45pt;width:5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" fillcolor="white [3201]" strokecolor="black [3200]">
                <v:textbox>
                  <w:txbxContent>
                    <w:p w14:paraId="6B53CEE2" w14:textId="403097E2" w:rsidR="00DE5E48" w:rsidRPr="00586EC5" w:rsidRDefault="00DE5E48" w:rsidP="00DE5E4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586EC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資料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0F2FC9" w:rsidRPr="00740E34">
        <w:rPr>
          <w:rFonts w:ascii="HGPｺﾞｼｯｸM" w:eastAsia="HGPｺﾞｼｯｸM" w:hAnsi="游明朝" w:cs="Times New Roman" w:hint="eastAsia"/>
          <w:color w:val="000000" w:themeColor="text1"/>
          <w:sz w:val="28"/>
          <w:szCs w:val="28"/>
        </w:rPr>
        <w:t>第１回</w:t>
      </w:r>
      <w:r w:rsidRPr="00740E34">
        <w:rPr>
          <w:rFonts w:ascii="HGPｺﾞｼｯｸM" w:eastAsia="HGPｺﾞｼｯｸM" w:hAnsi="游明朝" w:cs="Times New Roman" w:hint="eastAsia"/>
          <w:color w:val="000000" w:themeColor="text1"/>
          <w:sz w:val="28"/>
          <w:szCs w:val="28"/>
        </w:rPr>
        <w:t>・第2回</w:t>
      </w:r>
      <w:r w:rsidR="000F2FC9" w:rsidRPr="00740E34">
        <w:rPr>
          <w:rFonts w:ascii="HGPｺﾞｼｯｸM" w:eastAsia="HGPｺﾞｼｯｸM" w:hAnsi="游明朝" w:cs="Times New Roman" w:hint="eastAsia"/>
          <w:color w:val="000000" w:themeColor="text1"/>
          <w:sz w:val="28"/>
          <w:szCs w:val="28"/>
        </w:rPr>
        <w:t>部会の議論等を</w:t>
      </w:r>
      <w:r w:rsidR="003013A3" w:rsidRPr="00740E34">
        <w:rPr>
          <w:rFonts w:ascii="HGPｺﾞｼｯｸM" w:eastAsia="HGPｺﾞｼｯｸM" w:hAnsi="游明朝" w:cs="Times New Roman" w:hint="eastAsia"/>
          <w:color w:val="000000" w:themeColor="text1"/>
          <w:sz w:val="28"/>
          <w:szCs w:val="28"/>
        </w:rPr>
        <w:t>踏まえた</w:t>
      </w:r>
      <w:r w:rsidR="000F2FC9" w:rsidRPr="00740E34">
        <w:rPr>
          <w:rFonts w:ascii="HGPｺﾞｼｯｸM" w:eastAsia="HGPｺﾞｼｯｸM" w:hAnsi="游明朝" w:cs="Times New Roman" w:hint="eastAsia"/>
          <w:color w:val="000000" w:themeColor="text1"/>
          <w:sz w:val="28"/>
          <w:szCs w:val="28"/>
        </w:rPr>
        <w:t>構成の見直し</w:t>
      </w:r>
      <w:r w:rsidR="003013A3" w:rsidRPr="00740E34">
        <w:rPr>
          <w:rFonts w:ascii="HGPｺﾞｼｯｸM" w:eastAsia="HGPｺﾞｼｯｸM" w:hAnsi="游明朝" w:cs="Times New Roman" w:hint="eastAsia"/>
          <w:color w:val="000000" w:themeColor="text1"/>
          <w:sz w:val="28"/>
          <w:szCs w:val="28"/>
        </w:rPr>
        <w:t>（事務局</w:t>
      </w:r>
      <w:r w:rsidR="000F2FC9" w:rsidRPr="00740E34">
        <w:rPr>
          <w:rFonts w:ascii="HGPｺﾞｼｯｸM" w:eastAsia="HGPｺﾞｼｯｸM" w:hAnsi="游明朝" w:cs="Times New Roman" w:hint="eastAsia"/>
          <w:color w:val="000000" w:themeColor="text1"/>
          <w:sz w:val="28"/>
          <w:szCs w:val="28"/>
        </w:rPr>
        <w:t>案</w:t>
      </w:r>
      <w:r w:rsidR="003013A3" w:rsidRPr="00740E34">
        <w:rPr>
          <w:rFonts w:ascii="HGPｺﾞｼｯｸM" w:eastAsia="HGPｺﾞｼｯｸM" w:hAnsi="游明朝" w:cs="Times New Roman" w:hint="eastAsia"/>
          <w:color w:val="000000" w:themeColor="text1"/>
          <w:sz w:val="28"/>
          <w:szCs w:val="28"/>
        </w:rPr>
        <w:t>）</w:t>
      </w:r>
    </w:p>
    <w:p w14:paraId="5F8E44D0" w14:textId="77777777" w:rsidR="003013A3" w:rsidRPr="00740E34" w:rsidRDefault="003013A3" w:rsidP="003013A3">
      <w:pPr>
        <w:spacing w:line="300" w:lineRule="exact"/>
        <w:jc w:val="center"/>
        <w:rPr>
          <w:rFonts w:ascii="HGPｺﾞｼｯｸM" w:eastAsia="HGPｺﾞｼｯｸM" w:hAnsi="游明朝" w:cs="Times New Roman"/>
          <w:color w:val="000000" w:themeColor="text1"/>
          <w:sz w:val="28"/>
          <w:szCs w:val="28"/>
        </w:rPr>
      </w:pPr>
    </w:p>
    <w:p w14:paraId="4883E6CB" w14:textId="77777777" w:rsidR="009337AE" w:rsidRPr="00740E34" w:rsidRDefault="009337AE" w:rsidP="003013A3">
      <w:pPr>
        <w:spacing w:line="300" w:lineRule="exact"/>
        <w:jc w:val="left"/>
        <w:rPr>
          <w:rFonts w:ascii="HGPｺﾞｼｯｸM" w:eastAsia="HGPｺﾞｼｯｸM" w:hAnsi="游明朝" w:cs="Times New Roman"/>
          <w:color w:val="000000" w:themeColor="text1"/>
          <w:sz w:val="22"/>
        </w:rPr>
      </w:pPr>
    </w:p>
    <w:p w14:paraId="4FA2605D" w14:textId="27B3D310" w:rsidR="003013A3" w:rsidRPr="00740E34" w:rsidRDefault="003013A3" w:rsidP="003013A3">
      <w:pPr>
        <w:spacing w:line="300" w:lineRule="exact"/>
        <w:jc w:val="left"/>
        <w:rPr>
          <w:rFonts w:ascii="HGPｺﾞｼｯｸM" w:eastAsia="HGPｺﾞｼｯｸM" w:hAnsi="游明朝" w:cs="Times New Roman"/>
          <w:b/>
          <w:color w:val="000000" w:themeColor="text1"/>
          <w:sz w:val="24"/>
          <w:szCs w:val="24"/>
        </w:rPr>
      </w:pPr>
      <w:r w:rsidRPr="00740E34">
        <w:rPr>
          <w:rFonts w:ascii="HGPｺﾞｼｯｸM" w:eastAsia="HGPｺﾞｼｯｸM" w:hAnsi="游明朝" w:cs="Times New Roman" w:hint="eastAsia"/>
          <w:b/>
          <w:color w:val="000000" w:themeColor="text1"/>
          <w:sz w:val="24"/>
          <w:szCs w:val="24"/>
        </w:rPr>
        <w:t>（１）基本</w:t>
      </w:r>
      <w:r w:rsidR="000F2FC9" w:rsidRPr="00740E34">
        <w:rPr>
          <w:rFonts w:ascii="HGPｺﾞｼｯｸM" w:eastAsia="HGPｺﾞｼｯｸM" w:hAnsi="游明朝" w:cs="Times New Roman" w:hint="eastAsia"/>
          <w:b/>
          <w:color w:val="000000" w:themeColor="text1"/>
          <w:sz w:val="24"/>
          <w:szCs w:val="24"/>
        </w:rPr>
        <w:t>原則</w:t>
      </w:r>
      <w:r w:rsidRPr="00740E34">
        <w:rPr>
          <w:rFonts w:ascii="HGPｺﾞｼｯｸM" w:eastAsia="HGPｺﾞｼｯｸM" w:hAnsi="游明朝" w:cs="Times New Roman" w:hint="eastAsia"/>
          <w:b/>
          <w:color w:val="000000" w:themeColor="text1"/>
          <w:sz w:val="24"/>
          <w:szCs w:val="24"/>
        </w:rPr>
        <w:t>に</w:t>
      </w:r>
      <w:r w:rsidR="000F2FC9" w:rsidRPr="00740E34">
        <w:rPr>
          <w:rFonts w:ascii="HGPｺﾞｼｯｸM" w:eastAsia="HGPｺﾞｼｯｸM" w:hAnsi="游明朝" w:cs="Times New Roman" w:hint="eastAsia"/>
          <w:b/>
          <w:color w:val="000000" w:themeColor="text1"/>
          <w:sz w:val="24"/>
          <w:szCs w:val="24"/>
        </w:rPr>
        <w:t>ついて</w:t>
      </w:r>
    </w:p>
    <w:p w14:paraId="405938D9" w14:textId="17CB23F3" w:rsidR="002C78E7" w:rsidRPr="00740E34" w:rsidRDefault="003013A3" w:rsidP="00957343">
      <w:pPr>
        <w:spacing w:beforeLines="50" w:before="180" w:line="300" w:lineRule="exact"/>
        <w:ind w:left="440" w:hangingChars="200" w:hanging="440"/>
        <w:jc w:val="left"/>
        <w:rPr>
          <w:rFonts w:ascii="HGPｺﾞｼｯｸM" w:eastAsia="HGPｺﾞｼｯｸM" w:hAnsi="游明朝" w:cs="Times New Roman"/>
          <w:color w:val="000000" w:themeColor="text1"/>
          <w:sz w:val="22"/>
        </w:rPr>
      </w:pPr>
      <w:r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 xml:space="preserve">　</w:t>
      </w:r>
      <w:r w:rsidR="002C78E7"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 xml:space="preserve">　【第１回部会の</w:t>
      </w:r>
      <w:r w:rsidR="00E5128B"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委員</w:t>
      </w:r>
      <w:r w:rsidR="002C78E7"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意見】</w:t>
      </w:r>
    </w:p>
    <w:p w14:paraId="74C2B46A" w14:textId="4348F69F" w:rsidR="003013A3" w:rsidRPr="00740E34" w:rsidRDefault="000F2FC9" w:rsidP="00957343">
      <w:pPr>
        <w:spacing w:afterLines="50" w:after="180" w:line="300" w:lineRule="exact"/>
        <w:ind w:leftChars="200" w:left="420" w:firstLineChars="100" w:firstLine="220"/>
        <w:jc w:val="left"/>
        <w:rPr>
          <w:rFonts w:ascii="HGPｺﾞｼｯｸM" w:eastAsia="HGPｺﾞｼｯｸM" w:hAnsi="游明朝" w:cs="Times New Roman"/>
          <w:color w:val="000000" w:themeColor="text1"/>
          <w:sz w:val="22"/>
        </w:rPr>
      </w:pPr>
      <w:r w:rsidRPr="00740E34">
        <w:rPr>
          <w:rFonts w:ascii="HGPｺﾞｼｯｸM" w:eastAsia="HGPｺﾞｼｯｸM" w:hAnsi="游明朝" w:cs="Times New Roman"/>
          <w:color w:val="000000" w:themeColor="text1"/>
          <w:sz w:val="22"/>
        </w:rPr>
        <w:t>2022年の</w:t>
      </w:r>
      <w:r w:rsidR="005011D6"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障害者権利委員会による見解及び勧告を含めた総括所見</w:t>
      </w:r>
      <w:r w:rsidR="00E5128B"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（いわゆる国連勧告）</w:t>
      </w:r>
      <w:r w:rsidRPr="00740E34">
        <w:rPr>
          <w:rFonts w:ascii="HGPｺﾞｼｯｸM" w:eastAsia="HGPｺﾞｼｯｸM" w:hAnsi="游明朝" w:cs="Times New Roman"/>
          <w:color w:val="000000" w:themeColor="text1"/>
          <w:sz w:val="22"/>
        </w:rPr>
        <w:t>では、障がいの『人権モデル』という言葉が</w:t>
      </w:r>
      <w:r w:rsidR="00E5128B"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使われるようになっている</w:t>
      </w:r>
      <w:r w:rsidRPr="00740E34">
        <w:rPr>
          <w:rFonts w:ascii="HGPｺﾞｼｯｸM" w:eastAsia="HGPｺﾞｼｯｸM" w:hAnsi="游明朝" w:cs="Times New Roman"/>
          <w:color w:val="000000" w:themeColor="text1"/>
          <w:sz w:val="22"/>
        </w:rPr>
        <w:t>。次期計画では、国連勧告を踏まえもっと人権にフォーカスするという観点で、項目順の並べ替えを検討しても良いのではないか。</w:t>
      </w:r>
    </w:p>
    <w:p w14:paraId="1FF5CB3D" w14:textId="5BB472F8" w:rsidR="009A588E" w:rsidRPr="00740E34" w:rsidRDefault="009A588E" w:rsidP="009A588E">
      <w:pPr>
        <w:spacing w:beforeLines="50" w:before="180" w:line="300" w:lineRule="exact"/>
        <w:ind w:left="440" w:hangingChars="200" w:hanging="440"/>
        <w:jc w:val="left"/>
        <w:rPr>
          <w:rFonts w:ascii="HGPｺﾞｼｯｸM" w:eastAsia="HGPｺﾞｼｯｸM" w:hAnsi="游明朝" w:cs="Times New Roman"/>
          <w:color w:val="000000" w:themeColor="text1"/>
          <w:sz w:val="22"/>
        </w:rPr>
      </w:pPr>
      <w:r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 xml:space="preserve">　　【事務局の整理】</w:t>
      </w:r>
    </w:p>
    <w:p w14:paraId="61B33269" w14:textId="06B71BDF" w:rsidR="009A588E" w:rsidRPr="00740E34" w:rsidRDefault="009A588E" w:rsidP="009A588E">
      <w:pPr>
        <w:spacing w:afterLines="50" w:after="180" w:line="300" w:lineRule="exact"/>
        <w:ind w:leftChars="200" w:left="420" w:firstLineChars="100" w:firstLine="220"/>
        <w:jc w:val="left"/>
        <w:rPr>
          <w:rFonts w:ascii="HGPｺﾞｼｯｸM" w:eastAsia="HGPｺﾞｼｯｸM" w:hAnsi="游明朝" w:cs="Times New Roman"/>
          <w:color w:val="000000" w:themeColor="text1"/>
          <w:sz w:val="22"/>
        </w:rPr>
      </w:pPr>
      <w:r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国連勧告を踏まえ権利についてフォーカスし、項目を並べ替え、共通場面「地域を育む」の施策の方向性とのすみ分けの観点から、より包括的な視点に立った表現に修正する。</w:t>
      </w:r>
    </w:p>
    <w:tbl>
      <w:tblPr>
        <w:tblStyle w:val="a3"/>
        <w:tblW w:w="10609" w:type="dxa"/>
        <w:tblInd w:w="443" w:type="dxa"/>
        <w:tblLook w:val="04A0" w:firstRow="1" w:lastRow="0" w:firstColumn="1" w:lastColumn="0" w:noHBand="0" w:noVBand="1"/>
      </w:tblPr>
      <w:tblGrid>
        <w:gridCol w:w="5304"/>
        <w:gridCol w:w="5305"/>
      </w:tblGrid>
      <w:tr w:rsidR="00740E34" w:rsidRPr="00740E34" w14:paraId="6A279A2E" w14:textId="77777777" w:rsidTr="00F41607">
        <w:trPr>
          <w:trHeight w:val="208"/>
        </w:trPr>
        <w:tc>
          <w:tcPr>
            <w:tcW w:w="5304" w:type="dxa"/>
            <w:shd w:val="clear" w:color="auto" w:fill="BDD6EE" w:themeFill="accent5" w:themeFillTint="66"/>
          </w:tcPr>
          <w:p w14:paraId="4DC5DE66" w14:textId="7EB7468E" w:rsidR="000F2FC9" w:rsidRPr="00740E34" w:rsidRDefault="000F2FC9" w:rsidP="000F2FC9">
            <w:pPr>
              <w:spacing w:line="300" w:lineRule="exact"/>
              <w:jc w:val="center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現行計画</w:t>
            </w:r>
          </w:p>
        </w:tc>
        <w:tc>
          <w:tcPr>
            <w:tcW w:w="5305" w:type="dxa"/>
            <w:shd w:val="clear" w:color="auto" w:fill="BDD6EE" w:themeFill="accent5" w:themeFillTint="66"/>
          </w:tcPr>
          <w:p w14:paraId="3AF1D28F" w14:textId="4C5A5948" w:rsidR="000F2FC9" w:rsidRPr="00740E34" w:rsidRDefault="0057036A" w:rsidP="000F2FC9">
            <w:pPr>
              <w:spacing w:line="300" w:lineRule="exact"/>
              <w:jc w:val="center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次期計画（事務局案）</w:t>
            </w:r>
          </w:p>
        </w:tc>
      </w:tr>
      <w:tr w:rsidR="0057036A" w:rsidRPr="00740E34" w14:paraId="65B9FB41" w14:textId="77777777" w:rsidTr="00DD56A0">
        <w:trPr>
          <w:trHeight w:val="1529"/>
        </w:trPr>
        <w:tc>
          <w:tcPr>
            <w:tcW w:w="5304" w:type="dxa"/>
          </w:tcPr>
          <w:p w14:paraId="3DD9359D" w14:textId="3F4302DF" w:rsidR="000F2FC9" w:rsidRPr="00740E34" w:rsidRDefault="0057036A" w:rsidP="0057036A">
            <w:pPr>
              <w:spacing w:line="300" w:lineRule="exact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①障がい者差別・虐待の防止、命と尊厳の保持</w:t>
            </w:r>
          </w:p>
          <w:p w14:paraId="4BAB676F" w14:textId="77777777" w:rsidR="0057036A" w:rsidRPr="00740E34" w:rsidRDefault="0057036A" w:rsidP="003013A3">
            <w:pPr>
              <w:spacing w:line="300" w:lineRule="exact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②多様な主体の協働による地域づくり</w:t>
            </w:r>
          </w:p>
          <w:p w14:paraId="1D44120C" w14:textId="77777777" w:rsidR="0057036A" w:rsidRPr="00740E34" w:rsidRDefault="0057036A" w:rsidP="0057036A">
            <w:pPr>
              <w:spacing w:line="300" w:lineRule="exact"/>
              <w:ind w:left="220" w:hangingChars="100" w:hanging="220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③あらゆる分野における大阪府全体の底上げ</w:t>
            </w:r>
          </w:p>
          <w:p w14:paraId="772676CE" w14:textId="7D1212D4" w:rsidR="0057036A" w:rsidRPr="00740E34" w:rsidRDefault="0057036A" w:rsidP="0057036A">
            <w:pPr>
              <w:spacing w:line="300" w:lineRule="exact"/>
              <w:ind w:left="220" w:hangingChars="100" w:hanging="220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④合理的配慮によるバリアフリーの充実</w:t>
            </w:r>
          </w:p>
          <w:p w14:paraId="0C52B593" w14:textId="08D20838" w:rsidR="0057036A" w:rsidRPr="00740E34" w:rsidRDefault="0057036A" w:rsidP="0057036A">
            <w:pPr>
              <w:spacing w:line="300" w:lineRule="exact"/>
              <w:ind w:left="220" w:hangingChars="100" w:hanging="220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⑤真の共生社会・インクルーシブな社会の実現</w:t>
            </w:r>
          </w:p>
        </w:tc>
        <w:tc>
          <w:tcPr>
            <w:tcW w:w="5305" w:type="dxa"/>
          </w:tcPr>
          <w:p w14:paraId="3895E6D8" w14:textId="7C9212B3" w:rsidR="0057036A" w:rsidRPr="00740E34" w:rsidRDefault="0057036A" w:rsidP="0057036A">
            <w:pPr>
              <w:spacing w:line="300" w:lineRule="exac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①真の共生社会・インクルーシブな社会の実現</w:t>
            </w:r>
          </w:p>
          <w:p w14:paraId="69C5C4CF" w14:textId="0EF9F3B5" w:rsidR="0057036A" w:rsidRPr="00740E34" w:rsidRDefault="0057036A" w:rsidP="0057036A">
            <w:pPr>
              <w:spacing w:line="300" w:lineRule="exac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②全てのひとの命と尊厳の保持</w:t>
            </w:r>
          </w:p>
          <w:p w14:paraId="631C18F5" w14:textId="1F743577" w:rsidR="0057036A" w:rsidRPr="00740E34" w:rsidRDefault="0057036A" w:rsidP="0057036A">
            <w:pPr>
              <w:spacing w:line="300" w:lineRule="exac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③障がいの有無によらない相互理解の促進</w:t>
            </w:r>
          </w:p>
          <w:p w14:paraId="47F64E16" w14:textId="17913EF2" w:rsidR="0057036A" w:rsidRPr="00740E34" w:rsidRDefault="0057036A" w:rsidP="0057036A">
            <w:pPr>
              <w:spacing w:line="300" w:lineRule="exac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④誰もが担い手となる地域づくり</w:t>
            </w:r>
          </w:p>
          <w:p w14:paraId="5C0C7A3A" w14:textId="5B06814A" w:rsidR="000F2FC9" w:rsidRPr="00740E34" w:rsidRDefault="0057036A" w:rsidP="00DD56A0">
            <w:pPr>
              <w:spacing w:line="300" w:lineRule="exac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⑤多様な主体の強みを活かした大阪府全体の底上げ</w:t>
            </w:r>
          </w:p>
        </w:tc>
      </w:tr>
    </w:tbl>
    <w:p w14:paraId="1DECF725" w14:textId="774190AD" w:rsidR="000F2FC9" w:rsidRPr="00740E34" w:rsidRDefault="000F2FC9" w:rsidP="003013A3">
      <w:pPr>
        <w:spacing w:line="300" w:lineRule="exact"/>
        <w:ind w:left="440" w:hangingChars="200" w:hanging="440"/>
        <w:jc w:val="left"/>
        <w:rPr>
          <w:rFonts w:ascii="HGPｺﾞｼｯｸM" w:eastAsia="HGPｺﾞｼｯｸM" w:hAnsi="游明朝" w:cs="Times New Roman"/>
          <w:color w:val="000000" w:themeColor="text1"/>
          <w:sz w:val="22"/>
        </w:rPr>
      </w:pPr>
    </w:p>
    <w:p w14:paraId="75EFC61F" w14:textId="6B102260" w:rsidR="003013A3" w:rsidRPr="00740E34" w:rsidRDefault="003013A3" w:rsidP="003013A3">
      <w:pPr>
        <w:spacing w:line="300" w:lineRule="exact"/>
        <w:jc w:val="left"/>
        <w:rPr>
          <w:rFonts w:ascii="HGPｺﾞｼｯｸM" w:eastAsia="HGPｺﾞｼｯｸM" w:hAnsi="游明朝" w:cs="Times New Roman"/>
          <w:b/>
          <w:color w:val="000000" w:themeColor="text1"/>
          <w:sz w:val="24"/>
          <w:szCs w:val="24"/>
        </w:rPr>
      </w:pPr>
      <w:r w:rsidRPr="00740E34">
        <w:rPr>
          <w:rFonts w:ascii="HGPｺﾞｼｯｸM" w:eastAsia="HGPｺﾞｼｯｸM" w:hAnsi="游明朝" w:cs="Times New Roman" w:hint="eastAsia"/>
          <w:b/>
          <w:color w:val="000000" w:themeColor="text1"/>
          <w:sz w:val="24"/>
          <w:szCs w:val="24"/>
        </w:rPr>
        <w:t>（２）</w:t>
      </w:r>
      <w:r w:rsidR="002C78E7" w:rsidRPr="00740E34">
        <w:rPr>
          <w:rFonts w:ascii="HGPｺﾞｼｯｸM" w:eastAsia="HGPｺﾞｼｯｸM" w:hAnsi="游明朝" w:cs="Times New Roman" w:hint="eastAsia"/>
          <w:b/>
          <w:color w:val="000000" w:themeColor="text1"/>
          <w:sz w:val="24"/>
          <w:szCs w:val="24"/>
        </w:rPr>
        <w:t>共通場面</w:t>
      </w:r>
      <w:r w:rsidRPr="00740E34">
        <w:rPr>
          <w:rFonts w:ascii="HGPｺﾞｼｯｸM" w:eastAsia="HGPｺﾞｼｯｸM" w:hAnsi="游明朝" w:cs="Times New Roman" w:hint="eastAsia"/>
          <w:b/>
          <w:color w:val="000000" w:themeColor="text1"/>
          <w:sz w:val="24"/>
          <w:szCs w:val="24"/>
        </w:rPr>
        <w:t>について</w:t>
      </w:r>
    </w:p>
    <w:p w14:paraId="1EF7B548" w14:textId="77777777" w:rsidR="009A588E" w:rsidRPr="00740E34" w:rsidRDefault="009A588E" w:rsidP="009A588E">
      <w:pPr>
        <w:spacing w:beforeLines="50" w:before="180" w:line="300" w:lineRule="exact"/>
        <w:ind w:left="440" w:hangingChars="200" w:hanging="440"/>
        <w:jc w:val="left"/>
        <w:rPr>
          <w:rFonts w:ascii="HGPｺﾞｼｯｸM" w:eastAsia="HGPｺﾞｼｯｸM" w:hAnsi="游明朝" w:cs="Times New Roman"/>
          <w:color w:val="000000" w:themeColor="text1"/>
          <w:sz w:val="22"/>
        </w:rPr>
      </w:pPr>
      <w:r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 xml:space="preserve">　　【事務局の整理】</w:t>
      </w:r>
    </w:p>
    <w:p w14:paraId="60090D17" w14:textId="6F015D2E" w:rsidR="002C78E7" w:rsidRPr="00740E34" w:rsidRDefault="009A588E" w:rsidP="009A588E">
      <w:pPr>
        <w:spacing w:afterLines="50" w:after="180" w:line="300" w:lineRule="exact"/>
        <w:ind w:leftChars="200" w:left="420" w:firstLineChars="100" w:firstLine="220"/>
        <w:jc w:val="left"/>
        <w:rPr>
          <w:rFonts w:ascii="HGPｺﾞｼｯｸM" w:eastAsia="HGPｺﾞｼｯｸM" w:hAnsi="游明朝" w:cs="Times New Roman"/>
          <w:color w:val="000000" w:themeColor="text1"/>
          <w:sz w:val="22"/>
        </w:rPr>
      </w:pPr>
      <w:r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障がい者を取り巻く状況の変化を踏まえた内容にするとともに、個別分野ごとの施策の方向性について、基本原則の項目順に対応した構成とする。</w:t>
      </w:r>
    </w:p>
    <w:tbl>
      <w:tblPr>
        <w:tblStyle w:val="a3"/>
        <w:tblW w:w="10609" w:type="dxa"/>
        <w:tblInd w:w="443" w:type="dxa"/>
        <w:tblLook w:val="04A0" w:firstRow="1" w:lastRow="0" w:firstColumn="1" w:lastColumn="0" w:noHBand="0" w:noVBand="1"/>
      </w:tblPr>
      <w:tblGrid>
        <w:gridCol w:w="5304"/>
        <w:gridCol w:w="5305"/>
      </w:tblGrid>
      <w:tr w:rsidR="00740E34" w:rsidRPr="00740E34" w14:paraId="7CC60B1A" w14:textId="77777777" w:rsidTr="00F41607">
        <w:trPr>
          <w:trHeight w:val="208"/>
        </w:trPr>
        <w:tc>
          <w:tcPr>
            <w:tcW w:w="5304" w:type="dxa"/>
            <w:shd w:val="clear" w:color="auto" w:fill="BDD6EE" w:themeFill="accent5" w:themeFillTint="66"/>
          </w:tcPr>
          <w:p w14:paraId="56480D70" w14:textId="77777777" w:rsidR="002C78E7" w:rsidRPr="00740E34" w:rsidRDefault="002C78E7" w:rsidP="00771B61">
            <w:pPr>
              <w:spacing w:line="300" w:lineRule="exact"/>
              <w:jc w:val="center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現行計画</w:t>
            </w:r>
          </w:p>
        </w:tc>
        <w:tc>
          <w:tcPr>
            <w:tcW w:w="5305" w:type="dxa"/>
            <w:shd w:val="clear" w:color="auto" w:fill="BDD6EE" w:themeFill="accent5" w:themeFillTint="66"/>
          </w:tcPr>
          <w:p w14:paraId="2538529D" w14:textId="77777777" w:rsidR="002C78E7" w:rsidRPr="00740E34" w:rsidRDefault="002C78E7" w:rsidP="00771B61">
            <w:pPr>
              <w:spacing w:line="300" w:lineRule="exact"/>
              <w:jc w:val="center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次期計画（事務局案）</w:t>
            </w:r>
          </w:p>
        </w:tc>
      </w:tr>
      <w:tr w:rsidR="002C78E7" w:rsidRPr="00740E34" w14:paraId="719CC628" w14:textId="77777777" w:rsidTr="00DD56A0">
        <w:trPr>
          <w:trHeight w:val="1900"/>
        </w:trPr>
        <w:tc>
          <w:tcPr>
            <w:tcW w:w="5304" w:type="dxa"/>
          </w:tcPr>
          <w:p w14:paraId="41872B87" w14:textId="16E2BC16" w:rsidR="002C78E7" w:rsidRPr="00740E34" w:rsidRDefault="00F512A2" w:rsidP="00F512A2">
            <w:pPr>
              <w:spacing w:line="300" w:lineRule="exact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①</w:t>
            </w:r>
            <w:r w:rsidR="00346859"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障がい者虐待の防止や差別の解消</w:t>
            </w:r>
          </w:p>
          <w:p w14:paraId="1961E7DB" w14:textId="77777777" w:rsidR="00346859" w:rsidRPr="00740E34" w:rsidRDefault="00346859" w:rsidP="00346859">
            <w:pPr>
              <w:spacing w:line="300" w:lineRule="exact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②関係機関による強固なネットワークの構築</w:t>
            </w:r>
          </w:p>
          <w:p w14:paraId="2F42C47D" w14:textId="77777777" w:rsidR="00346859" w:rsidRPr="00740E34" w:rsidRDefault="00346859" w:rsidP="00346859">
            <w:pPr>
              <w:spacing w:line="300" w:lineRule="exact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③人材の確保と育成</w:t>
            </w:r>
          </w:p>
          <w:p w14:paraId="7955F138" w14:textId="77777777" w:rsidR="00346859" w:rsidRPr="00740E34" w:rsidRDefault="00346859" w:rsidP="00346859">
            <w:pPr>
              <w:spacing w:line="300" w:lineRule="exact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④障がい理解の促進と合理的配慮の浸透</w:t>
            </w:r>
          </w:p>
          <w:p w14:paraId="0A0DE460" w14:textId="77777777" w:rsidR="00346859" w:rsidRPr="00740E34" w:rsidRDefault="00346859" w:rsidP="00346859">
            <w:pPr>
              <w:spacing w:line="300" w:lineRule="exact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⑤ユニバーサルデザインの推進</w:t>
            </w:r>
          </w:p>
          <w:p w14:paraId="09C7F688" w14:textId="7F884EAF" w:rsidR="00346859" w:rsidRPr="00740E34" w:rsidRDefault="00346859" w:rsidP="00346859">
            <w:pPr>
              <w:spacing w:line="300" w:lineRule="exact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⑥大阪府全体の底上げ</w:t>
            </w:r>
          </w:p>
        </w:tc>
        <w:tc>
          <w:tcPr>
            <w:tcW w:w="5305" w:type="dxa"/>
          </w:tcPr>
          <w:p w14:paraId="5749853D" w14:textId="421EBF13" w:rsidR="002C78E7" w:rsidRPr="00740E34" w:rsidRDefault="002C78E7" w:rsidP="00771B61">
            <w:pPr>
              <w:spacing w:line="300" w:lineRule="exac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①</w:t>
            </w:r>
            <w:r w:rsidR="00346859"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障がい者の権利保障</w:t>
            </w:r>
          </w:p>
          <w:p w14:paraId="3A895A17" w14:textId="3EC6AFF7" w:rsidR="002C78E7" w:rsidRPr="00740E34" w:rsidRDefault="002C78E7" w:rsidP="00771B61">
            <w:pPr>
              <w:spacing w:line="300" w:lineRule="exac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②</w:t>
            </w:r>
            <w:r w:rsidR="00346859"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障がい者の差別の解消</w:t>
            </w:r>
            <w:r w:rsidR="006B496C"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や虐待の防止</w:t>
            </w:r>
          </w:p>
          <w:p w14:paraId="4251F188" w14:textId="22B5C034" w:rsidR="002C78E7" w:rsidRPr="00740E34" w:rsidRDefault="002C78E7" w:rsidP="00771B61">
            <w:pPr>
              <w:spacing w:line="300" w:lineRule="exac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③</w:t>
            </w:r>
            <w:r w:rsidR="00346859"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誰もが暮らしやすい環境の整備</w:t>
            </w:r>
          </w:p>
          <w:p w14:paraId="5CABCBB1" w14:textId="7679E352" w:rsidR="002C78E7" w:rsidRPr="00740E34" w:rsidRDefault="002C78E7" w:rsidP="00771B61">
            <w:pPr>
              <w:spacing w:line="300" w:lineRule="exac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④</w:t>
            </w:r>
            <w:r w:rsidR="00346859"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情報保障及びコミュニケーションの推進</w:t>
            </w:r>
          </w:p>
          <w:p w14:paraId="0BB0481B" w14:textId="77777777" w:rsidR="002C78E7" w:rsidRPr="00740E34" w:rsidRDefault="002C78E7" w:rsidP="00346859">
            <w:pPr>
              <w:spacing w:line="300" w:lineRule="exac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⑤</w:t>
            </w:r>
            <w:r w:rsidR="00346859"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障がい者の生活を支える人材の確保・育成</w:t>
            </w:r>
          </w:p>
          <w:p w14:paraId="5E33504F" w14:textId="7BB23F6A" w:rsidR="00346859" w:rsidRPr="00740E34" w:rsidRDefault="00346859" w:rsidP="00346859">
            <w:pPr>
              <w:spacing w:line="300" w:lineRule="exact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⑥地域の支援力の強化</w:t>
            </w:r>
          </w:p>
        </w:tc>
      </w:tr>
    </w:tbl>
    <w:p w14:paraId="0A907BF1" w14:textId="044E7765" w:rsidR="003013A3" w:rsidRPr="00740E34" w:rsidRDefault="003013A3" w:rsidP="003013A3">
      <w:pPr>
        <w:spacing w:line="300" w:lineRule="exact"/>
        <w:ind w:firstLineChars="50" w:firstLine="110"/>
        <w:jc w:val="left"/>
        <w:rPr>
          <w:rFonts w:ascii="HGPｺﾞｼｯｸM" w:eastAsia="HGPｺﾞｼｯｸM" w:hAnsi="游明朝" w:cs="Times New Roman"/>
          <w:color w:val="000000" w:themeColor="text1"/>
          <w:sz w:val="22"/>
        </w:rPr>
      </w:pPr>
    </w:p>
    <w:p w14:paraId="2D453D7C" w14:textId="4C6DFEC4" w:rsidR="0083700C" w:rsidRPr="00740E34" w:rsidRDefault="0083700C" w:rsidP="0083700C">
      <w:pPr>
        <w:spacing w:line="300" w:lineRule="exact"/>
        <w:jc w:val="left"/>
        <w:rPr>
          <w:rFonts w:ascii="HGPｺﾞｼｯｸM" w:eastAsia="HGPｺﾞｼｯｸM" w:hAnsi="游明朝" w:cs="Times New Roman"/>
          <w:b/>
          <w:color w:val="000000" w:themeColor="text1"/>
          <w:sz w:val="24"/>
          <w:szCs w:val="24"/>
        </w:rPr>
      </w:pPr>
      <w:r w:rsidRPr="00740E34">
        <w:rPr>
          <w:rFonts w:ascii="HGPｺﾞｼｯｸM" w:eastAsia="HGPｺﾞｼｯｸM" w:hAnsi="游明朝" w:cs="Times New Roman" w:hint="eastAsia"/>
          <w:b/>
          <w:color w:val="000000" w:themeColor="text1"/>
          <w:sz w:val="24"/>
          <w:szCs w:val="24"/>
        </w:rPr>
        <w:lastRenderedPageBreak/>
        <w:t>（３）</w:t>
      </w:r>
      <w:r w:rsidR="00F96855" w:rsidRPr="00740E34">
        <w:rPr>
          <w:rFonts w:ascii="HGPｺﾞｼｯｸM" w:eastAsia="HGPｺﾞｼｯｸM" w:hAnsi="游明朝" w:cs="Times New Roman" w:hint="eastAsia"/>
          <w:b/>
          <w:color w:val="000000" w:themeColor="text1"/>
          <w:sz w:val="24"/>
          <w:szCs w:val="24"/>
        </w:rPr>
        <w:t>共通場面と</w:t>
      </w:r>
      <w:r w:rsidRPr="00740E34">
        <w:rPr>
          <w:rFonts w:ascii="HGPｺﾞｼｯｸM" w:eastAsia="HGPｺﾞｼｯｸM" w:hAnsi="游明朝" w:cs="Times New Roman" w:hint="eastAsia"/>
          <w:b/>
          <w:color w:val="000000" w:themeColor="text1"/>
          <w:sz w:val="24"/>
          <w:szCs w:val="24"/>
        </w:rPr>
        <w:t>生活場面</w:t>
      </w:r>
      <w:r w:rsidR="00F96855" w:rsidRPr="00740E34">
        <w:rPr>
          <w:rFonts w:ascii="HGPｺﾞｼｯｸM" w:eastAsia="HGPｺﾞｼｯｸM" w:hAnsi="游明朝" w:cs="Times New Roman" w:hint="eastAsia"/>
          <w:b/>
          <w:color w:val="000000" w:themeColor="text1"/>
          <w:sz w:val="24"/>
          <w:szCs w:val="24"/>
        </w:rPr>
        <w:t>の整理</w:t>
      </w:r>
    </w:p>
    <w:p w14:paraId="674D7C31" w14:textId="5BEB3311" w:rsidR="00E5128B" w:rsidRPr="00740E34" w:rsidRDefault="00E5128B" w:rsidP="009A588E">
      <w:pPr>
        <w:spacing w:beforeLines="50" w:before="180" w:line="300" w:lineRule="exact"/>
        <w:ind w:leftChars="150" w:left="425" w:hangingChars="50" w:hanging="110"/>
        <w:jc w:val="left"/>
        <w:rPr>
          <w:rFonts w:ascii="HGPｺﾞｼｯｸM" w:eastAsia="HGPｺﾞｼｯｸM" w:hAnsi="游明朝" w:cs="Times New Roman"/>
          <w:color w:val="000000" w:themeColor="text1"/>
          <w:sz w:val="22"/>
        </w:rPr>
      </w:pPr>
      <w:r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【第2回部会の委員意見】</w:t>
      </w:r>
    </w:p>
    <w:p w14:paraId="48BB420E" w14:textId="16D2F9DB" w:rsidR="00E5128B" w:rsidRPr="00740E34" w:rsidRDefault="00E5128B" w:rsidP="009A588E">
      <w:pPr>
        <w:spacing w:line="300" w:lineRule="exact"/>
        <w:ind w:leftChars="200" w:left="420" w:firstLineChars="100" w:firstLine="220"/>
        <w:jc w:val="left"/>
        <w:rPr>
          <w:rFonts w:ascii="HGPｺﾞｼｯｸM" w:eastAsia="HGPｺﾞｼｯｸM" w:hAnsi="游明朝" w:cs="Times New Roman"/>
          <w:color w:val="000000" w:themeColor="text1"/>
          <w:sz w:val="22"/>
        </w:rPr>
      </w:pPr>
      <w:r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基本原則や共通場面と同様に</w:t>
      </w:r>
      <w:r w:rsidR="00DD56A0"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生活場面Ⅵ「人間（ひと）としての尊厳を持って生きる」</w:t>
      </w:r>
      <w:r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を生活場面のはじめに持ってきて、権利保障についてしっかりと言及した上で、各生活場面という流れにした方が良いのではないか。</w:t>
      </w:r>
    </w:p>
    <w:p w14:paraId="370C392B" w14:textId="6AF9EFC0" w:rsidR="009A588E" w:rsidRPr="00740E34" w:rsidRDefault="009A588E" w:rsidP="00E5128B">
      <w:pPr>
        <w:spacing w:line="300" w:lineRule="exact"/>
        <w:ind w:firstLineChars="100" w:firstLine="220"/>
        <w:jc w:val="left"/>
        <w:rPr>
          <w:rFonts w:ascii="HGPｺﾞｼｯｸM" w:eastAsia="HGPｺﾞｼｯｸM" w:hAnsi="游明朝" w:cs="Times New Roman"/>
          <w:color w:val="000000" w:themeColor="text1"/>
          <w:sz w:val="22"/>
        </w:rPr>
      </w:pPr>
    </w:p>
    <w:p w14:paraId="116F7D62" w14:textId="6F34F329" w:rsidR="009A588E" w:rsidRPr="00740E34" w:rsidRDefault="009A588E" w:rsidP="009A588E">
      <w:pPr>
        <w:spacing w:line="300" w:lineRule="exact"/>
        <w:ind w:firstLineChars="150" w:firstLine="330"/>
        <w:jc w:val="left"/>
        <w:rPr>
          <w:rFonts w:ascii="HGPｺﾞｼｯｸM" w:eastAsia="HGPｺﾞｼｯｸM" w:hAnsi="游明朝" w:cs="Times New Roman"/>
          <w:color w:val="000000" w:themeColor="text1"/>
          <w:sz w:val="22"/>
        </w:rPr>
      </w:pPr>
      <w:r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【事務局の整理】</w:t>
      </w:r>
    </w:p>
    <w:p w14:paraId="5D6155B1" w14:textId="1B726A69" w:rsidR="009A588E" w:rsidRPr="00740E34" w:rsidRDefault="009A588E" w:rsidP="009A588E">
      <w:pPr>
        <w:spacing w:line="300" w:lineRule="exact"/>
        <w:ind w:firstLineChars="200" w:firstLine="440"/>
        <w:jc w:val="left"/>
        <w:rPr>
          <w:rFonts w:ascii="HGPｺﾞｼｯｸM" w:eastAsia="HGPｺﾞｼｯｸM" w:hAnsi="游明朝" w:cs="Times New Roman"/>
          <w:color w:val="000000" w:themeColor="text1"/>
          <w:sz w:val="22"/>
        </w:rPr>
      </w:pPr>
      <w:r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・</w:t>
      </w:r>
      <w:r w:rsidR="00C82937"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生活場面Ⅵ</w:t>
      </w:r>
      <w:r w:rsidR="00DD56A0"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「人間（ひと）として</w:t>
      </w:r>
      <w:r w:rsidR="00F24F8F"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の</w:t>
      </w:r>
      <w:r w:rsidR="00DD56A0"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尊厳をもって生きる」の</w:t>
      </w:r>
      <w:r w:rsidR="00C82937"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内容について</w:t>
      </w:r>
      <w:r w:rsidR="00DD56A0"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以下のとおり整理し、</w:t>
      </w:r>
      <w:r w:rsidR="00907EA3"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共通場面と統合</w:t>
      </w:r>
      <w:r w:rsidR="00FE72E1"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する</w:t>
      </w:r>
      <w:r w:rsidR="00907EA3" w:rsidRPr="00740E34">
        <w:rPr>
          <w:rFonts w:ascii="HGPｺﾞｼｯｸM" w:eastAsia="HGPｺﾞｼｯｸM" w:hAnsi="游明朝" w:cs="Times New Roman" w:hint="eastAsia"/>
          <w:color w:val="000000" w:themeColor="text1"/>
          <w:sz w:val="22"/>
        </w:rPr>
        <w:t>。</w:t>
      </w:r>
    </w:p>
    <w:tbl>
      <w:tblPr>
        <w:tblStyle w:val="a3"/>
        <w:tblW w:w="10609" w:type="dxa"/>
        <w:tblInd w:w="443" w:type="dxa"/>
        <w:tblLook w:val="04A0" w:firstRow="1" w:lastRow="0" w:firstColumn="1" w:lastColumn="0" w:noHBand="0" w:noVBand="1"/>
      </w:tblPr>
      <w:tblGrid>
        <w:gridCol w:w="5304"/>
        <w:gridCol w:w="5305"/>
      </w:tblGrid>
      <w:tr w:rsidR="00740E34" w:rsidRPr="00740E34" w14:paraId="024A698F" w14:textId="77777777" w:rsidTr="00F41607">
        <w:trPr>
          <w:trHeight w:val="208"/>
        </w:trPr>
        <w:tc>
          <w:tcPr>
            <w:tcW w:w="5304" w:type="dxa"/>
            <w:shd w:val="clear" w:color="auto" w:fill="BDD6EE" w:themeFill="accent5" w:themeFillTint="66"/>
          </w:tcPr>
          <w:p w14:paraId="55D2160C" w14:textId="77777777" w:rsidR="004C2390" w:rsidRPr="00740E34" w:rsidRDefault="004C2390" w:rsidP="00493DC6">
            <w:pPr>
              <w:spacing w:line="300" w:lineRule="exact"/>
              <w:jc w:val="center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現行計画</w:t>
            </w:r>
          </w:p>
        </w:tc>
        <w:tc>
          <w:tcPr>
            <w:tcW w:w="5305" w:type="dxa"/>
            <w:shd w:val="clear" w:color="auto" w:fill="BDD6EE" w:themeFill="accent5" w:themeFillTint="66"/>
          </w:tcPr>
          <w:p w14:paraId="77A4A492" w14:textId="77777777" w:rsidR="004C2390" w:rsidRPr="00740E34" w:rsidRDefault="004C2390" w:rsidP="00493DC6">
            <w:pPr>
              <w:spacing w:line="300" w:lineRule="exact"/>
              <w:jc w:val="center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次期計画（事務局案）</w:t>
            </w:r>
          </w:p>
        </w:tc>
      </w:tr>
      <w:tr w:rsidR="004C2390" w:rsidRPr="00740E34" w14:paraId="4ACD528E" w14:textId="77777777" w:rsidTr="004C2390">
        <w:trPr>
          <w:trHeight w:val="1228"/>
        </w:trPr>
        <w:tc>
          <w:tcPr>
            <w:tcW w:w="5304" w:type="dxa"/>
          </w:tcPr>
          <w:p w14:paraId="2C069BE0" w14:textId="77777777" w:rsidR="004C2390" w:rsidRPr="00740E34" w:rsidRDefault="004C2390" w:rsidP="004C2390">
            <w:pPr>
              <w:spacing w:line="300" w:lineRule="exact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①障がいや障がい者への正しい理解を深める</w:t>
            </w:r>
          </w:p>
          <w:p w14:paraId="1496A0BE" w14:textId="77777777" w:rsidR="004C2390" w:rsidRPr="00740E34" w:rsidRDefault="004C2390" w:rsidP="004C2390">
            <w:pPr>
              <w:spacing w:line="300" w:lineRule="exact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②障がい者の尊厳を保持する</w:t>
            </w:r>
          </w:p>
          <w:p w14:paraId="71A14D9F" w14:textId="77777777" w:rsidR="004C2390" w:rsidRPr="00740E34" w:rsidRDefault="004C2390" w:rsidP="004C2390">
            <w:pPr>
              <w:spacing w:line="300" w:lineRule="exact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③安全・安心を確保する</w:t>
            </w:r>
          </w:p>
          <w:p w14:paraId="75229B8E" w14:textId="542BBA3B" w:rsidR="004C2390" w:rsidRPr="00740E34" w:rsidRDefault="004C2390" w:rsidP="004C2390">
            <w:pPr>
              <w:spacing w:line="300" w:lineRule="exact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④十分な情報・コミュニケーションを確保する</w:t>
            </w:r>
          </w:p>
        </w:tc>
        <w:tc>
          <w:tcPr>
            <w:tcW w:w="5305" w:type="dxa"/>
          </w:tcPr>
          <w:p w14:paraId="487D463E" w14:textId="417A1FF8" w:rsidR="004C2390" w:rsidRPr="00740E34" w:rsidRDefault="004C2390" w:rsidP="004C2390">
            <w:pPr>
              <w:spacing w:line="300" w:lineRule="exac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共通場面の個別分野ごとの施策②に統合</w:t>
            </w:r>
          </w:p>
          <w:p w14:paraId="08FC92AA" w14:textId="4BF1A5A4" w:rsidR="004C2390" w:rsidRPr="00740E34" w:rsidRDefault="004C2390" w:rsidP="004C2390">
            <w:pPr>
              <w:spacing w:line="300" w:lineRule="exac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共通場面の個別分野ごとの施策①・②に統合</w:t>
            </w:r>
          </w:p>
          <w:p w14:paraId="5C934AF0" w14:textId="295AB5F1" w:rsidR="004C2390" w:rsidRPr="00740E34" w:rsidRDefault="004C2390" w:rsidP="004C2390">
            <w:pPr>
              <w:spacing w:line="300" w:lineRule="exac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共通場面の個別分野ごとの施策⑥に統合</w:t>
            </w:r>
          </w:p>
          <w:p w14:paraId="187B3C84" w14:textId="36B15C51" w:rsidR="004C2390" w:rsidRPr="00740E34" w:rsidRDefault="004C2390" w:rsidP="004C2390">
            <w:pPr>
              <w:spacing w:line="300" w:lineRule="exact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共通場面の個別分野ごとの施策④に統合</w:t>
            </w:r>
          </w:p>
        </w:tc>
      </w:tr>
    </w:tbl>
    <w:p w14:paraId="5D82AD42" w14:textId="793DAA4B" w:rsidR="004C2390" w:rsidRPr="00740E34" w:rsidRDefault="004C2390" w:rsidP="004C2390">
      <w:pPr>
        <w:spacing w:line="300" w:lineRule="exact"/>
        <w:jc w:val="left"/>
        <w:rPr>
          <w:rFonts w:ascii="HGPｺﾞｼｯｸM" w:eastAsia="HGPｺﾞｼｯｸM" w:hAnsi="游明朝" w:cs="Times New Roman"/>
          <w:color w:val="000000" w:themeColor="text1"/>
          <w:sz w:val="22"/>
        </w:rPr>
      </w:pPr>
    </w:p>
    <w:p w14:paraId="38305BCA" w14:textId="6E276420" w:rsidR="004C2390" w:rsidRPr="00740E34" w:rsidRDefault="00DD56A0" w:rsidP="00F512A2">
      <w:pPr>
        <w:spacing w:line="300" w:lineRule="exact"/>
        <w:jc w:val="left"/>
        <w:rPr>
          <w:rFonts w:ascii="HGPｺﾞｼｯｸM" w:eastAsia="HGPｺﾞｼｯｸM" w:hAnsiTheme="majorEastAsia"/>
          <w:color w:val="000000" w:themeColor="text1"/>
          <w:sz w:val="22"/>
          <w:szCs w:val="24"/>
        </w:rPr>
      </w:pPr>
      <w:r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 xml:space="preserve">　　 ・生活場面Ⅰ「地域やまちで暮らす」の内容について以下のとおり整理</w:t>
      </w:r>
      <w:r w:rsidR="00907EA3"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し、共通場面と統合</w:t>
      </w:r>
      <w:r w:rsidR="00FE72E1"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する</w:t>
      </w:r>
      <w:r w:rsidR="00907EA3"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。</w:t>
      </w:r>
    </w:p>
    <w:tbl>
      <w:tblPr>
        <w:tblStyle w:val="a3"/>
        <w:tblW w:w="10609" w:type="dxa"/>
        <w:tblInd w:w="443" w:type="dxa"/>
        <w:tblLook w:val="04A0" w:firstRow="1" w:lastRow="0" w:firstColumn="1" w:lastColumn="0" w:noHBand="0" w:noVBand="1"/>
      </w:tblPr>
      <w:tblGrid>
        <w:gridCol w:w="5304"/>
        <w:gridCol w:w="5305"/>
      </w:tblGrid>
      <w:tr w:rsidR="00740E34" w:rsidRPr="00740E34" w14:paraId="12BE2C49" w14:textId="77777777" w:rsidTr="00F41607">
        <w:trPr>
          <w:trHeight w:val="208"/>
        </w:trPr>
        <w:tc>
          <w:tcPr>
            <w:tcW w:w="5304" w:type="dxa"/>
            <w:shd w:val="clear" w:color="auto" w:fill="BDD6EE" w:themeFill="accent5" w:themeFillTint="66"/>
          </w:tcPr>
          <w:p w14:paraId="25D3BEC7" w14:textId="77777777" w:rsidR="004C2390" w:rsidRPr="00740E34" w:rsidRDefault="004C2390" w:rsidP="00493DC6">
            <w:pPr>
              <w:spacing w:line="300" w:lineRule="exact"/>
              <w:jc w:val="center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現行計画</w:t>
            </w:r>
          </w:p>
        </w:tc>
        <w:tc>
          <w:tcPr>
            <w:tcW w:w="5305" w:type="dxa"/>
            <w:shd w:val="clear" w:color="auto" w:fill="BDD6EE" w:themeFill="accent5" w:themeFillTint="66"/>
          </w:tcPr>
          <w:p w14:paraId="474A918A" w14:textId="77777777" w:rsidR="004C2390" w:rsidRPr="00740E34" w:rsidRDefault="004C2390" w:rsidP="00493DC6">
            <w:pPr>
              <w:spacing w:line="300" w:lineRule="exact"/>
              <w:jc w:val="center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次期計画（事務局案）</w:t>
            </w:r>
          </w:p>
        </w:tc>
      </w:tr>
      <w:tr w:rsidR="004C2390" w:rsidRPr="00740E34" w14:paraId="774C632F" w14:textId="77777777" w:rsidTr="00F41607">
        <w:trPr>
          <w:trHeight w:val="904"/>
        </w:trPr>
        <w:tc>
          <w:tcPr>
            <w:tcW w:w="5304" w:type="dxa"/>
          </w:tcPr>
          <w:p w14:paraId="32BE793F" w14:textId="77777777" w:rsidR="004C2390" w:rsidRPr="00740E34" w:rsidRDefault="004C2390" w:rsidP="004C2390">
            <w:pPr>
              <w:spacing w:line="300" w:lineRule="exact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④まちで快適に生活できる</w:t>
            </w:r>
          </w:p>
          <w:p w14:paraId="503E45A5" w14:textId="77777777" w:rsidR="004C2390" w:rsidRPr="00740E34" w:rsidRDefault="004C2390" w:rsidP="004C2390">
            <w:pPr>
              <w:spacing w:line="300" w:lineRule="exact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 xml:space="preserve">　安全で安心な地域生活のための環境整備</w:t>
            </w:r>
          </w:p>
          <w:p w14:paraId="67AC262D" w14:textId="0002AA08" w:rsidR="004C2390" w:rsidRPr="00740E34" w:rsidRDefault="004C2390" w:rsidP="004C2390">
            <w:pPr>
              <w:spacing w:line="300" w:lineRule="exact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 xml:space="preserve">　災害発生時の情報保障や安全確保の取組み</w:t>
            </w:r>
          </w:p>
        </w:tc>
        <w:tc>
          <w:tcPr>
            <w:tcW w:w="5305" w:type="dxa"/>
          </w:tcPr>
          <w:p w14:paraId="171AACDC" w14:textId="77777777" w:rsidR="004C2390" w:rsidRPr="00740E34" w:rsidRDefault="004C2390" w:rsidP="004C2390">
            <w:pPr>
              <w:spacing w:line="300" w:lineRule="exac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</w:p>
          <w:p w14:paraId="5494DD23" w14:textId="6D880AFE" w:rsidR="004C2390" w:rsidRPr="00740E34" w:rsidRDefault="004C2390" w:rsidP="004C2390">
            <w:pPr>
              <w:spacing w:line="300" w:lineRule="exac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共通場面の個別分野ごとの施策③に統合</w:t>
            </w:r>
          </w:p>
          <w:p w14:paraId="3BD50C79" w14:textId="698F9D6A" w:rsidR="004C2390" w:rsidRPr="00740E34" w:rsidRDefault="004C2390" w:rsidP="004C2390">
            <w:pPr>
              <w:spacing w:line="300" w:lineRule="exact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int="eastAsia"/>
                <w:color w:val="000000" w:themeColor="text1"/>
                <w:sz w:val="22"/>
              </w:rPr>
              <w:t>共通場面の個別分野ごとの施策⑥に統合</w:t>
            </w:r>
          </w:p>
        </w:tc>
      </w:tr>
    </w:tbl>
    <w:p w14:paraId="505E0CEC" w14:textId="77777777" w:rsidR="00907EA3" w:rsidRPr="00740E34" w:rsidRDefault="00907EA3" w:rsidP="00F512A2">
      <w:pPr>
        <w:spacing w:line="300" w:lineRule="exact"/>
        <w:jc w:val="left"/>
        <w:rPr>
          <w:rFonts w:ascii="HGPｺﾞｼｯｸM" w:eastAsia="HGPｺﾞｼｯｸM" w:hAnsiTheme="majorEastAsia"/>
          <w:color w:val="000000" w:themeColor="text1"/>
          <w:sz w:val="22"/>
          <w:szCs w:val="24"/>
        </w:rPr>
      </w:pPr>
    </w:p>
    <w:p w14:paraId="23ABDD46" w14:textId="412FAED0" w:rsidR="00907EA3" w:rsidRPr="00740E34" w:rsidRDefault="00907EA3" w:rsidP="009E7653">
      <w:pPr>
        <w:spacing w:line="300" w:lineRule="exact"/>
        <w:ind w:leftChars="200" w:left="420"/>
        <w:jc w:val="left"/>
        <w:rPr>
          <w:rFonts w:ascii="HGPｺﾞｼｯｸM" w:eastAsia="HGPｺﾞｼｯｸM" w:hAnsiTheme="majorEastAsia"/>
          <w:color w:val="000000" w:themeColor="text1"/>
          <w:sz w:val="22"/>
          <w:szCs w:val="24"/>
        </w:rPr>
      </w:pPr>
      <w:r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・現行計画の共通場面「地域を育む」の個別分野①～⑥は、共通の“場面”というよりも、各生活場面に</w:t>
      </w:r>
      <w:r w:rsidR="009E7653"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共通して横断的に</w:t>
      </w:r>
      <w:r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必要</w:t>
      </w:r>
      <w:r w:rsidR="009E7653"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となる</w:t>
      </w:r>
      <w:r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“視点”</w:t>
      </w:r>
      <w:r w:rsidR="009E7653"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と考えられる。また、</w:t>
      </w:r>
      <w:r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“地域”と“まち”の違いとして、</w:t>
      </w:r>
      <w:r w:rsidR="009E7653"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“地域”</w:t>
      </w:r>
      <w:r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を自分が選んだ場所、繋がりがある場所と定義</w:t>
      </w:r>
      <w:r w:rsidR="009E7653"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すると、</w:t>
      </w:r>
      <w:r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「地域を育む」</w:t>
      </w:r>
      <w:r w:rsidR="009E7653"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では範囲が限定された表現となってしまう。そのため、以下のとおり整理</w:t>
      </w:r>
      <w:r w:rsidR="00FE72E1"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する</w:t>
      </w:r>
      <w:r w:rsidR="009E7653"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。</w:t>
      </w:r>
    </w:p>
    <w:tbl>
      <w:tblPr>
        <w:tblStyle w:val="a3"/>
        <w:tblW w:w="10609" w:type="dxa"/>
        <w:tblInd w:w="443" w:type="dxa"/>
        <w:tblLook w:val="04A0" w:firstRow="1" w:lastRow="0" w:firstColumn="1" w:lastColumn="0" w:noHBand="0" w:noVBand="1"/>
      </w:tblPr>
      <w:tblGrid>
        <w:gridCol w:w="5304"/>
        <w:gridCol w:w="5305"/>
      </w:tblGrid>
      <w:tr w:rsidR="00740E34" w:rsidRPr="00740E34" w14:paraId="12963871" w14:textId="77777777" w:rsidTr="00F41607">
        <w:trPr>
          <w:trHeight w:val="208"/>
        </w:trPr>
        <w:tc>
          <w:tcPr>
            <w:tcW w:w="5304" w:type="dxa"/>
            <w:shd w:val="clear" w:color="auto" w:fill="BDD6EE" w:themeFill="accent5" w:themeFillTint="66"/>
          </w:tcPr>
          <w:p w14:paraId="70614256" w14:textId="77777777" w:rsidR="00F41607" w:rsidRPr="00740E34" w:rsidRDefault="00F41607" w:rsidP="00493DC6">
            <w:pPr>
              <w:spacing w:line="300" w:lineRule="exact"/>
              <w:jc w:val="center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現行計画</w:t>
            </w:r>
          </w:p>
        </w:tc>
        <w:tc>
          <w:tcPr>
            <w:tcW w:w="5305" w:type="dxa"/>
            <w:shd w:val="clear" w:color="auto" w:fill="BDD6EE" w:themeFill="accent5" w:themeFillTint="66"/>
          </w:tcPr>
          <w:p w14:paraId="5E3AD8A6" w14:textId="77777777" w:rsidR="00F41607" w:rsidRPr="00740E34" w:rsidRDefault="00F41607" w:rsidP="00493DC6">
            <w:pPr>
              <w:spacing w:line="300" w:lineRule="exact"/>
              <w:jc w:val="center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="游明朝" w:cs="Times New Roman" w:hint="eastAsia"/>
                <w:color w:val="000000" w:themeColor="text1"/>
                <w:sz w:val="22"/>
              </w:rPr>
              <w:t>次期計画（事務局案）</w:t>
            </w:r>
          </w:p>
        </w:tc>
      </w:tr>
      <w:tr w:rsidR="00F41607" w:rsidRPr="00740E34" w14:paraId="5A6072FB" w14:textId="77777777" w:rsidTr="00F41607">
        <w:trPr>
          <w:trHeight w:val="315"/>
        </w:trPr>
        <w:tc>
          <w:tcPr>
            <w:tcW w:w="5304" w:type="dxa"/>
          </w:tcPr>
          <w:p w14:paraId="2FD26F5B" w14:textId="0634305A" w:rsidR="00F41607" w:rsidRPr="00740E34" w:rsidRDefault="00F41607" w:rsidP="00493DC6">
            <w:pPr>
              <w:spacing w:line="300" w:lineRule="exact"/>
              <w:jc w:val="left"/>
              <w:rPr>
                <w:rFonts w:ascii="HGPｺﾞｼｯｸM" w:eastAsia="HGPｺﾞｼｯｸM" w:hAnsi="游明朝" w:cs="Times New Roman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Theme="majorEastAsia" w:hint="eastAsia"/>
                <w:color w:val="000000" w:themeColor="text1"/>
                <w:sz w:val="22"/>
                <w:szCs w:val="24"/>
              </w:rPr>
              <w:t>共通場面「地域を育む」</w:t>
            </w:r>
          </w:p>
        </w:tc>
        <w:tc>
          <w:tcPr>
            <w:tcW w:w="5305" w:type="dxa"/>
          </w:tcPr>
          <w:p w14:paraId="71440AD5" w14:textId="4BE55EC5" w:rsidR="00F41607" w:rsidRPr="00740E34" w:rsidRDefault="00F41607" w:rsidP="00493DC6">
            <w:pPr>
              <w:spacing w:line="300" w:lineRule="exact"/>
              <w:jc w:val="left"/>
              <w:rPr>
                <w:rFonts w:ascii="HGPｺﾞｼｯｸM" w:eastAsia="HGPｺﾞｼｯｸM"/>
                <w:color w:val="000000" w:themeColor="text1"/>
                <w:sz w:val="22"/>
              </w:rPr>
            </w:pPr>
            <w:r w:rsidRPr="00740E34">
              <w:rPr>
                <w:rFonts w:ascii="HGPｺﾞｼｯｸM" w:eastAsia="HGPｺﾞｼｯｸM" w:hAnsiTheme="majorEastAsia" w:hint="eastAsia"/>
                <w:color w:val="000000" w:themeColor="text1"/>
                <w:sz w:val="22"/>
                <w:szCs w:val="24"/>
              </w:rPr>
              <w:t>各生活場面に共通する横断的視点</w:t>
            </w:r>
          </w:p>
        </w:tc>
      </w:tr>
    </w:tbl>
    <w:p w14:paraId="5FE21B08" w14:textId="0033F2FA" w:rsidR="00F41607" w:rsidRPr="00740E34" w:rsidRDefault="00F41607" w:rsidP="009E7653">
      <w:pPr>
        <w:spacing w:line="300" w:lineRule="exact"/>
        <w:ind w:leftChars="200" w:left="420"/>
        <w:jc w:val="left"/>
        <w:rPr>
          <w:rFonts w:ascii="HGPｺﾞｼｯｸM" w:eastAsia="HGPｺﾞｼｯｸM" w:hAnsiTheme="majorEastAsia"/>
          <w:color w:val="000000" w:themeColor="text1"/>
          <w:sz w:val="22"/>
          <w:szCs w:val="24"/>
        </w:rPr>
      </w:pPr>
    </w:p>
    <w:p w14:paraId="63FD17F7" w14:textId="7F8D52F1" w:rsidR="00F41607" w:rsidRPr="00740E34" w:rsidRDefault="00F41607" w:rsidP="00F96855">
      <w:pPr>
        <w:spacing w:line="300" w:lineRule="exact"/>
        <w:jc w:val="left"/>
        <w:rPr>
          <w:rFonts w:ascii="HGPｺﾞｼｯｸM" w:eastAsia="HGPｺﾞｼｯｸM" w:hAnsiTheme="majorEastAsia"/>
          <w:color w:val="000000" w:themeColor="text1"/>
          <w:sz w:val="22"/>
          <w:szCs w:val="24"/>
        </w:rPr>
      </w:pPr>
    </w:p>
    <w:p w14:paraId="6BB3EB92" w14:textId="77777777" w:rsidR="00F41607" w:rsidRPr="00740E34" w:rsidRDefault="00F41607" w:rsidP="00F96855">
      <w:pPr>
        <w:spacing w:line="300" w:lineRule="exact"/>
        <w:jc w:val="left"/>
        <w:rPr>
          <w:rFonts w:ascii="HGPｺﾞｼｯｸM" w:eastAsia="HGPｺﾞｼｯｸM" w:hAnsiTheme="majorEastAsia"/>
          <w:color w:val="000000" w:themeColor="text1"/>
          <w:sz w:val="22"/>
          <w:szCs w:val="24"/>
        </w:rPr>
      </w:pPr>
    </w:p>
    <w:p w14:paraId="2E8D0026" w14:textId="06F90DA2" w:rsidR="00907EA3" w:rsidRPr="00740E34" w:rsidRDefault="00907EA3" w:rsidP="00F512A2">
      <w:pPr>
        <w:spacing w:line="300" w:lineRule="exact"/>
        <w:jc w:val="left"/>
        <w:rPr>
          <w:rFonts w:ascii="HGPｺﾞｼｯｸM" w:eastAsia="HGPｺﾞｼｯｸM" w:hAnsiTheme="majorEastAsia"/>
          <w:color w:val="000000" w:themeColor="text1"/>
          <w:sz w:val="22"/>
          <w:szCs w:val="24"/>
        </w:rPr>
      </w:pPr>
    </w:p>
    <w:p w14:paraId="1B8CB308" w14:textId="7FBCEFB4" w:rsidR="00F41607" w:rsidRPr="00740E34" w:rsidRDefault="00F41607" w:rsidP="00F512A2">
      <w:pPr>
        <w:spacing w:line="300" w:lineRule="exact"/>
        <w:jc w:val="left"/>
        <w:rPr>
          <w:rFonts w:ascii="HGPｺﾞｼｯｸM" w:eastAsia="HGPｺﾞｼｯｸM" w:hAnsiTheme="majorEastAsia"/>
          <w:color w:val="000000" w:themeColor="text1"/>
          <w:sz w:val="22"/>
          <w:szCs w:val="24"/>
        </w:rPr>
      </w:pPr>
    </w:p>
    <w:p w14:paraId="145904AC" w14:textId="77777777" w:rsidR="00F41607" w:rsidRPr="00740E34" w:rsidRDefault="00F41607" w:rsidP="00F96855">
      <w:pPr>
        <w:jc w:val="left"/>
        <w:rPr>
          <w:rFonts w:ascii="HGPｺﾞｼｯｸM" w:eastAsia="HGPｺﾞｼｯｸM" w:hAnsiTheme="majorEastAsia"/>
          <w:color w:val="000000" w:themeColor="text1"/>
          <w:sz w:val="22"/>
          <w:szCs w:val="24"/>
        </w:rPr>
      </w:pPr>
    </w:p>
    <w:p w14:paraId="13C6DA13" w14:textId="4EA8C293" w:rsidR="009E7653" w:rsidRPr="00740E34" w:rsidRDefault="009E7653" w:rsidP="00F96855">
      <w:pPr>
        <w:jc w:val="left"/>
        <w:rPr>
          <w:rFonts w:ascii="HGPｺﾞｼｯｸM" w:eastAsia="HGPｺﾞｼｯｸM" w:hAnsiTheme="majorEastAsia"/>
          <w:color w:val="000000" w:themeColor="text1"/>
          <w:sz w:val="22"/>
          <w:szCs w:val="24"/>
        </w:rPr>
      </w:pPr>
    </w:p>
    <w:p w14:paraId="75C145CC" w14:textId="3156876F" w:rsidR="00F96855" w:rsidRPr="00740E34" w:rsidRDefault="00F96855" w:rsidP="00F96855">
      <w:pPr>
        <w:spacing w:line="300" w:lineRule="exact"/>
        <w:jc w:val="left"/>
        <w:rPr>
          <w:rFonts w:ascii="HGPｺﾞｼｯｸM" w:eastAsia="HGPｺﾞｼｯｸM" w:hAnsi="游明朝" w:cs="Times New Roman"/>
          <w:b/>
          <w:color w:val="000000" w:themeColor="text1"/>
          <w:sz w:val="24"/>
          <w:szCs w:val="24"/>
        </w:rPr>
      </w:pPr>
      <w:r w:rsidRPr="00740E34">
        <w:rPr>
          <w:rFonts w:ascii="HGPｺﾞｼｯｸM" w:eastAsia="HGPｺﾞｼｯｸM" w:hAnsi="游明朝" w:cs="Times New Roman" w:hint="eastAsia"/>
          <w:b/>
          <w:color w:val="000000" w:themeColor="text1"/>
          <w:sz w:val="24"/>
          <w:szCs w:val="24"/>
        </w:rPr>
        <w:lastRenderedPageBreak/>
        <w:t>（４）計画構成案</w:t>
      </w:r>
    </w:p>
    <w:p w14:paraId="6BC5D665" w14:textId="513F49DB" w:rsidR="00F96855" w:rsidRPr="00740E34" w:rsidRDefault="00F96855" w:rsidP="00F96855">
      <w:pPr>
        <w:jc w:val="left"/>
        <w:rPr>
          <w:rFonts w:ascii="HGPｺﾞｼｯｸM" w:eastAsia="HGPｺﾞｼｯｸM" w:hAnsiTheme="majorEastAsia"/>
          <w:color w:val="000000" w:themeColor="text1"/>
          <w:sz w:val="22"/>
          <w:szCs w:val="24"/>
        </w:rPr>
      </w:pPr>
      <w:r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 xml:space="preserve">　　</w:t>
      </w:r>
      <w:r w:rsidR="00FE72E1"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上記、（１）～（３）の検討を踏まえて、以下のように構成案</w:t>
      </w:r>
      <w:r w:rsidR="00CA0404"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を</w:t>
      </w:r>
      <w:r w:rsidR="00FE72E1"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修正する。</w:t>
      </w:r>
    </w:p>
    <w:p w14:paraId="5B999A45" w14:textId="6DA4B248" w:rsidR="00C82937" w:rsidRPr="00740E34" w:rsidRDefault="006277C2" w:rsidP="00F96855">
      <w:pPr>
        <w:jc w:val="left"/>
        <w:rPr>
          <w:rFonts w:ascii="HGPｺﾞｼｯｸM" w:eastAsia="HGPｺﾞｼｯｸM" w:hAnsiTheme="majorEastAsia"/>
          <w:color w:val="000000" w:themeColor="text1"/>
          <w:sz w:val="22"/>
          <w:szCs w:val="24"/>
        </w:rPr>
      </w:pPr>
      <w:r w:rsidRPr="00740E34">
        <w:rPr>
          <w:noProof/>
          <w:color w:val="000000" w:themeColor="text1"/>
        </w:rPr>
        <w:drawing>
          <wp:inline distT="0" distB="0" distL="0" distR="0" wp14:anchorId="136F5268" wp14:editId="68C19171">
            <wp:extent cx="8877300" cy="264477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264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9D078" w14:textId="77777777" w:rsidR="00F96855" w:rsidRPr="00740E34" w:rsidRDefault="00F96855" w:rsidP="00F96855">
      <w:pPr>
        <w:spacing w:line="100" w:lineRule="exact"/>
        <w:jc w:val="left"/>
        <w:rPr>
          <w:rFonts w:ascii="HGPｺﾞｼｯｸM" w:eastAsia="HGPｺﾞｼｯｸM" w:hAnsiTheme="majorEastAsia"/>
          <w:color w:val="000000" w:themeColor="text1"/>
          <w:sz w:val="22"/>
          <w:szCs w:val="24"/>
        </w:rPr>
      </w:pPr>
    </w:p>
    <w:p w14:paraId="6F6C0A0E" w14:textId="3D048CD4" w:rsidR="00F96855" w:rsidRPr="00740E34" w:rsidRDefault="00F96855" w:rsidP="00F96855">
      <w:pPr>
        <w:ind w:firstLineChars="100" w:firstLine="220"/>
        <w:jc w:val="left"/>
        <w:rPr>
          <w:rFonts w:ascii="HGPｺﾞｼｯｸM" w:eastAsia="HGPｺﾞｼｯｸM" w:hAnsiTheme="majorEastAsia"/>
          <w:color w:val="000000" w:themeColor="text1"/>
          <w:sz w:val="22"/>
          <w:szCs w:val="24"/>
        </w:rPr>
      </w:pPr>
      <w:r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（参考：第１回部会資料2</w:t>
      </w:r>
      <w:r w:rsidRPr="00740E34">
        <w:rPr>
          <w:rFonts w:ascii="HGPｺﾞｼｯｸM" w:eastAsia="HGPｺﾞｼｯｸM" w:hAnsiTheme="majorEastAsia"/>
          <w:color w:val="000000" w:themeColor="text1"/>
          <w:sz w:val="22"/>
          <w:szCs w:val="24"/>
        </w:rPr>
        <w:t>-2</w:t>
      </w:r>
      <w:r w:rsidRPr="00740E34">
        <w:rPr>
          <w:rFonts w:ascii="HGPｺﾞｼｯｸM" w:eastAsia="HGPｺﾞｼｯｸM" w:hAnsiTheme="majorEastAsia" w:hint="eastAsia"/>
          <w:color w:val="000000" w:themeColor="text1"/>
          <w:sz w:val="22"/>
          <w:szCs w:val="24"/>
        </w:rPr>
        <w:t>より抜粋）</w:t>
      </w:r>
    </w:p>
    <w:p w14:paraId="573F4ECA" w14:textId="32BE92AB" w:rsidR="00F96855" w:rsidRPr="00740E34" w:rsidRDefault="00F96855" w:rsidP="00F96855">
      <w:pPr>
        <w:jc w:val="left"/>
        <w:rPr>
          <w:rFonts w:ascii="HGPｺﾞｼｯｸM" w:eastAsia="HGPｺﾞｼｯｸM" w:hAnsiTheme="majorEastAsia"/>
          <w:color w:val="000000" w:themeColor="text1"/>
          <w:sz w:val="22"/>
          <w:szCs w:val="24"/>
        </w:rPr>
      </w:pPr>
      <w:r w:rsidRPr="00740E34">
        <w:rPr>
          <w:rFonts w:hint="eastAsia"/>
          <w:noProof/>
          <w:color w:val="000000" w:themeColor="text1"/>
        </w:rPr>
        <w:drawing>
          <wp:inline distT="0" distB="0" distL="0" distR="0" wp14:anchorId="540D8A8E" wp14:editId="424FB8BC">
            <wp:extent cx="8877300" cy="2533015"/>
            <wp:effectExtent l="0" t="0" r="0" b="63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855" w:rsidRPr="00740E34" w:rsidSect="00DD56A0">
      <w:pgSz w:w="16838" w:h="11906" w:orient="landscape"/>
      <w:pgMar w:top="1080" w:right="1418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6A84D" w14:textId="77777777" w:rsidR="004D08F5" w:rsidRDefault="004D08F5" w:rsidP="00610211">
      <w:r>
        <w:separator/>
      </w:r>
    </w:p>
  </w:endnote>
  <w:endnote w:type="continuationSeparator" w:id="0">
    <w:p w14:paraId="5CDDF31B" w14:textId="77777777" w:rsidR="004D08F5" w:rsidRDefault="004D08F5" w:rsidP="0061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1547" w14:textId="77777777" w:rsidR="004D08F5" w:rsidRDefault="004D08F5" w:rsidP="00610211">
      <w:r>
        <w:separator/>
      </w:r>
    </w:p>
  </w:footnote>
  <w:footnote w:type="continuationSeparator" w:id="0">
    <w:p w14:paraId="1649D1FB" w14:textId="77777777" w:rsidR="004D08F5" w:rsidRDefault="004D08F5" w:rsidP="0061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16BE"/>
    <w:multiLevelType w:val="hybridMultilevel"/>
    <w:tmpl w:val="BAD6171E"/>
    <w:lvl w:ilvl="0" w:tplc="7F74E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92BD1"/>
    <w:multiLevelType w:val="hybridMultilevel"/>
    <w:tmpl w:val="7048E200"/>
    <w:lvl w:ilvl="0" w:tplc="63C6F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F1B86"/>
    <w:multiLevelType w:val="hybridMultilevel"/>
    <w:tmpl w:val="8CB69A2C"/>
    <w:lvl w:ilvl="0" w:tplc="57A4A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086DFE"/>
    <w:multiLevelType w:val="hybridMultilevel"/>
    <w:tmpl w:val="6D16433A"/>
    <w:lvl w:ilvl="0" w:tplc="50C87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F21152"/>
    <w:multiLevelType w:val="hybridMultilevel"/>
    <w:tmpl w:val="C2F028BA"/>
    <w:lvl w:ilvl="0" w:tplc="12F228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A7500"/>
    <w:multiLevelType w:val="hybridMultilevel"/>
    <w:tmpl w:val="8AD48BAC"/>
    <w:lvl w:ilvl="0" w:tplc="2DF2E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4760B3"/>
    <w:multiLevelType w:val="hybridMultilevel"/>
    <w:tmpl w:val="0BCCE308"/>
    <w:lvl w:ilvl="0" w:tplc="73086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B4410F"/>
    <w:multiLevelType w:val="hybridMultilevel"/>
    <w:tmpl w:val="51A472BE"/>
    <w:lvl w:ilvl="0" w:tplc="8BE07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631D4B"/>
    <w:multiLevelType w:val="hybridMultilevel"/>
    <w:tmpl w:val="D610D64A"/>
    <w:lvl w:ilvl="0" w:tplc="0260783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EF"/>
    <w:rsid w:val="00036D98"/>
    <w:rsid w:val="000F2FC9"/>
    <w:rsid w:val="0010579C"/>
    <w:rsid w:val="001621C2"/>
    <w:rsid w:val="001B0D9B"/>
    <w:rsid w:val="001B7C3A"/>
    <w:rsid w:val="002B1B79"/>
    <w:rsid w:val="002C78E7"/>
    <w:rsid w:val="003013A3"/>
    <w:rsid w:val="00346859"/>
    <w:rsid w:val="003A02E6"/>
    <w:rsid w:val="00455358"/>
    <w:rsid w:val="004C2390"/>
    <w:rsid w:val="004D08F5"/>
    <w:rsid w:val="005011D6"/>
    <w:rsid w:val="0051240B"/>
    <w:rsid w:val="00556CA5"/>
    <w:rsid w:val="0057036A"/>
    <w:rsid w:val="005B5C67"/>
    <w:rsid w:val="005F4378"/>
    <w:rsid w:val="00600FFB"/>
    <w:rsid w:val="00610211"/>
    <w:rsid w:val="006277C2"/>
    <w:rsid w:val="00647872"/>
    <w:rsid w:val="006B496C"/>
    <w:rsid w:val="00740E34"/>
    <w:rsid w:val="00771B61"/>
    <w:rsid w:val="00784155"/>
    <w:rsid w:val="00796EB7"/>
    <w:rsid w:val="0083700C"/>
    <w:rsid w:val="00907EA3"/>
    <w:rsid w:val="009337AE"/>
    <w:rsid w:val="00940122"/>
    <w:rsid w:val="00945935"/>
    <w:rsid w:val="00957343"/>
    <w:rsid w:val="00960FF8"/>
    <w:rsid w:val="009A588E"/>
    <w:rsid w:val="009E7653"/>
    <w:rsid w:val="009F49EF"/>
    <w:rsid w:val="00A915E6"/>
    <w:rsid w:val="00A936D0"/>
    <w:rsid w:val="00AD385C"/>
    <w:rsid w:val="00AE340B"/>
    <w:rsid w:val="00B21AAC"/>
    <w:rsid w:val="00B62AE4"/>
    <w:rsid w:val="00B91753"/>
    <w:rsid w:val="00BC254B"/>
    <w:rsid w:val="00BD30E9"/>
    <w:rsid w:val="00C82937"/>
    <w:rsid w:val="00CA0404"/>
    <w:rsid w:val="00CD461B"/>
    <w:rsid w:val="00D16C6D"/>
    <w:rsid w:val="00DD56A0"/>
    <w:rsid w:val="00DE5E48"/>
    <w:rsid w:val="00E5128B"/>
    <w:rsid w:val="00E8717D"/>
    <w:rsid w:val="00F24F8F"/>
    <w:rsid w:val="00F41607"/>
    <w:rsid w:val="00F512A2"/>
    <w:rsid w:val="00F96855"/>
    <w:rsid w:val="00FE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9937B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036A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2C78E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C78E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2C78E7"/>
  </w:style>
  <w:style w:type="paragraph" w:styleId="a8">
    <w:name w:val="annotation subject"/>
    <w:basedOn w:val="a6"/>
    <w:next w:val="a6"/>
    <w:link w:val="a9"/>
    <w:uiPriority w:val="99"/>
    <w:semiHidden/>
    <w:unhideWhenUsed/>
    <w:rsid w:val="002C78E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C78E7"/>
    <w:rPr>
      <w:b/>
      <w:bCs/>
    </w:rPr>
  </w:style>
  <w:style w:type="paragraph" w:styleId="aa">
    <w:name w:val="header"/>
    <w:basedOn w:val="a"/>
    <w:link w:val="ab"/>
    <w:uiPriority w:val="99"/>
    <w:unhideWhenUsed/>
    <w:rsid w:val="006102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10211"/>
  </w:style>
  <w:style w:type="paragraph" w:styleId="ac">
    <w:name w:val="footer"/>
    <w:basedOn w:val="a"/>
    <w:link w:val="ad"/>
    <w:uiPriority w:val="99"/>
    <w:unhideWhenUsed/>
    <w:rsid w:val="006102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1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2025-09-24T04:33:00Z</dcterms:created>
  <dcterms:modified xsi:type="dcterms:W3CDTF">2025-09-24T04:33:00Z</dcterms:modified>
</cp:coreProperties>
</file>