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B57A41" w:rsidP="00971652">
      <w:pPr>
        <w:jc w:val="center"/>
        <w:rPr>
          <w:b/>
          <w:sz w:val="32"/>
          <w:szCs w:val="24"/>
        </w:rPr>
      </w:pPr>
      <w:bookmarkStart w:id="0" w:name="_GoBack"/>
      <w:bookmarkEnd w:id="0"/>
      <w:r>
        <w:rPr>
          <w:rFonts w:hint="eastAsia"/>
          <w:b/>
          <w:sz w:val="32"/>
          <w:szCs w:val="24"/>
        </w:rPr>
        <w:t>令和２</w:t>
      </w:r>
      <w:r w:rsidR="00E5514B" w:rsidRPr="00DA5846">
        <w:rPr>
          <w:rFonts w:hint="eastAsia"/>
          <w:b/>
          <w:sz w:val="32"/>
          <w:szCs w:val="24"/>
        </w:rPr>
        <w:t>年度モニタリング評価実施による改善のための対応方針</w:t>
      </w:r>
    </w:p>
    <w:p w:rsidR="00971652" w:rsidRDefault="00971652" w:rsidP="00D667F5">
      <w:pPr>
        <w:ind w:right="840" w:firstLineChars="7200" w:firstLine="15840"/>
      </w:pPr>
      <w:r w:rsidRPr="00DA5846">
        <w:rPr>
          <w:rFonts w:hint="eastAsia"/>
          <w:sz w:val="22"/>
        </w:rPr>
        <w:t>施</w:t>
      </w:r>
      <w:r w:rsidR="00A55B90">
        <w:rPr>
          <w:rFonts w:hint="eastAsia"/>
          <w:sz w:val="22"/>
        </w:rPr>
        <w:t>施設</w:t>
      </w:r>
      <w:r w:rsidRPr="00DA5846">
        <w:rPr>
          <w:rFonts w:hint="eastAsia"/>
          <w:sz w:val="22"/>
        </w:rPr>
        <w:t>名：</w:t>
      </w:r>
      <w:r w:rsidR="00D6153E">
        <w:rPr>
          <w:rFonts w:hint="eastAsia"/>
          <w:sz w:val="22"/>
        </w:rPr>
        <w:t>大阪府立</w:t>
      </w:r>
      <w:r w:rsidR="00D667F5">
        <w:rPr>
          <w:rFonts w:hint="eastAsia"/>
          <w:sz w:val="22"/>
        </w:rPr>
        <w:t>臨海スポーツ</w:t>
      </w:r>
      <w:r w:rsidR="00D6153E">
        <w:rPr>
          <w:rFonts w:hint="eastAsia"/>
          <w:sz w:val="22"/>
        </w:rPr>
        <w:t>センター</w:t>
      </w:r>
    </w:p>
    <w:tbl>
      <w:tblPr>
        <w:tblStyle w:val="a3"/>
        <w:tblW w:w="0" w:type="auto"/>
        <w:tblLook w:val="04A0" w:firstRow="1" w:lastRow="0" w:firstColumn="1" w:lastColumn="0" w:noHBand="0" w:noVBand="1"/>
      </w:tblPr>
      <w:tblGrid>
        <w:gridCol w:w="1384"/>
        <w:gridCol w:w="1134"/>
        <w:gridCol w:w="1701"/>
        <w:gridCol w:w="1559"/>
        <w:gridCol w:w="2410"/>
        <w:gridCol w:w="2233"/>
      </w:tblGrid>
      <w:tr w:rsidR="00E505E1" w:rsidTr="00B15259">
        <w:trPr>
          <w:trHeight w:val="619"/>
        </w:trPr>
        <w:tc>
          <w:tcPr>
            <w:tcW w:w="1384" w:type="dxa"/>
            <w:vAlign w:val="center"/>
          </w:tcPr>
          <w:p w:rsidR="00E505E1" w:rsidRPr="0023077E" w:rsidRDefault="00E505E1" w:rsidP="00E505E1">
            <w:pPr>
              <w:jc w:val="center"/>
              <w:rPr>
                <w:rFonts w:asciiTheme="minorEastAsia" w:hAnsiTheme="minorEastAsia"/>
                <w:szCs w:val="21"/>
              </w:rPr>
            </w:pPr>
            <w:r w:rsidRPr="0023077E">
              <w:rPr>
                <w:rFonts w:asciiTheme="minorEastAsia" w:hAnsiTheme="minorEastAsia" w:hint="eastAsia"/>
                <w:szCs w:val="21"/>
              </w:rPr>
              <w:t>評価項目</w:t>
            </w:r>
          </w:p>
        </w:tc>
        <w:tc>
          <w:tcPr>
            <w:tcW w:w="1134" w:type="dxa"/>
            <w:vAlign w:val="center"/>
          </w:tcPr>
          <w:p w:rsidR="00E505E1" w:rsidRPr="0023077E" w:rsidRDefault="00E505E1" w:rsidP="00E505E1">
            <w:pPr>
              <w:jc w:val="center"/>
              <w:rPr>
                <w:rFonts w:asciiTheme="minorEastAsia" w:hAnsiTheme="minorEastAsia"/>
                <w:szCs w:val="21"/>
              </w:rPr>
            </w:pPr>
            <w:r w:rsidRPr="0023077E">
              <w:rPr>
                <w:rFonts w:asciiTheme="minorEastAsia" w:hAnsiTheme="minorEastAsia" w:hint="eastAsia"/>
                <w:szCs w:val="21"/>
              </w:rPr>
              <w:t>評価基準</w:t>
            </w:r>
          </w:p>
        </w:tc>
        <w:tc>
          <w:tcPr>
            <w:tcW w:w="1701" w:type="dxa"/>
            <w:vAlign w:val="center"/>
          </w:tcPr>
          <w:p w:rsidR="00B15259" w:rsidRDefault="00E505E1" w:rsidP="00E505E1">
            <w:pPr>
              <w:jc w:val="center"/>
              <w:rPr>
                <w:rFonts w:asciiTheme="minorEastAsia" w:hAnsiTheme="minorEastAsia"/>
                <w:szCs w:val="21"/>
              </w:rPr>
            </w:pPr>
            <w:r w:rsidRPr="0023077E">
              <w:rPr>
                <w:rFonts w:asciiTheme="minorEastAsia" w:hAnsiTheme="minorEastAsia" w:hint="eastAsia"/>
                <w:szCs w:val="21"/>
              </w:rPr>
              <w:t>評価委員の</w:t>
            </w:r>
          </w:p>
          <w:p w:rsidR="00E505E1" w:rsidRPr="0023077E" w:rsidRDefault="00E505E1" w:rsidP="00E505E1">
            <w:pPr>
              <w:jc w:val="center"/>
              <w:rPr>
                <w:rFonts w:asciiTheme="minorEastAsia" w:hAnsiTheme="minorEastAsia"/>
                <w:szCs w:val="21"/>
              </w:rPr>
            </w:pPr>
            <w:r w:rsidRPr="0023077E">
              <w:rPr>
                <w:rFonts w:asciiTheme="minorEastAsia" w:hAnsiTheme="minorEastAsia" w:hint="eastAsia"/>
                <w:szCs w:val="21"/>
              </w:rPr>
              <w:t>指摘・提言等</w:t>
            </w:r>
          </w:p>
        </w:tc>
        <w:tc>
          <w:tcPr>
            <w:tcW w:w="1559" w:type="dxa"/>
            <w:vAlign w:val="center"/>
          </w:tcPr>
          <w:p w:rsidR="00B15259" w:rsidRDefault="00E505E1" w:rsidP="00E505E1">
            <w:pPr>
              <w:jc w:val="center"/>
              <w:rPr>
                <w:rFonts w:asciiTheme="minorEastAsia" w:hAnsiTheme="minorEastAsia"/>
                <w:szCs w:val="21"/>
              </w:rPr>
            </w:pPr>
            <w:r w:rsidRPr="0023077E">
              <w:rPr>
                <w:rFonts w:asciiTheme="minorEastAsia" w:hAnsiTheme="minorEastAsia" w:hint="eastAsia"/>
                <w:szCs w:val="21"/>
              </w:rPr>
              <w:t>改善のための</w:t>
            </w:r>
          </w:p>
          <w:p w:rsidR="00E505E1" w:rsidRPr="0023077E" w:rsidRDefault="00E505E1" w:rsidP="00E505E1">
            <w:pPr>
              <w:jc w:val="center"/>
              <w:rPr>
                <w:rFonts w:asciiTheme="minorEastAsia" w:hAnsiTheme="minorEastAsia"/>
                <w:szCs w:val="21"/>
              </w:rPr>
            </w:pPr>
            <w:r w:rsidRPr="0023077E">
              <w:rPr>
                <w:rFonts w:asciiTheme="minorEastAsia" w:hAnsiTheme="minorEastAsia" w:hint="eastAsia"/>
                <w:szCs w:val="21"/>
              </w:rPr>
              <w:t>対応方針</w:t>
            </w:r>
          </w:p>
        </w:tc>
        <w:tc>
          <w:tcPr>
            <w:tcW w:w="2410" w:type="dxa"/>
            <w:vAlign w:val="center"/>
          </w:tcPr>
          <w:p w:rsidR="00E505E1" w:rsidRPr="0023077E" w:rsidRDefault="00E505E1" w:rsidP="00E505E1">
            <w:pPr>
              <w:jc w:val="center"/>
              <w:rPr>
                <w:rFonts w:asciiTheme="minorEastAsia" w:hAnsiTheme="minorEastAsia"/>
                <w:szCs w:val="21"/>
              </w:rPr>
            </w:pPr>
            <w:r w:rsidRPr="0023077E">
              <w:rPr>
                <w:rFonts w:asciiTheme="minorEastAsia" w:hAnsiTheme="minorEastAsia" w:hint="eastAsia"/>
                <w:szCs w:val="21"/>
              </w:rPr>
              <w:t>次年度以降の事業計画等への反映内容</w:t>
            </w:r>
          </w:p>
        </w:tc>
        <w:tc>
          <w:tcPr>
            <w:tcW w:w="2233" w:type="dxa"/>
            <w:vAlign w:val="center"/>
          </w:tcPr>
          <w:p w:rsidR="00B15259" w:rsidRDefault="00E505E1" w:rsidP="00E505E1">
            <w:pPr>
              <w:jc w:val="center"/>
              <w:rPr>
                <w:rFonts w:asciiTheme="minorEastAsia" w:hAnsiTheme="minorEastAsia"/>
                <w:szCs w:val="21"/>
              </w:rPr>
            </w:pPr>
            <w:r>
              <w:rPr>
                <w:rFonts w:asciiTheme="minorEastAsia" w:hAnsiTheme="minorEastAsia" w:hint="eastAsia"/>
                <w:szCs w:val="21"/>
              </w:rPr>
              <w:t>令和３年度の</w:t>
            </w:r>
          </w:p>
          <w:p w:rsidR="00E505E1" w:rsidRPr="0023077E" w:rsidRDefault="00E505E1" w:rsidP="00E505E1">
            <w:pPr>
              <w:jc w:val="center"/>
              <w:rPr>
                <w:rFonts w:asciiTheme="minorEastAsia" w:hAnsiTheme="minorEastAsia"/>
                <w:szCs w:val="21"/>
              </w:rPr>
            </w:pPr>
            <w:r>
              <w:rPr>
                <w:rFonts w:asciiTheme="minorEastAsia" w:hAnsiTheme="minorEastAsia" w:hint="eastAsia"/>
                <w:szCs w:val="21"/>
              </w:rPr>
              <w:t>進捗状況</w:t>
            </w:r>
          </w:p>
        </w:tc>
      </w:tr>
      <w:tr w:rsidR="00E505E1" w:rsidTr="00507140">
        <w:trPr>
          <w:trHeight w:val="4899"/>
        </w:trPr>
        <w:tc>
          <w:tcPr>
            <w:tcW w:w="1384" w:type="dxa"/>
          </w:tcPr>
          <w:p w:rsidR="00E505E1" w:rsidRPr="00990017" w:rsidRDefault="00E505E1" w:rsidP="00E505E1">
            <w:pPr>
              <w:rPr>
                <w:rFonts w:asciiTheme="minorEastAsia" w:hAnsiTheme="minorEastAsia"/>
                <w:szCs w:val="21"/>
              </w:rPr>
            </w:pPr>
            <w:r>
              <w:rPr>
                <w:rFonts w:asciiTheme="minorEastAsia" w:hAnsiTheme="minorEastAsia" w:hint="eastAsia"/>
                <w:szCs w:val="21"/>
              </w:rPr>
              <w:t>Ⅰ施設の効用を最大限発揮するための方策</w:t>
            </w:r>
          </w:p>
          <w:p w:rsidR="00E505E1" w:rsidRDefault="00E505E1" w:rsidP="00E505E1">
            <w:pPr>
              <w:rPr>
                <w:rFonts w:asciiTheme="minorEastAsia" w:hAnsiTheme="minorEastAsia"/>
                <w:szCs w:val="21"/>
              </w:rPr>
            </w:pPr>
            <w:r w:rsidRPr="00990017">
              <w:rPr>
                <w:rFonts w:asciiTheme="minorEastAsia" w:hAnsiTheme="minorEastAsia" w:hint="eastAsia"/>
                <w:szCs w:val="21"/>
              </w:rPr>
              <w:t>能力及び財政基盤に関する事項</w:t>
            </w:r>
          </w:p>
          <w:p w:rsidR="00E505E1" w:rsidRPr="00990017" w:rsidRDefault="00E505E1" w:rsidP="00E505E1">
            <w:pPr>
              <w:rPr>
                <w:rFonts w:asciiTheme="minorEastAsia" w:hAnsiTheme="minorEastAsia"/>
                <w:szCs w:val="21"/>
              </w:rPr>
            </w:pPr>
            <w:r>
              <w:rPr>
                <w:rFonts w:asciiTheme="minorEastAsia" w:hAnsiTheme="minorEastAsia" w:hint="eastAsia"/>
                <w:szCs w:val="21"/>
              </w:rPr>
              <w:t>（５）施設の維持管理の内容、適格性及び実現の程度</w:t>
            </w:r>
          </w:p>
        </w:tc>
        <w:tc>
          <w:tcPr>
            <w:tcW w:w="1134" w:type="dxa"/>
          </w:tcPr>
          <w:p w:rsidR="00E505E1" w:rsidRPr="00990017" w:rsidRDefault="00E505E1" w:rsidP="00E505E1">
            <w:pPr>
              <w:rPr>
                <w:rFonts w:asciiTheme="minorEastAsia" w:hAnsiTheme="minorEastAsia"/>
                <w:szCs w:val="21"/>
              </w:rPr>
            </w:pPr>
            <w:r>
              <w:rPr>
                <w:rFonts w:asciiTheme="minorEastAsia" w:hAnsiTheme="minorEastAsia" w:hint="eastAsia"/>
                <w:szCs w:val="21"/>
              </w:rPr>
              <w:t>①施設整備の効果的な維持管理</w:t>
            </w:r>
          </w:p>
        </w:tc>
        <w:tc>
          <w:tcPr>
            <w:tcW w:w="1701" w:type="dxa"/>
          </w:tcPr>
          <w:p w:rsidR="00E505E1" w:rsidRPr="00816436" w:rsidRDefault="00E505E1" w:rsidP="00E505E1">
            <w:pPr>
              <w:rPr>
                <w:rFonts w:ascii="ＭＳ 明朝" w:eastAsia="ＭＳ 明朝" w:hAnsi="ＭＳ 明朝"/>
                <w:szCs w:val="21"/>
              </w:rPr>
            </w:pPr>
            <w:r w:rsidRPr="00816436">
              <w:rPr>
                <w:rFonts w:ascii="ＭＳ 明朝" w:eastAsia="ＭＳ 明朝" w:hAnsi="ＭＳ 明朝" w:hint="eastAsia"/>
                <w:color w:val="000000"/>
                <w:szCs w:val="21"/>
              </w:rPr>
              <w:t>施設の維持管理等で危険を伴う作業については、安全確保を徹底し、充分に安全か確認をすることが必要。</w:t>
            </w:r>
          </w:p>
        </w:tc>
        <w:tc>
          <w:tcPr>
            <w:tcW w:w="1559" w:type="dxa"/>
          </w:tcPr>
          <w:p w:rsidR="00E505E1" w:rsidRPr="00F52500" w:rsidRDefault="00E505E1" w:rsidP="00E505E1">
            <w:pPr>
              <w:rPr>
                <w:rFonts w:asciiTheme="minorEastAsia" w:hAnsiTheme="minorEastAsia"/>
                <w:szCs w:val="21"/>
              </w:rPr>
            </w:pPr>
            <w:r>
              <w:rPr>
                <w:rFonts w:asciiTheme="minorEastAsia" w:hAnsiTheme="minorEastAsia" w:hint="eastAsia"/>
                <w:szCs w:val="21"/>
              </w:rPr>
              <w:t>指定管理者にて維持管理等の作業前に、安全性や危険性などの確認を行い、危険を伴う可能性がある場合は専門業者へ依頼する。</w:t>
            </w:r>
          </w:p>
        </w:tc>
        <w:tc>
          <w:tcPr>
            <w:tcW w:w="2410" w:type="dxa"/>
          </w:tcPr>
          <w:p w:rsidR="00E505E1" w:rsidRPr="00191555" w:rsidRDefault="00E505E1" w:rsidP="00E505E1">
            <w:pPr>
              <w:rPr>
                <w:rFonts w:asciiTheme="minorEastAsia" w:hAnsiTheme="minorEastAsia"/>
                <w:szCs w:val="21"/>
              </w:rPr>
            </w:pPr>
            <w:r>
              <w:rPr>
                <w:rFonts w:asciiTheme="minorEastAsia" w:hAnsiTheme="minorEastAsia" w:hint="eastAsia"/>
                <w:szCs w:val="21"/>
              </w:rPr>
              <w:t>施設の維持管理作業の前には、安全確認を徹底して行い、危険を伴う可能性がある場合については、指定管理者で実施せず、専門業者へ委託する。</w:t>
            </w:r>
          </w:p>
        </w:tc>
        <w:tc>
          <w:tcPr>
            <w:tcW w:w="2233" w:type="dxa"/>
          </w:tcPr>
          <w:p w:rsidR="00E505E1" w:rsidRDefault="0027104A" w:rsidP="00E505E1">
            <w:pPr>
              <w:rPr>
                <w:rFonts w:asciiTheme="minorEastAsia" w:hAnsiTheme="minorEastAsia"/>
                <w:szCs w:val="21"/>
              </w:rPr>
            </w:pPr>
            <w:r>
              <w:rPr>
                <w:rFonts w:asciiTheme="minorEastAsia" w:hAnsiTheme="minorEastAsia" w:hint="eastAsia"/>
                <w:szCs w:val="21"/>
              </w:rPr>
              <w:t>雨漏りや冷凍機などの専門ノウハウが必要とされる維持管理は、機器メーカーや一級建築事務所などに業務委託を指定管理者として行っています。</w:t>
            </w:r>
          </w:p>
        </w:tc>
      </w:tr>
    </w:tbl>
    <w:p w:rsidR="00BF296C" w:rsidRPr="00EA47FD" w:rsidRDefault="00BF296C"/>
    <w:sectPr w:rsidR="00BF296C" w:rsidRPr="00EA47FD" w:rsidSect="00B15259">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38" w:rsidRDefault="00232D38" w:rsidP="00DA5846">
      <w:r>
        <w:separator/>
      </w:r>
    </w:p>
  </w:endnote>
  <w:endnote w:type="continuationSeparator" w:id="0">
    <w:p w:rsidR="00232D38" w:rsidRDefault="00232D38"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B4" w:rsidRDefault="002B43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B4" w:rsidRDefault="002B43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B4" w:rsidRDefault="002B43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38" w:rsidRDefault="00232D38" w:rsidP="00DA5846">
      <w:r>
        <w:separator/>
      </w:r>
    </w:p>
  </w:footnote>
  <w:footnote w:type="continuationSeparator" w:id="0">
    <w:p w:rsidR="00232D38" w:rsidRDefault="00232D38"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B4" w:rsidRDefault="002B43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6" w:rsidRPr="004F6C81" w:rsidRDefault="00DA5846" w:rsidP="00DA5846">
    <w:pPr>
      <w:pStyle w:val="a6"/>
      <w:jc w:val="right"/>
      <w:rPr>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B4" w:rsidRDefault="002B43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06D0A"/>
    <w:rsid w:val="00047F19"/>
    <w:rsid w:val="00054303"/>
    <w:rsid w:val="000B08D9"/>
    <w:rsid w:val="0013751B"/>
    <w:rsid w:val="00191555"/>
    <w:rsid w:val="001B0BF7"/>
    <w:rsid w:val="0020117F"/>
    <w:rsid w:val="00222867"/>
    <w:rsid w:val="0023077E"/>
    <w:rsid w:val="00232D38"/>
    <w:rsid w:val="00255F0C"/>
    <w:rsid w:val="0027104A"/>
    <w:rsid w:val="002B43B4"/>
    <w:rsid w:val="00322820"/>
    <w:rsid w:val="004548F2"/>
    <w:rsid w:val="004C2731"/>
    <w:rsid w:val="004E4A00"/>
    <w:rsid w:val="004F6C81"/>
    <w:rsid w:val="004F7E83"/>
    <w:rsid w:val="00507140"/>
    <w:rsid w:val="00520FCD"/>
    <w:rsid w:val="00533E15"/>
    <w:rsid w:val="005740DE"/>
    <w:rsid w:val="00583CB1"/>
    <w:rsid w:val="005A4C7C"/>
    <w:rsid w:val="005B13F5"/>
    <w:rsid w:val="00604F20"/>
    <w:rsid w:val="007041D5"/>
    <w:rsid w:val="00772DA8"/>
    <w:rsid w:val="00777DCE"/>
    <w:rsid w:val="00792936"/>
    <w:rsid w:val="007A7D76"/>
    <w:rsid w:val="007E412D"/>
    <w:rsid w:val="00805875"/>
    <w:rsid w:val="00816436"/>
    <w:rsid w:val="008B5165"/>
    <w:rsid w:val="008D3B06"/>
    <w:rsid w:val="008E1494"/>
    <w:rsid w:val="00915E78"/>
    <w:rsid w:val="00971652"/>
    <w:rsid w:val="00973FB1"/>
    <w:rsid w:val="00990017"/>
    <w:rsid w:val="00A55B90"/>
    <w:rsid w:val="00A66390"/>
    <w:rsid w:val="00AC13F4"/>
    <w:rsid w:val="00AC3FB1"/>
    <w:rsid w:val="00AE5939"/>
    <w:rsid w:val="00B00496"/>
    <w:rsid w:val="00B15259"/>
    <w:rsid w:val="00B227EF"/>
    <w:rsid w:val="00B451F9"/>
    <w:rsid w:val="00B53373"/>
    <w:rsid w:val="00B57A41"/>
    <w:rsid w:val="00B909A9"/>
    <w:rsid w:val="00BC40F1"/>
    <w:rsid w:val="00BD132F"/>
    <w:rsid w:val="00BF296C"/>
    <w:rsid w:val="00BF6A68"/>
    <w:rsid w:val="00C24EAA"/>
    <w:rsid w:val="00C30E72"/>
    <w:rsid w:val="00C31DE7"/>
    <w:rsid w:val="00C6480B"/>
    <w:rsid w:val="00C75C15"/>
    <w:rsid w:val="00C8451F"/>
    <w:rsid w:val="00CA010C"/>
    <w:rsid w:val="00D35C10"/>
    <w:rsid w:val="00D6153E"/>
    <w:rsid w:val="00D667F5"/>
    <w:rsid w:val="00DA5846"/>
    <w:rsid w:val="00DC0470"/>
    <w:rsid w:val="00DC3DD1"/>
    <w:rsid w:val="00E37F56"/>
    <w:rsid w:val="00E505E1"/>
    <w:rsid w:val="00E5514B"/>
    <w:rsid w:val="00EA435C"/>
    <w:rsid w:val="00EA47FD"/>
    <w:rsid w:val="00EE7C8A"/>
    <w:rsid w:val="00F21631"/>
    <w:rsid w:val="00F52500"/>
    <w:rsid w:val="00F93BA5"/>
    <w:rsid w:val="00FC63E5"/>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5423-98C1-4CE1-A09A-45FFAA89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2022-03-30T09:15:00Z</dcterms:created>
  <dcterms:modified xsi:type="dcterms:W3CDTF">2022-03-30T09:15:00Z</dcterms:modified>
</cp:coreProperties>
</file>