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7BAB" w:rsidRPr="00FD2627" w:rsidRDefault="005B5832" w:rsidP="00297BAB">
      <w:pPr>
        <w:jc w:val="center"/>
        <w:rPr>
          <w:rFonts w:ascii="HGPｺﾞｼｯｸM" w:eastAsia="HGPｺﾞｼｯｸM"/>
          <w:b/>
          <w:sz w:val="28"/>
          <w:szCs w:val="28"/>
        </w:rPr>
      </w:pPr>
      <w:bookmarkStart w:id="0" w:name="_GoBack"/>
      <w:bookmarkEnd w:id="0"/>
      <w:r>
        <w:rPr>
          <w:rFonts w:ascii="HGPｺﾞｼｯｸM" w:eastAsia="HGPｺﾞｼｯｸM" w:hint="eastAsia"/>
          <w:b/>
          <w:sz w:val="28"/>
          <w:szCs w:val="28"/>
        </w:rPr>
        <w:t>第１期</w:t>
      </w:r>
      <w:r w:rsidR="00A376CE" w:rsidRPr="00A376CE">
        <w:rPr>
          <w:rFonts w:ascii="HGPｺﾞｼｯｸM" w:eastAsia="HGPｺﾞｼｯｸM" w:hint="eastAsia"/>
          <w:b/>
          <w:sz w:val="28"/>
          <w:szCs w:val="28"/>
        </w:rPr>
        <w:t>計画</w:t>
      </w:r>
      <w:r>
        <w:rPr>
          <w:rFonts w:ascii="HGPｺﾞｼｯｸM" w:eastAsia="HGPｺﾞｼｯｸM" w:hint="eastAsia"/>
          <w:b/>
          <w:sz w:val="28"/>
          <w:szCs w:val="28"/>
        </w:rPr>
        <w:t>期間</w:t>
      </w:r>
      <w:r w:rsidR="00A376CE" w:rsidRPr="00A376CE">
        <w:rPr>
          <w:rFonts w:ascii="HGPｺﾞｼｯｸM" w:eastAsia="HGPｺﾞｼｯｸM" w:hint="eastAsia"/>
          <w:b/>
          <w:sz w:val="28"/>
          <w:szCs w:val="28"/>
        </w:rPr>
        <w:t>の</w:t>
      </w:r>
      <w:r>
        <w:rPr>
          <w:rFonts w:ascii="HGPｺﾞｼｯｸM" w:eastAsia="HGPｺﾞｼｯｸM" w:hint="eastAsia"/>
          <w:b/>
          <w:sz w:val="28"/>
          <w:szCs w:val="28"/>
        </w:rPr>
        <w:t>対策計画書のとりまとめ結果</w:t>
      </w:r>
      <w:r w:rsidR="00EE3D2F">
        <w:rPr>
          <w:rFonts w:ascii="HGPｺﾞｼｯｸM" w:eastAsia="HGPｺﾞｼｯｸM" w:hint="eastAsia"/>
          <w:b/>
          <w:sz w:val="28"/>
          <w:szCs w:val="28"/>
        </w:rPr>
        <w:t>（</w:t>
      </w:r>
      <w:r>
        <w:rPr>
          <w:rFonts w:ascii="HGPｺﾞｼｯｸM" w:eastAsia="HGPｺﾞｼｯｸM" w:hint="eastAsia"/>
          <w:b/>
          <w:sz w:val="28"/>
          <w:szCs w:val="28"/>
        </w:rPr>
        <w:t>重点項目</w:t>
      </w:r>
      <w:r w:rsidR="00EE3D2F">
        <w:rPr>
          <w:rFonts w:ascii="HGPｺﾞｼｯｸM" w:eastAsia="HGPｺﾞｼｯｸM" w:hint="eastAsia"/>
          <w:b/>
          <w:sz w:val="28"/>
          <w:szCs w:val="28"/>
        </w:rPr>
        <w:t>）</w:t>
      </w:r>
    </w:p>
    <w:p w:rsidR="00297BAB" w:rsidRPr="00F646A6" w:rsidRDefault="00EE3D2F" w:rsidP="00EE3D2F">
      <w:pPr>
        <w:rPr>
          <w:rFonts w:ascii="HGPｺﾞｼｯｸM" w:eastAsia="HGPｺﾞｼｯｸM"/>
          <w:szCs w:val="22"/>
        </w:rPr>
      </w:pPr>
      <w:r>
        <w:rPr>
          <w:rFonts w:ascii="HGPｺﾞｼｯｸM" w:eastAsia="HGPｺﾞｼｯｸM" w:hint="eastAsia"/>
          <w:szCs w:val="22"/>
        </w:rPr>
        <w:t xml:space="preserve">　</w:t>
      </w:r>
      <w:r w:rsidR="00297BAB" w:rsidRPr="00F646A6">
        <w:rPr>
          <w:rFonts w:ascii="HGPｺﾞｼｯｸM" w:eastAsia="HGPｺﾞｼｯｸM" w:hint="eastAsia"/>
          <w:szCs w:val="22"/>
        </w:rPr>
        <w:t>○重点１</w:t>
      </w:r>
    </w:p>
    <w:p w:rsidR="00297BAB" w:rsidRPr="00F646A6" w:rsidRDefault="00297BAB" w:rsidP="00297BAB">
      <w:pPr>
        <w:ind w:leftChars="100" w:left="210" w:firstLineChars="100" w:firstLine="210"/>
        <w:rPr>
          <w:rFonts w:ascii="HGPｺﾞｼｯｸM" w:eastAsia="HGPｺﾞｼｯｸM"/>
          <w:szCs w:val="22"/>
        </w:rPr>
      </w:pPr>
      <w:r w:rsidRPr="00F646A6">
        <w:rPr>
          <w:rFonts w:ascii="HGPｺﾞｼｯｸM" w:eastAsia="HGPｺﾞｼｯｸM" w:hint="eastAsia"/>
          <w:szCs w:val="22"/>
        </w:rPr>
        <w:t>耐震対策が必要な50基のうち30基が、法定期限を１年以上前倒しして対策を実施される予定。</w:t>
      </w:r>
    </w:p>
    <w:p w:rsidR="00297BAB" w:rsidRPr="00F646A6" w:rsidRDefault="00297BAB" w:rsidP="00297BAB">
      <w:pPr>
        <w:ind w:firstLineChars="100" w:firstLine="210"/>
        <w:rPr>
          <w:rFonts w:ascii="HGPｺﾞｼｯｸM" w:eastAsia="HGPｺﾞｼｯｸM"/>
          <w:szCs w:val="22"/>
        </w:rPr>
      </w:pPr>
      <w:r w:rsidRPr="00F646A6">
        <w:rPr>
          <w:rFonts w:ascii="HGPｺﾞｼｯｸM" w:eastAsia="HGPｺﾞｼｯｸM" w:hint="eastAsia"/>
          <w:szCs w:val="22"/>
        </w:rPr>
        <w:t>○重点２</w:t>
      </w:r>
    </w:p>
    <w:p w:rsidR="00297BAB" w:rsidRPr="00F646A6" w:rsidRDefault="00297BAB" w:rsidP="00297BAB">
      <w:pPr>
        <w:ind w:leftChars="100" w:left="210" w:firstLineChars="100" w:firstLine="210"/>
        <w:rPr>
          <w:rFonts w:ascii="HGPｺﾞｼｯｸM" w:eastAsia="HGPｺﾞｼｯｸM"/>
          <w:szCs w:val="22"/>
        </w:rPr>
      </w:pPr>
      <w:r w:rsidRPr="00F646A6">
        <w:rPr>
          <w:rFonts w:ascii="HGPｺﾞｼｯｸM" w:eastAsia="HGPｺﾞｼｯｸM" w:hint="eastAsia"/>
          <w:szCs w:val="22"/>
        </w:rPr>
        <w:t>耐震対策が必要な11基のうち６基が、法定期限を１年以上前倒しして対策が実施される予定。</w:t>
      </w:r>
    </w:p>
    <w:p w:rsidR="00297BAB" w:rsidRPr="00F646A6" w:rsidRDefault="00297BAB" w:rsidP="00297BAB">
      <w:pPr>
        <w:ind w:firstLineChars="100" w:firstLine="210"/>
        <w:rPr>
          <w:rFonts w:ascii="HGPｺﾞｼｯｸM" w:eastAsia="HGPｺﾞｼｯｸM"/>
          <w:szCs w:val="22"/>
        </w:rPr>
      </w:pPr>
      <w:r w:rsidRPr="00F646A6">
        <w:rPr>
          <w:rFonts w:ascii="HGPｺﾞｼｯｸM" w:eastAsia="HGPｺﾞｼｯｸM" w:hint="eastAsia"/>
          <w:szCs w:val="22"/>
        </w:rPr>
        <w:t>○重点３</w:t>
      </w:r>
    </w:p>
    <w:p w:rsidR="00297BAB" w:rsidRPr="00F646A6" w:rsidRDefault="00297BAB" w:rsidP="00297BAB">
      <w:pPr>
        <w:ind w:left="420" w:hangingChars="200" w:hanging="420"/>
        <w:rPr>
          <w:rFonts w:ascii="HGPｺﾞｼｯｸM" w:eastAsia="HGPｺﾞｼｯｸM"/>
          <w:szCs w:val="22"/>
        </w:rPr>
      </w:pPr>
      <w:r w:rsidRPr="00F646A6">
        <w:rPr>
          <w:rFonts w:ascii="HGPｺﾞｼｯｸM" w:eastAsia="HGPｺﾞｼｯｸM" w:hint="eastAsia"/>
          <w:szCs w:val="22"/>
        </w:rPr>
        <w:t xml:space="preserve">　　　基準に照らし耐震補強が必要と判明した11基のうち4基について、第１期中に実施される予定。</w:t>
      </w:r>
    </w:p>
    <w:p w:rsidR="00297BAB" w:rsidRPr="00F646A6" w:rsidRDefault="00297BAB" w:rsidP="00297BAB">
      <w:pPr>
        <w:ind w:leftChars="200" w:left="420"/>
        <w:rPr>
          <w:rFonts w:ascii="HGPｺﾞｼｯｸM" w:eastAsia="HGPｺﾞｼｯｸM"/>
          <w:szCs w:val="22"/>
        </w:rPr>
      </w:pPr>
      <w:r w:rsidRPr="00F646A6">
        <w:rPr>
          <w:rFonts w:ascii="HGPｺﾞｼｯｸM" w:eastAsia="HGPｺﾞｼｯｸM" w:hint="eastAsia"/>
          <w:szCs w:val="22"/>
        </w:rPr>
        <w:t>なお、残りの7基については、第２期以降に順次、耐震補強が実施される見込み。</w:t>
      </w:r>
    </w:p>
    <w:p w:rsidR="00297BAB" w:rsidRPr="00F646A6" w:rsidRDefault="00297BAB" w:rsidP="00297BAB">
      <w:pPr>
        <w:ind w:firstLineChars="100" w:firstLine="210"/>
        <w:rPr>
          <w:rFonts w:ascii="HGPｺﾞｼｯｸM" w:eastAsia="HGPｺﾞｼｯｸM"/>
          <w:szCs w:val="22"/>
        </w:rPr>
      </w:pPr>
      <w:r w:rsidRPr="00F646A6">
        <w:rPr>
          <w:rFonts w:ascii="HGPｺﾞｼｯｸM" w:eastAsia="HGPｺﾞｼｯｸM" w:hint="eastAsia"/>
          <w:szCs w:val="22"/>
        </w:rPr>
        <w:t>○重点４</w:t>
      </w:r>
    </w:p>
    <w:p w:rsidR="00297BAB" w:rsidRPr="00F646A6" w:rsidRDefault="00297BAB" w:rsidP="00297BAB">
      <w:pPr>
        <w:rPr>
          <w:rFonts w:ascii="HGPｺﾞｼｯｸM" w:eastAsia="HGPｺﾞｼｯｸM"/>
          <w:szCs w:val="22"/>
        </w:rPr>
      </w:pPr>
      <w:r w:rsidRPr="00F646A6">
        <w:rPr>
          <w:rFonts w:ascii="HGPｺﾞｼｯｸM" w:eastAsia="HGPｺﾞｼｯｸM" w:hint="eastAsia"/>
          <w:szCs w:val="22"/>
        </w:rPr>
        <w:t xml:space="preserve">　　　新たに22基のタンクに緊急遮断弁が設置される予定。</w:t>
      </w:r>
    </w:p>
    <w:p w:rsidR="00297BAB" w:rsidRPr="00F646A6" w:rsidRDefault="00297BAB" w:rsidP="00297BAB">
      <w:pPr>
        <w:ind w:firstLineChars="200" w:firstLine="420"/>
        <w:rPr>
          <w:rFonts w:ascii="HGPｺﾞｼｯｸM" w:eastAsia="HGPｺﾞｼｯｸM"/>
          <w:szCs w:val="22"/>
        </w:rPr>
      </w:pPr>
      <w:r w:rsidRPr="00F646A6">
        <w:rPr>
          <w:rFonts w:ascii="HGPｺﾞｼｯｸM" w:eastAsia="HGPｺﾞｼｯｸM" w:hint="eastAsia"/>
          <w:szCs w:val="22"/>
        </w:rPr>
        <w:t>緊急遮断弁の設置のタイミングが限定的（施設を一定期間停止しないと設置不可）であるのが課題。</w:t>
      </w:r>
    </w:p>
    <w:p w:rsidR="00297BAB" w:rsidRPr="00F646A6" w:rsidRDefault="00297BAB" w:rsidP="00297BAB">
      <w:pPr>
        <w:ind w:firstLineChars="100" w:firstLine="210"/>
        <w:rPr>
          <w:rFonts w:ascii="HGPｺﾞｼｯｸM" w:eastAsia="HGPｺﾞｼｯｸM"/>
          <w:szCs w:val="22"/>
        </w:rPr>
      </w:pPr>
      <w:r w:rsidRPr="00F646A6">
        <w:rPr>
          <w:rFonts w:ascii="HGPｺﾞｼｯｸM" w:eastAsia="HGPｺﾞｼｯｸM" w:hint="eastAsia"/>
          <w:szCs w:val="22"/>
        </w:rPr>
        <w:t>○重点５</w:t>
      </w:r>
    </w:p>
    <w:p w:rsidR="00297BAB" w:rsidRPr="00F646A6" w:rsidRDefault="00297BAB" w:rsidP="00297BAB">
      <w:pPr>
        <w:rPr>
          <w:rFonts w:ascii="HGPｺﾞｼｯｸM" w:eastAsia="HGPｺﾞｼｯｸM"/>
          <w:szCs w:val="22"/>
        </w:rPr>
      </w:pPr>
      <w:r w:rsidRPr="00F646A6">
        <w:rPr>
          <w:rFonts w:ascii="HGPｺﾞｼｯｸM" w:eastAsia="HGPｺﾞｼｯｸM" w:hint="eastAsia"/>
          <w:szCs w:val="22"/>
        </w:rPr>
        <w:t xml:space="preserve">　　　新たに11基のタンクの管理油高の下限値が見直しされる予定。</w:t>
      </w:r>
    </w:p>
    <w:p w:rsidR="00297BAB" w:rsidRPr="00F646A6" w:rsidRDefault="00297BAB" w:rsidP="00297BAB">
      <w:pPr>
        <w:rPr>
          <w:rFonts w:ascii="HGPｺﾞｼｯｸM" w:eastAsia="HGPｺﾞｼｯｸM"/>
          <w:szCs w:val="22"/>
        </w:rPr>
      </w:pPr>
      <w:r w:rsidRPr="00F646A6">
        <w:rPr>
          <w:rFonts w:ascii="HGPｺﾞｼｯｸM" w:eastAsia="HGPｺﾞｼｯｸM" w:hint="eastAsia"/>
          <w:szCs w:val="22"/>
        </w:rPr>
        <w:t xml:space="preserve">　　　下限値の設定（見直し）を行うことにより施設の運用効率が低下するなどの課題がある。</w:t>
      </w:r>
    </w:p>
    <w:p w:rsidR="00297BAB" w:rsidRPr="00F646A6" w:rsidRDefault="00297BAB" w:rsidP="00297BAB">
      <w:pPr>
        <w:ind w:firstLineChars="100" w:firstLine="210"/>
        <w:rPr>
          <w:rFonts w:ascii="HGPｺﾞｼｯｸM" w:eastAsia="HGPｺﾞｼｯｸM"/>
          <w:szCs w:val="22"/>
        </w:rPr>
      </w:pPr>
      <w:r w:rsidRPr="00F646A6">
        <w:rPr>
          <w:rFonts w:ascii="HGPｺﾞｼｯｸM" w:eastAsia="HGPｺﾞｼｯｸM" w:hint="eastAsia"/>
          <w:szCs w:val="22"/>
        </w:rPr>
        <w:t>○重点６</w:t>
      </w:r>
    </w:p>
    <w:p w:rsidR="00297BAB" w:rsidRPr="00F646A6" w:rsidRDefault="00297BAB" w:rsidP="00297BAB">
      <w:pPr>
        <w:rPr>
          <w:rFonts w:ascii="HGPｺﾞｼｯｸM" w:eastAsia="HGPｺﾞｼｯｸM"/>
          <w:szCs w:val="22"/>
        </w:rPr>
      </w:pPr>
      <w:r w:rsidRPr="00F646A6">
        <w:rPr>
          <w:rFonts w:ascii="HGPｺﾞｼｯｸM" w:eastAsia="HGPｺﾞｼｯｸM" w:hint="eastAsia"/>
          <w:szCs w:val="22"/>
        </w:rPr>
        <w:t xml:space="preserve">　　　全ての事業所が津波避難計画の内容を充実・改訂する予定。</w:t>
      </w:r>
    </w:p>
    <w:p w:rsidR="00297BAB" w:rsidRPr="00F646A6" w:rsidRDefault="00297BAB" w:rsidP="00297BAB">
      <w:pPr>
        <w:rPr>
          <w:rFonts w:ascii="HGPｺﾞｼｯｸM" w:eastAsia="HGPｺﾞｼｯｸM"/>
          <w:szCs w:val="22"/>
        </w:rPr>
      </w:pPr>
    </w:p>
    <w:p w:rsidR="00297BAB" w:rsidRPr="00F646A6" w:rsidRDefault="00297BAB" w:rsidP="00297BAB">
      <w:pPr>
        <w:rPr>
          <w:rFonts w:ascii="HGPｺﾞｼｯｸM" w:eastAsia="HGPｺﾞｼｯｸM"/>
          <w:szCs w:val="22"/>
        </w:rPr>
      </w:pPr>
      <w:r w:rsidRPr="00F646A6">
        <w:rPr>
          <w:rFonts w:ascii="HGPｺﾞｼｯｸM" w:eastAsia="HGPｺﾞｼｯｸM" w:hint="eastAsia"/>
          <w:szCs w:val="22"/>
        </w:rPr>
        <w:t>■地震対策</w:t>
      </w:r>
    </w:p>
    <w:p w:rsidR="00297BAB" w:rsidRPr="00F646A6" w:rsidRDefault="00BC3C68" w:rsidP="00297BAB">
      <w:pPr>
        <w:rPr>
          <w:rFonts w:ascii="HGPｺﾞｼｯｸM" w:eastAsia="HGPｺﾞｼｯｸM"/>
          <w:szCs w:val="22"/>
        </w:rPr>
      </w:pPr>
      <w:r>
        <w:rPr>
          <w:noProof/>
        </w:rPr>
        <w:drawing>
          <wp:anchor distT="0" distB="0" distL="114300" distR="114300" simplePos="0" relativeHeight="251656192" behindDoc="1" locked="0" layoutInCell="1" allowOverlap="1">
            <wp:simplePos x="0" y="0"/>
            <wp:positionH relativeFrom="column">
              <wp:posOffset>-3175</wp:posOffset>
            </wp:positionH>
            <wp:positionV relativeFrom="paragraph">
              <wp:posOffset>76835</wp:posOffset>
            </wp:positionV>
            <wp:extent cx="5123815" cy="2097405"/>
            <wp:effectExtent l="0" t="0" r="0" b="0"/>
            <wp:wrapNone/>
            <wp:docPr id="20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23815" cy="20974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97BAB" w:rsidRPr="00F646A6" w:rsidRDefault="00297BAB" w:rsidP="00297BAB">
      <w:pPr>
        <w:rPr>
          <w:rFonts w:ascii="HGPｺﾞｼｯｸM" w:eastAsia="HGPｺﾞｼｯｸM"/>
          <w:szCs w:val="22"/>
        </w:rPr>
      </w:pPr>
    </w:p>
    <w:p w:rsidR="00297BAB" w:rsidRPr="00F646A6" w:rsidRDefault="00297BAB" w:rsidP="00297BAB">
      <w:pPr>
        <w:rPr>
          <w:rFonts w:ascii="HGPｺﾞｼｯｸM" w:eastAsia="HGPｺﾞｼｯｸM"/>
          <w:szCs w:val="22"/>
        </w:rPr>
      </w:pPr>
    </w:p>
    <w:p w:rsidR="00297BAB" w:rsidRPr="00F646A6" w:rsidRDefault="00297BAB" w:rsidP="00297BAB">
      <w:pPr>
        <w:rPr>
          <w:rFonts w:ascii="HGPｺﾞｼｯｸM" w:eastAsia="HGPｺﾞｼｯｸM"/>
          <w:szCs w:val="22"/>
        </w:rPr>
      </w:pPr>
    </w:p>
    <w:p w:rsidR="00297BAB" w:rsidRPr="00F646A6" w:rsidRDefault="00297BAB" w:rsidP="00297BAB">
      <w:pPr>
        <w:rPr>
          <w:rFonts w:ascii="HGPｺﾞｼｯｸM" w:eastAsia="HGPｺﾞｼｯｸM"/>
          <w:szCs w:val="22"/>
        </w:rPr>
      </w:pPr>
    </w:p>
    <w:p w:rsidR="00297BAB" w:rsidRPr="00F646A6" w:rsidRDefault="00297BAB" w:rsidP="00297BAB">
      <w:pPr>
        <w:rPr>
          <w:rFonts w:ascii="HGPｺﾞｼｯｸM" w:eastAsia="HGPｺﾞｼｯｸM"/>
          <w:szCs w:val="22"/>
        </w:rPr>
      </w:pPr>
    </w:p>
    <w:p w:rsidR="00297BAB" w:rsidRPr="00F646A6" w:rsidRDefault="00297BAB" w:rsidP="00297BAB">
      <w:pPr>
        <w:rPr>
          <w:rFonts w:ascii="HGPｺﾞｼｯｸM" w:eastAsia="HGPｺﾞｼｯｸM"/>
          <w:szCs w:val="22"/>
        </w:rPr>
      </w:pPr>
    </w:p>
    <w:p w:rsidR="00297BAB" w:rsidRPr="00F646A6" w:rsidRDefault="00297BAB" w:rsidP="00297BAB">
      <w:pPr>
        <w:rPr>
          <w:rFonts w:ascii="HGPｺﾞｼｯｸM" w:eastAsia="HGPｺﾞｼｯｸM"/>
          <w:szCs w:val="22"/>
        </w:rPr>
      </w:pPr>
    </w:p>
    <w:p w:rsidR="00297BAB" w:rsidRPr="00F646A6" w:rsidRDefault="00297BAB" w:rsidP="00297BAB">
      <w:pPr>
        <w:rPr>
          <w:rFonts w:ascii="HGPｺﾞｼｯｸM" w:eastAsia="HGPｺﾞｼｯｸM"/>
          <w:szCs w:val="22"/>
        </w:rPr>
      </w:pPr>
    </w:p>
    <w:p w:rsidR="00297BAB" w:rsidRPr="00F646A6" w:rsidRDefault="00297BAB" w:rsidP="00297BAB">
      <w:pPr>
        <w:rPr>
          <w:rFonts w:ascii="HGPｺﾞｼｯｸM" w:eastAsia="HGPｺﾞｼｯｸM"/>
          <w:szCs w:val="22"/>
        </w:rPr>
      </w:pPr>
    </w:p>
    <w:p w:rsidR="00297BAB" w:rsidRDefault="00297BAB" w:rsidP="00297BAB">
      <w:pPr>
        <w:rPr>
          <w:rFonts w:ascii="HGPｺﾞｼｯｸM" w:eastAsia="HGPｺﾞｼｯｸM" w:hint="eastAsia"/>
          <w:szCs w:val="22"/>
        </w:rPr>
      </w:pPr>
      <w:r w:rsidRPr="00F646A6">
        <w:rPr>
          <w:rFonts w:ascii="HGPｺﾞｼｯｸM" w:eastAsia="HGPｺﾞｼｯｸM" w:hint="eastAsia"/>
          <w:szCs w:val="22"/>
        </w:rPr>
        <w:t>■津波対策</w:t>
      </w:r>
    </w:p>
    <w:p w:rsidR="00E93DEB" w:rsidRDefault="00BC3C68" w:rsidP="00297BAB">
      <w:pPr>
        <w:rPr>
          <w:rFonts w:ascii="HGPｺﾞｼｯｸM" w:eastAsia="HGPｺﾞｼｯｸM" w:hint="eastAsia"/>
          <w:szCs w:val="22"/>
        </w:rPr>
      </w:pPr>
      <w:r>
        <w:rPr>
          <w:noProof/>
        </w:rPr>
        <w:drawing>
          <wp:anchor distT="0" distB="0" distL="114300" distR="114300" simplePos="0" relativeHeight="251657216" behindDoc="1" locked="0" layoutInCell="1" allowOverlap="1">
            <wp:simplePos x="0" y="0"/>
            <wp:positionH relativeFrom="column">
              <wp:posOffset>-3175</wp:posOffset>
            </wp:positionH>
            <wp:positionV relativeFrom="paragraph">
              <wp:posOffset>90805</wp:posOffset>
            </wp:positionV>
            <wp:extent cx="5123815" cy="2102485"/>
            <wp:effectExtent l="0" t="0" r="0" b="0"/>
            <wp:wrapNone/>
            <wp:docPr id="20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23815" cy="21024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93DEB" w:rsidRDefault="00E93DEB" w:rsidP="00297BAB">
      <w:pPr>
        <w:rPr>
          <w:rFonts w:ascii="HGPｺﾞｼｯｸM" w:eastAsia="HGPｺﾞｼｯｸM" w:hint="eastAsia"/>
          <w:szCs w:val="22"/>
        </w:rPr>
      </w:pPr>
    </w:p>
    <w:p w:rsidR="00E93DEB" w:rsidRDefault="00E93DEB" w:rsidP="00297BAB">
      <w:pPr>
        <w:rPr>
          <w:rFonts w:ascii="HGPｺﾞｼｯｸM" w:eastAsia="HGPｺﾞｼｯｸM" w:hint="eastAsia"/>
          <w:szCs w:val="22"/>
        </w:rPr>
      </w:pPr>
    </w:p>
    <w:p w:rsidR="00E93DEB" w:rsidRDefault="00E93DEB" w:rsidP="00297BAB">
      <w:pPr>
        <w:rPr>
          <w:rFonts w:ascii="HGPｺﾞｼｯｸM" w:eastAsia="HGPｺﾞｼｯｸM" w:hint="eastAsia"/>
          <w:szCs w:val="22"/>
        </w:rPr>
      </w:pPr>
    </w:p>
    <w:p w:rsidR="00E93DEB" w:rsidRPr="00F646A6" w:rsidRDefault="00E93DEB" w:rsidP="00297BAB">
      <w:pPr>
        <w:rPr>
          <w:rFonts w:ascii="HGPｺﾞｼｯｸM" w:eastAsia="HGPｺﾞｼｯｸM"/>
          <w:szCs w:val="22"/>
        </w:rPr>
      </w:pPr>
    </w:p>
    <w:p w:rsidR="00297BAB" w:rsidRPr="00F646A6" w:rsidRDefault="00297BAB" w:rsidP="00297BAB">
      <w:pPr>
        <w:rPr>
          <w:rFonts w:ascii="HGPｺﾞｼｯｸM" w:eastAsia="HGPｺﾞｼｯｸM"/>
          <w:szCs w:val="22"/>
        </w:rPr>
      </w:pPr>
    </w:p>
    <w:p w:rsidR="00297BAB" w:rsidRPr="00F646A6" w:rsidRDefault="00297BAB" w:rsidP="00297BAB">
      <w:pPr>
        <w:rPr>
          <w:rFonts w:ascii="HGPｺﾞｼｯｸM" w:eastAsia="HGPｺﾞｼｯｸM"/>
          <w:szCs w:val="22"/>
        </w:rPr>
      </w:pPr>
    </w:p>
    <w:p w:rsidR="00297BAB" w:rsidRPr="00F646A6" w:rsidRDefault="00297BAB" w:rsidP="00297BAB">
      <w:pPr>
        <w:rPr>
          <w:rFonts w:ascii="HGPｺﾞｼｯｸM" w:eastAsia="HGPｺﾞｼｯｸM"/>
          <w:szCs w:val="22"/>
        </w:rPr>
      </w:pPr>
    </w:p>
    <w:p w:rsidR="00297BAB" w:rsidRPr="00F646A6" w:rsidRDefault="00297BAB" w:rsidP="00297BAB">
      <w:pPr>
        <w:rPr>
          <w:rFonts w:ascii="HGPｺﾞｼｯｸM" w:eastAsia="HGPｺﾞｼｯｸM"/>
          <w:szCs w:val="22"/>
        </w:rPr>
      </w:pPr>
    </w:p>
    <w:p w:rsidR="00297BAB" w:rsidRPr="00F646A6" w:rsidRDefault="00297BAB" w:rsidP="00297BAB">
      <w:pPr>
        <w:rPr>
          <w:rFonts w:ascii="HGPｺﾞｼｯｸM" w:eastAsia="HGPｺﾞｼｯｸM"/>
          <w:szCs w:val="22"/>
        </w:rPr>
      </w:pPr>
    </w:p>
    <w:p w:rsidR="00E93DEB" w:rsidRPr="00FD2627" w:rsidRDefault="00E93DEB" w:rsidP="00E93DEB">
      <w:pPr>
        <w:jc w:val="center"/>
        <w:rPr>
          <w:rFonts w:ascii="HGPｺﾞｼｯｸM" w:eastAsia="HGPｺﾞｼｯｸM"/>
          <w:b/>
          <w:szCs w:val="22"/>
        </w:rPr>
      </w:pPr>
      <w:r w:rsidRPr="00A376CE">
        <w:rPr>
          <w:rFonts w:ascii="HGPｺﾞｼｯｸM" w:eastAsia="HGPｺﾞｼｯｸM" w:hint="eastAsia"/>
          <w:b/>
          <w:sz w:val="28"/>
          <w:szCs w:val="28"/>
        </w:rPr>
        <w:lastRenderedPageBreak/>
        <w:t>第</w:t>
      </w:r>
      <w:r>
        <w:rPr>
          <w:rFonts w:ascii="HGPｺﾞｼｯｸM" w:eastAsia="HGPｺﾞｼｯｸM" w:hint="eastAsia"/>
          <w:b/>
          <w:sz w:val="28"/>
          <w:szCs w:val="22"/>
        </w:rPr>
        <w:t>１期計画期間の重点</w:t>
      </w:r>
      <w:r w:rsidRPr="00FD2627">
        <w:rPr>
          <w:rFonts w:ascii="HGPｺﾞｼｯｸM" w:eastAsia="HGPｺﾞｼｯｸM" w:hint="eastAsia"/>
          <w:b/>
          <w:sz w:val="28"/>
          <w:szCs w:val="22"/>
        </w:rPr>
        <w:t>項目</w:t>
      </w:r>
      <w:r>
        <w:rPr>
          <w:rFonts w:ascii="HGPｺﾞｼｯｸM" w:eastAsia="HGPｺﾞｼｯｸM" w:hint="eastAsia"/>
          <w:b/>
          <w:sz w:val="28"/>
          <w:szCs w:val="22"/>
        </w:rPr>
        <w:t>の概要</w:t>
      </w:r>
    </w:p>
    <w:p w:rsidR="00E93DEB" w:rsidRPr="00F646A6" w:rsidRDefault="00E93DEB" w:rsidP="00E93DEB">
      <w:pPr>
        <w:rPr>
          <w:rFonts w:ascii="HGPｺﾞｼｯｸM" w:eastAsia="HGPｺﾞｼｯｸM"/>
          <w:szCs w:val="22"/>
        </w:rPr>
      </w:pPr>
      <w:r w:rsidRPr="00F646A6">
        <w:rPr>
          <w:rFonts w:ascii="HGPｺﾞｼｯｸM" w:eastAsia="HGPｺﾞｼｯｸM" w:hint="eastAsia"/>
          <w:szCs w:val="22"/>
        </w:rPr>
        <w:t xml:space="preserve">　防災計画に位置づけた対策のうち、法定対策の前倒しや、南海トラフ巨大地震の地震・津波による災害想定等を踏まえて優先して実施することが望ましい対策を、重点項目に設定した。</w:t>
      </w:r>
    </w:p>
    <w:p w:rsidR="00E93DEB" w:rsidRPr="00F646A6" w:rsidRDefault="00E93DEB" w:rsidP="00E93DEB">
      <w:pPr>
        <w:rPr>
          <w:rFonts w:ascii="HGPｺﾞｼｯｸM" w:eastAsia="HGPｺﾞｼｯｸM"/>
          <w:szCs w:val="22"/>
        </w:rPr>
      </w:pPr>
    </w:p>
    <w:p w:rsidR="00E93DEB" w:rsidRDefault="00E93DEB" w:rsidP="00E93DEB">
      <w:pPr>
        <w:rPr>
          <w:rFonts w:ascii="HGPｺﾞｼｯｸM" w:eastAsia="HGPｺﾞｼｯｸM" w:hint="eastAsia"/>
          <w:szCs w:val="22"/>
        </w:rPr>
      </w:pPr>
      <w:r>
        <w:rPr>
          <w:rFonts w:ascii="HGPｺﾞｼｯｸM" w:eastAsia="HGPｺﾞｼｯｸM" w:hint="eastAsia"/>
          <w:szCs w:val="22"/>
        </w:rPr>
        <w:t>□法定対策</w:t>
      </w:r>
    </w:p>
    <w:p w:rsidR="00E93DEB" w:rsidRPr="00F646A6" w:rsidRDefault="00E93DEB" w:rsidP="00E93DEB">
      <w:pPr>
        <w:ind w:firstLineChars="100" w:firstLine="210"/>
        <w:rPr>
          <w:rFonts w:ascii="HGPｺﾞｼｯｸM" w:eastAsia="HGPｺﾞｼｯｸM"/>
          <w:szCs w:val="22"/>
        </w:rPr>
      </w:pPr>
      <w:r w:rsidRPr="00F646A6">
        <w:rPr>
          <w:rFonts w:ascii="HGPｺﾞｼｯｸM" w:eastAsia="HGPｺﾞｼｯｸM" w:hint="eastAsia"/>
          <w:szCs w:val="22"/>
        </w:rPr>
        <w:t>【重点１】浮き屋根式タンク</w:t>
      </w:r>
      <w:r w:rsidRPr="00F646A6">
        <w:rPr>
          <w:rFonts w:ascii="HGPｺﾞｼｯｸM" w:eastAsia="HGPｺﾞｼｯｸM" w:hint="eastAsia"/>
          <w:szCs w:val="22"/>
          <w:vertAlign w:val="superscript"/>
        </w:rPr>
        <w:t>※</w:t>
      </w:r>
      <w:r w:rsidRPr="00F646A6">
        <w:rPr>
          <w:rFonts w:ascii="HGPｺﾞｼｯｸM" w:eastAsia="HGPｺﾞｼｯｸM" w:hint="eastAsia"/>
          <w:szCs w:val="22"/>
        </w:rPr>
        <w:t>の耐震基準適合</w:t>
      </w:r>
    </w:p>
    <w:p w:rsidR="00E93DEB" w:rsidRPr="00F646A6" w:rsidRDefault="00E93DEB" w:rsidP="00E93DEB">
      <w:pPr>
        <w:ind w:leftChars="100" w:left="210" w:firstLineChars="100" w:firstLine="210"/>
        <w:rPr>
          <w:rFonts w:ascii="HGPｺﾞｼｯｸM" w:eastAsia="HGPｺﾞｼｯｸM"/>
          <w:szCs w:val="22"/>
        </w:rPr>
      </w:pPr>
      <w:r w:rsidRPr="00F646A6">
        <w:rPr>
          <w:rFonts w:ascii="HGPｺﾞｼｯｸM" w:eastAsia="HGPｺﾞｼｯｸM" w:hint="eastAsia"/>
          <w:szCs w:val="22"/>
        </w:rPr>
        <w:t>浮き屋根式の危険物タンクは、消防法に基づき平成29年3月末までに耐震基準に適合しなければならないが、法定期限を前倒しした対策の実施を進めている。</w:t>
      </w:r>
    </w:p>
    <w:p w:rsidR="00E93DEB" w:rsidRPr="00F646A6" w:rsidRDefault="00E93DEB" w:rsidP="00E93DEB">
      <w:pPr>
        <w:ind w:firstLineChars="100" w:firstLine="180"/>
        <w:jc w:val="right"/>
        <w:rPr>
          <w:rFonts w:ascii="HGPｺﾞｼｯｸM" w:eastAsia="HGPｺﾞｼｯｸM"/>
          <w:sz w:val="18"/>
          <w:szCs w:val="18"/>
        </w:rPr>
      </w:pPr>
      <w:r w:rsidRPr="00F646A6">
        <w:rPr>
          <w:rFonts w:ascii="HGPｺﾞｼｯｸM" w:eastAsia="HGPｺﾞｼｯｸM" w:hint="eastAsia"/>
          <w:sz w:val="18"/>
          <w:szCs w:val="18"/>
        </w:rPr>
        <w:t>※浮き屋根が貯蔵物液面に浮き、液面とともに上下するタンク</w:t>
      </w:r>
    </w:p>
    <w:p w:rsidR="00E93DEB" w:rsidRPr="00F646A6" w:rsidRDefault="00E93DEB" w:rsidP="00E93DEB">
      <w:pPr>
        <w:ind w:firstLineChars="100" w:firstLine="210"/>
        <w:rPr>
          <w:rFonts w:ascii="HGPｺﾞｼｯｸM" w:eastAsia="HGPｺﾞｼｯｸM"/>
          <w:szCs w:val="22"/>
        </w:rPr>
      </w:pPr>
    </w:p>
    <w:p w:rsidR="00E93DEB" w:rsidRPr="00F646A6" w:rsidRDefault="00E93DEB" w:rsidP="00E93DEB">
      <w:pPr>
        <w:ind w:firstLineChars="100" w:firstLine="210"/>
        <w:rPr>
          <w:rFonts w:ascii="HGPｺﾞｼｯｸM" w:eastAsia="HGPｺﾞｼｯｸM"/>
          <w:szCs w:val="22"/>
        </w:rPr>
      </w:pPr>
      <w:r w:rsidRPr="00F646A6">
        <w:rPr>
          <w:rFonts w:ascii="HGPｺﾞｼｯｸM" w:eastAsia="HGPｺﾞｼｯｸM" w:hint="eastAsia"/>
          <w:szCs w:val="22"/>
        </w:rPr>
        <w:t>【重点２】準特定タンク</w:t>
      </w:r>
      <w:r w:rsidRPr="00F646A6">
        <w:rPr>
          <w:rFonts w:ascii="HGPｺﾞｼｯｸM" w:eastAsia="HGPｺﾞｼｯｸM" w:hint="eastAsia"/>
          <w:szCs w:val="22"/>
          <w:vertAlign w:val="superscript"/>
        </w:rPr>
        <w:t>※</w:t>
      </w:r>
      <w:r w:rsidRPr="00F646A6">
        <w:rPr>
          <w:rFonts w:ascii="HGPｺﾞｼｯｸM" w:eastAsia="HGPｺﾞｼｯｸM" w:hint="eastAsia"/>
          <w:szCs w:val="22"/>
        </w:rPr>
        <w:t>の耐震基準適合</w:t>
      </w:r>
    </w:p>
    <w:p w:rsidR="00E93DEB" w:rsidRPr="00F646A6" w:rsidRDefault="00E93DEB" w:rsidP="00E93DEB">
      <w:pPr>
        <w:ind w:leftChars="100" w:left="210"/>
        <w:rPr>
          <w:rFonts w:ascii="HGPｺﾞｼｯｸM" w:eastAsia="HGPｺﾞｼｯｸM"/>
          <w:szCs w:val="22"/>
        </w:rPr>
      </w:pPr>
      <w:r w:rsidRPr="00F646A6">
        <w:rPr>
          <w:rFonts w:ascii="HGPｺﾞｼｯｸM" w:eastAsia="HGPｺﾞｼｯｸM" w:hint="eastAsia"/>
          <w:szCs w:val="22"/>
        </w:rPr>
        <w:t xml:space="preserve">　危険物を貯蔵している準特定タンクは、消防法に基づき平成29年3月末までに耐震基準に適合しなければならないが、法定期限を前倒しした対策の実施を進めている。</w:t>
      </w:r>
    </w:p>
    <w:p w:rsidR="00E93DEB" w:rsidRPr="00F646A6" w:rsidRDefault="00E93DEB" w:rsidP="00E93DEB">
      <w:pPr>
        <w:ind w:firstLineChars="100" w:firstLine="180"/>
        <w:jc w:val="right"/>
        <w:rPr>
          <w:rFonts w:ascii="HGPｺﾞｼｯｸM" w:eastAsia="HGPｺﾞｼｯｸM"/>
          <w:sz w:val="18"/>
          <w:szCs w:val="18"/>
        </w:rPr>
      </w:pPr>
      <w:r w:rsidRPr="00F646A6">
        <w:rPr>
          <w:rFonts w:ascii="HGPｺﾞｼｯｸM" w:eastAsia="HGPｺﾞｼｯｸM" w:hint="eastAsia"/>
          <w:sz w:val="18"/>
          <w:szCs w:val="18"/>
        </w:rPr>
        <w:t>※貯蔵量が500kL以上1000kL未満のタンク</w:t>
      </w:r>
    </w:p>
    <w:p w:rsidR="00E93DEB" w:rsidRPr="00F646A6" w:rsidRDefault="00E93DEB" w:rsidP="00E93DEB">
      <w:pPr>
        <w:ind w:firstLineChars="100" w:firstLine="210"/>
        <w:rPr>
          <w:rFonts w:ascii="HGPｺﾞｼｯｸM" w:eastAsia="HGPｺﾞｼｯｸM"/>
          <w:szCs w:val="22"/>
        </w:rPr>
      </w:pPr>
    </w:p>
    <w:p w:rsidR="00E93DEB" w:rsidRDefault="00E93DEB" w:rsidP="00E93DEB">
      <w:pPr>
        <w:rPr>
          <w:rFonts w:ascii="HGPｺﾞｼｯｸM" w:eastAsia="HGPｺﾞｼｯｸM" w:hint="eastAsia"/>
          <w:szCs w:val="22"/>
        </w:rPr>
      </w:pPr>
      <w:r>
        <w:rPr>
          <w:rFonts w:ascii="HGPｺﾞｼｯｸM" w:eastAsia="HGPｺﾞｼｯｸM" w:hint="eastAsia"/>
          <w:szCs w:val="22"/>
        </w:rPr>
        <w:t>□自主対策</w:t>
      </w:r>
    </w:p>
    <w:p w:rsidR="00E93DEB" w:rsidRPr="00F646A6" w:rsidRDefault="00E93DEB" w:rsidP="00E93DEB">
      <w:pPr>
        <w:ind w:firstLineChars="100" w:firstLine="210"/>
        <w:rPr>
          <w:rFonts w:ascii="HGPｺﾞｼｯｸM" w:eastAsia="HGPｺﾞｼｯｸM"/>
          <w:szCs w:val="22"/>
        </w:rPr>
      </w:pPr>
      <w:r w:rsidRPr="00F646A6">
        <w:rPr>
          <w:rFonts w:ascii="HGPｺﾞｼｯｸM" w:eastAsia="HGPｺﾞｼｯｸM" w:hint="eastAsia"/>
          <w:szCs w:val="22"/>
        </w:rPr>
        <w:t>【重点３】球形高圧ガスタンクの鋼管ブレースの耐震基準適合</w:t>
      </w:r>
    </w:p>
    <w:p w:rsidR="00E93DEB" w:rsidRPr="00F646A6" w:rsidRDefault="00BC3C68" w:rsidP="00E93DEB">
      <w:pPr>
        <w:ind w:leftChars="100" w:left="210"/>
        <w:rPr>
          <w:rFonts w:ascii="HGPｺﾞｼｯｸM" w:eastAsia="HGPｺﾞｼｯｸM"/>
          <w:szCs w:val="22"/>
        </w:rPr>
      </w:pPr>
      <w:r>
        <w:rPr>
          <w:noProof/>
        </w:rPr>
        <w:drawing>
          <wp:anchor distT="0" distB="0" distL="114300" distR="114300" simplePos="0" relativeHeight="251658240" behindDoc="0" locked="0" layoutInCell="1" allowOverlap="1">
            <wp:simplePos x="0" y="0"/>
            <wp:positionH relativeFrom="column">
              <wp:posOffset>4024630</wp:posOffset>
            </wp:positionH>
            <wp:positionV relativeFrom="paragraph">
              <wp:posOffset>464185</wp:posOffset>
            </wp:positionV>
            <wp:extent cx="1716405" cy="1061720"/>
            <wp:effectExtent l="0" t="0" r="0" b="0"/>
            <wp:wrapNone/>
            <wp:docPr id="208"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6405" cy="1061720"/>
                    </a:xfrm>
                    <a:prstGeom prst="rect">
                      <a:avLst/>
                    </a:prstGeom>
                    <a:noFill/>
                    <a:ln>
                      <a:noFill/>
                    </a:ln>
                  </pic:spPr>
                </pic:pic>
              </a:graphicData>
            </a:graphic>
            <wp14:sizeRelH relativeFrom="page">
              <wp14:pctWidth>0</wp14:pctWidth>
            </wp14:sizeRelH>
            <wp14:sizeRelV relativeFrom="page">
              <wp14:pctHeight>0</wp14:pctHeight>
            </wp14:sizeRelV>
          </wp:anchor>
        </w:drawing>
      </w:r>
      <w:r w:rsidR="00E93DEB" w:rsidRPr="00F646A6">
        <w:rPr>
          <w:rFonts w:ascii="HGPｺﾞｼｯｸM" w:eastAsia="HGPｺﾞｼｯｸM" w:hint="eastAsia"/>
          <w:szCs w:val="22"/>
        </w:rPr>
        <w:t xml:space="preserve">　東日本大震災での球形高圧ガスタンクの災害発生を受け、平成26年1月以降設置の新規タンクには、新たな耐震設計基準が設定された。既存のタンクについてはブレース部などの耐震補強を実施する予定となっている。</w:t>
      </w:r>
    </w:p>
    <w:p w:rsidR="00E93DEB" w:rsidRPr="00F646A6" w:rsidRDefault="00E93DEB" w:rsidP="00E93DEB">
      <w:pPr>
        <w:ind w:firstLineChars="100" w:firstLine="210"/>
        <w:rPr>
          <w:rFonts w:ascii="HGPｺﾞｼｯｸM" w:eastAsia="HGPｺﾞｼｯｸM"/>
          <w:szCs w:val="22"/>
        </w:rPr>
      </w:pPr>
    </w:p>
    <w:p w:rsidR="00E93DEB" w:rsidRPr="00F646A6" w:rsidRDefault="00E93DEB" w:rsidP="00E93DEB">
      <w:pPr>
        <w:ind w:firstLineChars="100" w:firstLine="210"/>
        <w:rPr>
          <w:rFonts w:ascii="HGPｺﾞｼｯｸM" w:eastAsia="HGPｺﾞｼｯｸM"/>
          <w:szCs w:val="22"/>
        </w:rPr>
      </w:pPr>
    </w:p>
    <w:p w:rsidR="00E93DEB" w:rsidRPr="00F646A6" w:rsidRDefault="00E93DEB" w:rsidP="00E93DEB">
      <w:pPr>
        <w:ind w:firstLineChars="100" w:firstLine="210"/>
        <w:rPr>
          <w:rFonts w:ascii="HGPｺﾞｼｯｸM" w:eastAsia="HGPｺﾞｼｯｸM"/>
          <w:szCs w:val="22"/>
        </w:rPr>
      </w:pPr>
    </w:p>
    <w:p w:rsidR="00E93DEB" w:rsidRPr="00F646A6" w:rsidRDefault="00E93DEB" w:rsidP="00E93DEB">
      <w:pPr>
        <w:ind w:firstLineChars="100" w:firstLine="210"/>
        <w:rPr>
          <w:rFonts w:ascii="HGPｺﾞｼｯｸM" w:eastAsia="HGPｺﾞｼｯｸM"/>
          <w:szCs w:val="22"/>
        </w:rPr>
      </w:pPr>
      <w:r w:rsidRPr="00F646A6">
        <w:rPr>
          <w:rFonts w:ascii="HGPｺﾞｼｯｸM" w:eastAsia="HGPｺﾞｼｯｸM" w:hint="eastAsia"/>
          <w:szCs w:val="22"/>
        </w:rPr>
        <w:t>【重点４】危険物タンクへの緊急遮断弁</w:t>
      </w:r>
      <w:r w:rsidRPr="00F646A6">
        <w:rPr>
          <w:rFonts w:ascii="HGPｺﾞｼｯｸM" w:eastAsia="HGPｺﾞｼｯｸM" w:hint="eastAsia"/>
          <w:szCs w:val="22"/>
          <w:vertAlign w:val="superscript"/>
        </w:rPr>
        <w:t>※</w:t>
      </w:r>
      <w:r w:rsidRPr="00F646A6">
        <w:rPr>
          <w:rFonts w:ascii="HGPｺﾞｼｯｸM" w:eastAsia="HGPｺﾞｼｯｸM" w:hint="eastAsia"/>
          <w:szCs w:val="22"/>
        </w:rPr>
        <w:t>の設置</w:t>
      </w:r>
    </w:p>
    <w:p w:rsidR="00E93DEB" w:rsidRPr="00F646A6" w:rsidRDefault="00E93DEB" w:rsidP="00E93DEB">
      <w:pPr>
        <w:ind w:leftChars="100" w:left="210"/>
        <w:rPr>
          <w:rFonts w:ascii="HGPｺﾞｼｯｸM" w:eastAsia="HGPｺﾞｼｯｸM"/>
          <w:szCs w:val="22"/>
        </w:rPr>
      </w:pPr>
      <w:r w:rsidRPr="00F646A6">
        <w:rPr>
          <w:rFonts w:ascii="HGPｺﾞｼｯｸM" w:eastAsia="HGPｺﾞｼｯｸM" w:hint="eastAsia"/>
          <w:szCs w:val="22"/>
        </w:rPr>
        <w:t xml:space="preserve">　貯蔵量が1万kL未満の危険物タンクについては、緊急遮断弁の設置は義務付けられていないが、事業所による取組みが進められている。</w:t>
      </w:r>
    </w:p>
    <w:p w:rsidR="00E93DEB" w:rsidRPr="00F646A6" w:rsidRDefault="00E93DEB" w:rsidP="00E93DEB">
      <w:pPr>
        <w:ind w:firstLineChars="100" w:firstLine="180"/>
        <w:jc w:val="right"/>
        <w:rPr>
          <w:rFonts w:ascii="HGPｺﾞｼｯｸM" w:eastAsia="HGPｺﾞｼｯｸM"/>
          <w:sz w:val="18"/>
          <w:szCs w:val="18"/>
        </w:rPr>
      </w:pPr>
      <w:r w:rsidRPr="00F646A6">
        <w:rPr>
          <w:rFonts w:ascii="HGPｺﾞｼｯｸM" w:eastAsia="HGPｺﾞｼｯｸM" w:hint="eastAsia"/>
          <w:sz w:val="18"/>
          <w:szCs w:val="18"/>
        </w:rPr>
        <w:t>※地震などの緊急時に遠隔操作又は自動的に弁を閉止することにより、</w:t>
      </w:r>
    </w:p>
    <w:p w:rsidR="00E93DEB" w:rsidRPr="00F646A6" w:rsidRDefault="00E93DEB" w:rsidP="00E93DEB">
      <w:pPr>
        <w:spacing w:line="200" w:lineRule="exact"/>
        <w:ind w:firstLineChars="2200" w:firstLine="3960"/>
        <w:rPr>
          <w:rFonts w:ascii="HGPｺﾞｼｯｸM" w:eastAsia="HGPｺﾞｼｯｸM"/>
          <w:sz w:val="18"/>
          <w:szCs w:val="18"/>
        </w:rPr>
      </w:pPr>
      <w:r w:rsidRPr="00F646A6">
        <w:rPr>
          <w:rFonts w:ascii="HGPｺﾞｼｯｸM" w:eastAsia="HGPｺﾞｼｯｸM" w:hint="eastAsia"/>
          <w:sz w:val="18"/>
          <w:szCs w:val="18"/>
        </w:rPr>
        <w:t>配管の破断などによる貯蔵物の漏えいを防ぐための弁</w:t>
      </w:r>
    </w:p>
    <w:p w:rsidR="00E93DEB" w:rsidRPr="00F646A6" w:rsidRDefault="00E93DEB" w:rsidP="00E93DEB">
      <w:pPr>
        <w:ind w:firstLineChars="100" w:firstLine="210"/>
        <w:rPr>
          <w:rFonts w:ascii="HGPｺﾞｼｯｸM" w:eastAsia="HGPｺﾞｼｯｸM"/>
          <w:szCs w:val="22"/>
        </w:rPr>
      </w:pPr>
    </w:p>
    <w:p w:rsidR="00E93DEB" w:rsidRPr="00F646A6" w:rsidRDefault="00E93DEB" w:rsidP="00E93DEB">
      <w:pPr>
        <w:ind w:firstLineChars="100" w:firstLine="210"/>
        <w:rPr>
          <w:rFonts w:ascii="HGPｺﾞｼｯｸM" w:eastAsia="HGPｺﾞｼｯｸM"/>
          <w:szCs w:val="22"/>
        </w:rPr>
      </w:pPr>
      <w:r w:rsidRPr="00F646A6">
        <w:rPr>
          <w:rFonts w:ascii="HGPｺﾞｼｯｸM" w:eastAsia="HGPｺﾞｼｯｸM" w:hint="eastAsia"/>
          <w:szCs w:val="22"/>
        </w:rPr>
        <w:t>【重点５】危険物タンクの管理油高（下限値）の見直し</w:t>
      </w:r>
    </w:p>
    <w:p w:rsidR="00E93DEB" w:rsidRPr="00F646A6" w:rsidRDefault="00BC3C68" w:rsidP="00E93DEB">
      <w:pPr>
        <w:ind w:leftChars="100" w:left="210"/>
        <w:rPr>
          <w:rFonts w:ascii="HGPｺﾞｼｯｸM" w:eastAsia="HGPｺﾞｼｯｸM"/>
          <w:szCs w:val="22"/>
        </w:rPr>
      </w:pPr>
      <w:r>
        <w:rPr>
          <w:noProof/>
        </w:rPr>
        <w:drawing>
          <wp:anchor distT="0" distB="0" distL="114300" distR="114300" simplePos="0" relativeHeight="251659264" behindDoc="1" locked="0" layoutInCell="1" allowOverlap="1">
            <wp:simplePos x="0" y="0"/>
            <wp:positionH relativeFrom="column">
              <wp:posOffset>4013200</wp:posOffset>
            </wp:positionH>
            <wp:positionV relativeFrom="paragraph">
              <wp:posOffset>441325</wp:posOffset>
            </wp:positionV>
            <wp:extent cx="1733550" cy="1315085"/>
            <wp:effectExtent l="0" t="0" r="0" b="0"/>
            <wp:wrapNone/>
            <wp:docPr id="209"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33550" cy="1315085"/>
                    </a:xfrm>
                    <a:prstGeom prst="rect">
                      <a:avLst/>
                    </a:prstGeom>
                    <a:noFill/>
                    <a:ln>
                      <a:noFill/>
                    </a:ln>
                  </pic:spPr>
                </pic:pic>
              </a:graphicData>
            </a:graphic>
            <wp14:sizeRelH relativeFrom="page">
              <wp14:pctWidth>0</wp14:pctWidth>
            </wp14:sizeRelH>
            <wp14:sizeRelV relativeFrom="page">
              <wp14:pctHeight>0</wp14:pctHeight>
            </wp14:sizeRelV>
          </wp:anchor>
        </w:drawing>
      </w:r>
      <w:r w:rsidR="00E93DEB" w:rsidRPr="00F646A6">
        <w:rPr>
          <w:rFonts w:ascii="HGPｺﾞｼｯｸM" w:eastAsia="HGPｺﾞｼｯｸM" w:hint="eastAsia"/>
          <w:szCs w:val="22"/>
        </w:rPr>
        <w:t xml:space="preserve">　小型の危険物タンクは、自重が小さいため、津波の波力や浮力により移動してしまうおそれがある。</w:t>
      </w:r>
    </w:p>
    <w:p w:rsidR="00E93DEB" w:rsidRPr="00F646A6" w:rsidRDefault="00E93DEB" w:rsidP="00E93DEB">
      <w:pPr>
        <w:ind w:leftChars="100" w:left="210"/>
        <w:rPr>
          <w:rFonts w:ascii="HGPｺﾞｼｯｸM" w:eastAsia="HGPｺﾞｼｯｸM"/>
          <w:szCs w:val="22"/>
        </w:rPr>
      </w:pPr>
      <w:r w:rsidRPr="00F646A6">
        <w:rPr>
          <w:rFonts w:ascii="HGPｺﾞｼｯｸM" w:eastAsia="HGPｺﾞｼｯｸM" w:hint="eastAsia"/>
          <w:szCs w:val="22"/>
        </w:rPr>
        <w:t>一定量以上の貯蔵物を常時、保管しておくことで動きにくくなり、津波による移動を抑制することが出来るので、事業所による管理油高の見直しが進められている。</w:t>
      </w:r>
    </w:p>
    <w:p w:rsidR="00E93DEB" w:rsidRPr="00F646A6" w:rsidRDefault="00E93DEB" w:rsidP="00E93DEB">
      <w:pPr>
        <w:ind w:firstLineChars="100" w:firstLine="210"/>
        <w:rPr>
          <w:rFonts w:ascii="HGPｺﾞｼｯｸM" w:eastAsia="HGPｺﾞｼｯｸM"/>
          <w:szCs w:val="22"/>
        </w:rPr>
      </w:pPr>
    </w:p>
    <w:p w:rsidR="00E93DEB" w:rsidRPr="00F646A6" w:rsidRDefault="00E93DEB" w:rsidP="00E93DEB">
      <w:pPr>
        <w:ind w:firstLineChars="100" w:firstLine="210"/>
        <w:rPr>
          <w:rFonts w:ascii="HGPｺﾞｼｯｸM" w:eastAsia="HGPｺﾞｼｯｸM"/>
          <w:szCs w:val="22"/>
        </w:rPr>
      </w:pPr>
    </w:p>
    <w:p w:rsidR="00E93DEB" w:rsidRPr="00F646A6" w:rsidRDefault="00E93DEB" w:rsidP="00E93DEB">
      <w:pPr>
        <w:ind w:firstLineChars="100" w:firstLine="210"/>
        <w:rPr>
          <w:rFonts w:ascii="HGPｺﾞｼｯｸM" w:eastAsia="HGPｺﾞｼｯｸM"/>
          <w:szCs w:val="22"/>
        </w:rPr>
      </w:pPr>
    </w:p>
    <w:p w:rsidR="00E93DEB" w:rsidRPr="00F646A6" w:rsidRDefault="00E93DEB" w:rsidP="00E93DEB">
      <w:pPr>
        <w:ind w:firstLineChars="100" w:firstLine="210"/>
        <w:rPr>
          <w:rFonts w:ascii="HGPｺﾞｼｯｸM" w:eastAsia="HGPｺﾞｼｯｸM"/>
          <w:szCs w:val="22"/>
        </w:rPr>
      </w:pPr>
    </w:p>
    <w:p w:rsidR="00E93DEB" w:rsidRPr="00F646A6" w:rsidRDefault="00E93DEB" w:rsidP="00E93DEB">
      <w:pPr>
        <w:ind w:firstLineChars="100" w:firstLine="210"/>
        <w:rPr>
          <w:rFonts w:ascii="HGPｺﾞｼｯｸM" w:eastAsia="HGPｺﾞｼｯｸM"/>
          <w:szCs w:val="22"/>
        </w:rPr>
      </w:pPr>
      <w:r w:rsidRPr="00F646A6">
        <w:rPr>
          <w:rFonts w:ascii="HGPｺﾞｼｯｸM" w:eastAsia="HGPｺﾞｼｯｸM" w:hint="eastAsia"/>
          <w:szCs w:val="22"/>
        </w:rPr>
        <w:t>【重点６】津波避難計画の改訂</w:t>
      </w:r>
    </w:p>
    <w:p w:rsidR="00E93DEB" w:rsidRPr="00D722DA" w:rsidRDefault="00E93DEB" w:rsidP="00E93DEB">
      <w:pPr>
        <w:jc w:val="center"/>
        <w:rPr>
          <w:rFonts w:ascii="HGPｺﾞｼｯｸM" w:eastAsia="HGPｺﾞｼｯｸM" w:hint="eastAsia"/>
          <w:szCs w:val="22"/>
        </w:rPr>
      </w:pPr>
      <w:r w:rsidRPr="00F646A6">
        <w:rPr>
          <w:rFonts w:ascii="HGPｺﾞｼｯｸM" w:eastAsia="HGPｺﾞｼｯｸM" w:hint="eastAsia"/>
          <w:szCs w:val="22"/>
        </w:rPr>
        <w:t>平成27年4月に改訂した津波避難計画作成指針（案）に基づき、津波避難計画を改訂する。</w:t>
      </w:r>
      <w:r w:rsidRPr="00F646A6">
        <w:rPr>
          <w:rFonts w:ascii="HGPｺﾞｼｯｸM" w:eastAsia="HGPｺﾞｼｯｸM"/>
          <w:szCs w:val="22"/>
        </w:rPr>
        <w:t xml:space="preserve"> </w:t>
      </w:r>
    </w:p>
    <w:p w:rsidR="00297BAB" w:rsidRPr="00E93DEB" w:rsidRDefault="00297BAB" w:rsidP="00297BAB">
      <w:pPr>
        <w:rPr>
          <w:rFonts w:ascii="HGPｺﾞｼｯｸM" w:eastAsia="HGPｺﾞｼｯｸM"/>
          <w:szCs w:val="22"/>
        </w:rPr>
      </w:pPr>
    </w:p>
    <w:sectPr w:rsidR="00297BAB" w:rsidRPr="00E93DEB" w:rsidSect="008F2AEE">
      <w:footerReference w:type="default" r:id="rId11"/>
      <w:pgSz w:w="11906" w:h="16838" w:code="9"/>
      <w:pgMar w:top="1134" w:right="1134" w:bottom="1134" w:left="1134" w:header="851" w:footer="567"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79C7" w:rsidRDefault="001A79C7" w:rsidP="004A5AF5">
      <w:r>
        <w:separator/>
      </w:r>
    </w:p>
  </w:endnote>
  <w:endnote w:type="continuationSeparator" w:id="0">
    <w:p w:rsidR="001A79C7" w:rsidRDefault="001A79C7" w:rsidP="004A5A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2AEE" w:rsidRDefault="008F2AEE">
    <w:pPr>
      <w:pStyle w:val="a5"/>
      <w:jc w:val="center"/>
    </w:pPr>
  </w:p>
  <w:p w:rsidR="008F2AEE" w:rsidRDefault="008F2AE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79C7" w:rsidRDefault="001A79C7" w:rsidP="004A5AF5">
      <w:r>
        <w:separator/>
      </w:r>
    </w:p>
  </w:footnote>
  <w:footnote w:type="continuationSeparator" w:id="0">
    <w:p w:rsidR="001A79C7" w:rsidRDefault="001A79C7" w:rsidP="004A5A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savePreviewPicture/>
  <w:hdrShapeDefaults>
    <o:shapedefaults v:ext="edit" spidmax="2049" style="mso-position-horizontal:center" fill="f" fillcolor="white" stroke="f">
      <v:fill color="white" on="f"/>
      <v:stroke on="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3805"/>
    <w:rsid w:val="000347A9"/>
    <w:rsid w:val="00043D05"/>
    <w:rsid w:val="000A4F4D"/>
    <w:rsid w:val="000B045F"/>
    <w:rsid w:val="000B1AC1"/>
    <w:rsid w:val="000C0365"/>
    <w:rsid w:val="000D2EE6"/>
    <w:rsid w:val="000F0194"/>
    <w:rsid w:val="000F75AE"/>
    <w:rsid w:val="00102572"/>
    <w:rsid w:val="00103E14"/>
    <w:rsid w:val="00131CD1"/>
    <w:rsid w:val="00157CD4"/>
    <w:rsid w:val="001756D2"/>
    <w:rsid w:val="001A79C7"/>
    <w:rsid w:val="001F5C33"/>
    <w:rsid w:val="00221391"/>
    <w:rsid w:val="00226989"/>
    <w:rsid w:val="0023025E"/>
    <w:rsid w:val="00246AFD"/>
    <w:rsid w:val="002744BD"/>
    <w:rsid w:val="00290411"/>
    <w:rsid w:val="00297BAB"/>
    <w:rsid w:val="002D53A0"/>
    <w:rsid w:val="003353B8"/>
    <w:rsid w:val="003478F4"/>
    <w:rsid w:val="00350EFB"/>
    <w:rsid w:val="003642B2"/>
    <w:rsid w:val="00367451"/>
    <w:rsid w:val="0039028A"/>
    <w:rsid w:val="003B2A7E"/>
    <w:rsid w:val="003C1BB9"/>
    <w:rsid w:val="003C5EB0"/>
    <w:rsid w:val="003F17E5"/>
    <w:rsid w:val="00437353"/>
    <w:rsid w:val="00452B74"/>
    <w:rsid w:val="00456F9B"/>
    <w:rsid w:val="00470052"/>
    <w:rsid w:val="004A5AF5"/>
    <w:rsid w:val="004D1EDE"/>
    <w:rsid w:val="004E1EBE"/>
    <w:rsid w:val="004E297B"/>
    <w:rsid w:val="004E7821"/>
    <w:rsid w:val="00505503"/>
    <w:rsid w:val="00596B04"/>
    <w:rsid w:val="005B5832"/>
    <w:rsid w:val="005C753A"/>
    <w:rsid w:val="005E1F7A"/>
    <w:rsid w:val="00612726"/>
    <w:rsid w:val="00616DF2"/>
    <w:rsid w:val="00623F3F"/>
    <w:rsid w:val="00645B76"/>
    <w:rsid w:val="00655D86"/>
    <w:rsid w:val="0065681A"/>
    <w:rsid w:val="00656C4E"/>
    <w:rsid w:val="006741A6"/>
    <w:rsid w:val="006849D3"/>
    <w:rsid w:val="006A4926"/>
    <w:rsid w:val="006A79B8"/>
    <w:rsid w:val="006C1377"/>
    <w:rsid w:val="006E18BF"/>
    <w:rsid w:val="007076E8"/>
    <w:rsid w:val="0071335A"/>
    <w:rsid w:val="007160C1"/>
    <w:rsid w:val="007479F9"/>
    <w:rsid w:val="007527DC"/>
    <w:rsid w:val="0077473F"/>
    <w:rsid w:val="00797472"/>
    <w:rsid w:val="007E4356"/>
    <w:rsid w:val="008034F5"/>
    <w:rsid w:val="00832C1D"/>
    <w:rsid w:val="00866079"/>
    <w:rsid w:val="00871529"/>
    <w:rsid w:val="008B2022"/>
    <w:rsid w:val="008E3AAC"/>
    <w:rsid w:val="008F2AEE"/>
    <w:rsid w:val="00926C81"/>
    <w:rsid w:val="00935C3C"/>
    <w:rsid w:val="00987EAD"/>
    <w:rsid w:val="0099089F"/>
    <w:rsid w:val="00993805"/>
    <w:rsid w:val="00996D13"/>
    <w:rsid w:val="009A00F9"/>
    <w:rsid w:val="009D4071"/>
    <w:rsid w:val="00A305D7"/>
    <w:rsid w:val="00A376CE"/>
    <w:rsid w:val="00A42315"/>
    <w:rsid w:val="00AE725F"/>
    <w:rsid w:val="00B35215"/>
    <w:rsid w:val="00B372D3"/>
    <w:rsid w:val="00B521FA"/>
    <w:rsid w:val="00B764AF"/>
    <w:rsid w:val="00B81BF3"/>
    <w:rsid w:val="00B83CF5"/>
    <w:rsid w:val="00BA2E37"/>
    <w:rsid w:val="00BC3C68"/>
    <w:rsid w:val="00BC5655"/>
    <w:rsid w:val="00BD3FBC"/>
    <w:rsid w:val="00BF136A"/>
    <w:rsid w:val="00BF5295"/>
    <w:rsid w:val="00C06C83"/>
    <w:rsid w:val="00C06E76"/>
    <w:rsid w:val="00C7740E"/>
    <w:rsid w:val="00CD546C"/>
    <w:rsid w:val="00CE2F3F"/>
    <w:rsid w:val="00D0600F"/>
    <w:rsid w:val="00D068FC"/>
    <w:rsid w:val="00D513DF"/>
    <w:rsid w:val="00D57A2F"/>
    <w:rsid w:val="00D6371B"/>
    <w:rsid w:val="00D92BF6"/>
    <w:rsid w:val="00DA4E23"/>
    <w:rsid w:val="00DB6807"/>
    <w:rsid w:val="00DD2D05"/>
    <w:rsid w:val="00DD427D"/>
    <w:rsid w:val="00DE2F3F"/>
    <w:rsid w:val="00E2066A"/>
    <w:rsid w:val="00E422EC"/>
    <w:rsid w:val="00E93DEB"/>
    <w:rsid w:val="00EA6CE3"/>
    <w:rsid w:val="00EC26F6"/>
    <w:rsid w:val="00ED09D5"/>
    <w:rsid w:val="00EE3D2F"/>
    <w:rsid w:val="00F23581"/>
    <w:rsid w:val="00F646A6"/>
    <w:rsid w:val="00F671FA"/>
    <w:rsid w:val="00F82937"/>
    <w:rsid w:val="00F862F8"/>
    <w:rsid w:val="00F95231"/>
    <w:rsid w:val="00FA7AF9"/>
    <w:rsid w:val="00FB77BA"/>
    <w:rsid w:val="00FC006C"/>
    <w:rsid w:val="00FD2627"/>
    <w:rsid w:val="00FF3E11"/>
    <w:rsid w:val="00FF57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horizontal:center" fill="f" fillcolor="white" stroke="f">
      <v:fill color="white" on="f"/>
      <v:stroke on="f"/>
    </o:shapedefaults>
    <o:shapelayout v:ext="edit">
      <o:idmap v:ext="edit" data="1"/>
    </o:shapelayout>
  </w:shapeDefaults>
  <w:decimalSymbol w:val="."/>
  <w:listSeparator w:val=","/>
  <w15:chartTrackingRefBased/>
  <w15:docId w15:val="{B1C0802D-DB6F-4D95-A342-029ED893C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4A5AF5"/>
    <w:pPr>
      <w:tabs>
        <w:tab w:val="center" w:pos="4252"/>
        <w:tab w:val="right" w:pos="8504"/>
      </w:tabs>
      <w:snapToGrid w:val="0"/>
    </w:pPr>
  </w:style>
  <w:style w:type="character" w:customStyle="1" w:styleId="a4">
    <w:name w:val="ヘッダー (文字)"/>
    <w:link w:val="a3"/>
    <w:rsid w:val="004A5AF5"/>
    <w:rPr>
      <w:kern w:val="2"/>
      <w:sz w:val="21"/>
      <w:szCs w:val="24"/>
    </w:rPr>
  </w:style>
  <w:style w:type="paragraph" w:styleId="a5">
    <w:name w:val="footer"/>
    <w:basedOn w:val="a"/>
    <w:link w:val="a6"/>
    <w:uiPriority w:val="99"/>
    <w:rsid w:val="004A5AF5"/>
    <w:pPr>
      <w:tabs>
        <w:tab w:val="center" w:pos="4252"/>
        <w:tab w:val="right" w:pos="8504"/>
      </w:tabs>
      <w:snapToGrid w:val="0"/>
    </w:pPr>
  </w:style>
  <w:style w:type="character" w:customStyle="1" w:styleId="a6">
    <w:name w:val="フッター (文字)"/>
    <w:link w:val="a5"/>
    <w:uiPriority w:val="99"/>
    <w:rsid w:val="004A5AF5"/>
    <w:rPr>
      <w:kern w:val="2"/>
      <w:sz w:val="21"/>
      <w:szCs w:val="24"/>
    </w:rPr>
  </w:style>
  <w:style w:type="paragraph" w:styleId="Web">
    <w:name w:val="Normal (Web)"/>
    <w:basedOn w:val="a"/>
    <w:rsid w:val="004A5AF5"/>
    <w:rPr>
      <w:rFonts w:ascii="Times New Roman" w:hAnsi="Times New Roman"/>
      <w:sz w:val="24"/>
    </w:rPr>
  </w:style>
  <w:style w:type="table" w:styleId="a7">
    <w:name w:val="Table Grid"/>
    <w:basedOn w:val="a1"/>
    <w:uiPriority w:val="59"/>
    <w:rsid w:val="004A5AF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rsid w:val="008E3AAC"/>
    <w:rPr>
      <w:rFonts w:ascii="Arial" w:eastAsia="ＭＳ ゴシック" w:hAnsi="Arial"/>
      <w:sz w:val="18"/>
      <w:szCs w:val="18"/>
    </w:rPr>
  </w:style>
  <w:style w:type="character" w:customStyle="1" w:styleId="a9">
    <w:name w:val="吹き出し (文字)"/>
    <w:link w:val="a8"/>
    <w:rsid w:val="008E3AAC"/>
    <w:rPr>
      <w:rFonts w:ascii="Arial" w:eastAsia="ＭＳ ゴシック" w:hAnsi="Arial" w:cs="Times New Roman"/>
      <w:kern w:val="2"/>
      <w:sz w:val="18"/>
      <w:szCs w:val="18"/>
    </w:rPr>
  </w:style>
  <w:style w:type="table" w:customStyle="1" w:styleId="2">
    <w:name w:val="表 (格子)2"/>
    <w:basedOn w:val="a1"/>
    <w:next w:val="a7"/>
    <w:uiPriority w:val="59"/>
    <w:rsid w:val="00F646A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0">
    <w:name w:val="ｲﾝﾃﾞﾝﾄ2"/>
    <w:basedOn w:val="a"/>
    <w:rsid w:val="003C5EB0"/>
    <w:pPr>
      <w:spacing w:line="360" w:lineRule="atLeast"/>
      <w:ind w:leftChars="150" w:left="315" w:firstLineChars="100" w:firstLine="220"/>
    </w:pPr>
    <w:rPr>
      <w:sz w:val="22"/>
      <w:szCs w:val="22"/>
    </w:rPr>
  </w:style>
  <w:style w:type="paragraph" w:styleId="aa">
    <w:name w:val="caption"/>
    <w:basedOn w:val="a"/>
    <w:next w:val="a"/>
    <w:qFormat/>
    <w:rsid w:val="003C5EB0"/>
    <w:pPr>
      <w:adjustRightInd w:val="0"/>
      <w:spacing w:before="120" w:after="120" w:line="360" w:lineRule="atLeast"/>
      <w:jc w:val="center"/>
      <w:textAlignment w:val="baseline"/>
    </w:pPr>
    <w:rPr>
      <w:rFonts w:ascii="Arial" w:eastAsia="ＭＳ ゴシック" w:hAnsi="Arial"/>
      <w:kern w:val="0"/>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0D6DA2-A26C-457C-9686-E1B707E780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195</Words>
  <Characters>1113</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みずほ情報総研株式会社</Company>
  <LinksUpToDate>false</LinksUpToDate>
  <CharactersWithSpaces>1306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社内システム</dc:creator>
  <cp:keywords/>
  <cp:lastModifiedBy>伊藤　耕志</cp:lastModifiedBy>
  <cp:revision>2</cp:revision>
  <cp:lastPrinted>2016-01-25T05:56:00Z</cp:lastPrinted>
  <dcterms:created xsi:type="dcterms:W3CDTF">2021-08-12T05:03:00Z</dcterms:created>
  <dcterms:modified xsi:type="dcterms:W3CDTF">2021-08-12T05:03:00Z</dcterms:modified>
</cp:coreProperties>
</file>