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3A" w:rsidRPr="00311E25" w:rsidRDefault="008D1BA7" w:rsidP="008D1BA7">
      <w:pPr>
        <w:spacing w:line="400" w:lineRule="exact"/>
        <w:jc w:val="right"/>
        <w:rPr>
          <w:rFonts w:ascii="Meiryo UI" w:eastAsia="Meiryo UI" w:hAnsi="Meiryo UI"/>
          <w:sz w:val="28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-629285</wp:posOffset>
                </wp:positionV>
                <wp:extent cx="1094740" cy="365125"/>
                <wp:effectExtent l="0" t="0" r="10160" b="158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A7" w:rsidRDefault="008D1BA7" w:rsidP="008D1B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 xml:space="preserve">資 料 </w:t>
                            </w:r>
                            <w:r w:rsidR="009174CD">
                              <w:rPr>
                                <w:rFonts w:cs="+mn-cs" w:hint="eastAsia"/>
                                <w:color w:val="000000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wrap="square" lIns="74295" tIns="73800" rIns="74295" bIns="5580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53.25pt;margin-top:-49.55pt;width:86.2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">
                <v:textbox inset="5.85pt,2.05mm,5.85pt,1.55mm">
                  <w:txbxContent>
                    <w:p w:rsidR="008D1BA7" w:rsidRDefault="008D1BA7" w:rsidP="008D1B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000000"/>
                        </w:rPr>
                        <w:t xml:space="preserve">資 料 </w:t>
                      </w:r>
                      <w:r w:rsidR="009174CD">
                        <w:rPr>
                          <w:rFonts w:cs="+mn-cs" w:hint="eastAsia"/>
                          <w:color w:val="000000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7E5F9A" w:rsidRDefault="00A264BD" w:rsidP="00311E25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A264BD">
        <w:rPr>
          <w:rFonts w:ascii="Meiryo UI" w:eastAsia="Meiryo UI" w:hAnsi="Meiryo UI" w:hint="eastAsia"/>
          <w:sz w:val="28"/>
          <w:szCs w:val="28"/>
        </w:rPr>
        <w:t>令和２年度</w:t>
      </w:r>
      <w:r w:rsidR="009174CD">
        <w:rPr>
          <w:rFonts w:ascii="Meiryo UI" w:eastAsia="Meiryo UI" w:hAnsi="Meiryo UI" w:hint="eastAsia"/>
          <w:sz w:val="28"/>
          <w:szCs w:val="28"/>
        </w:rPr>
        <w:t xml:space="preserve"> </w:t>
      </w:r>
      <w:r w:rsidRPr="00A264BD">
        <w:rPr>
          <w:rFonts w:ascii="Meiryo UI" w:eastAsia="Meiryo UI" w:hAnsi="Meiryo UI" w:hint="eastAsia"/>
          <w:sz w:val="28"/>
          <w:szCs w:val="28"/>
        </w:rPr>
        <w:t>指定管理運営業務評価票評価項目</w:t>
      </w:r>
    </w:p>
    <w:p w:rsidR="006972A5" w:rsidRPr="00A264BD" w:rsidRDefault="007E5F9A" w:rsidP="00311E25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</w:t>
      </w:r>
      <w:r w:rsidR="009174CD">
        <w:rPr>
          <w:rFonts w:ascii="Meiryo UI" w:eastAsia="Meiryo UI" w:hAnsi="Meiryo UI" w:hint="eastAsia"/>
          <w:sz w:val="28"/>
          <w:szCs w:val="28"/>
        </w:rPr>
        <w:t>数値目標</w:t>
      </w:r>
      <w:r>
        <w:rPr>
          <w:rFonts w:ascii="Meiryo UI" w:eastAsia="Meiryo UI" w:hAnsi="Meiryo UI" w:hint="eastAsia"/>
          <w:sz w:val="28"/>
          <w:szCs w:val="28"/>
        </w:rPr>
        <w:t>）</w:t>
      </w:r>
      <w:r w:rsidR="009174CD">
        <w:rPr>
          <w:rFonts w:ascii="Meiryo UI" w:eastAsia="Meiryo UI" w:hAnsi="Meiryo UI" w:hint="eastAsia"/>
          <w:sz w:val="28"/>
          <w:szCs w:val="28"/>
        </w:rPr>
        <w:t>の変更</w:t>
      </w:r>
      <w:r w:rsidR="00A264BD" w:rsidRPr="00A264BD">
        <w:rPr>
          <w:rFonts w:ascii="Meiryo UI" w:eastAsia="Meiryo UI" w:hAnsi="Meiryo UI" w:hint="eastAsia"/>
          <w:sz w:val="28"/>
          <w:szCs w:val="28"/>
        </w:rPr>
        <w:t>について</w:t>
      </w:r>
    </w:p>
    <w:p w:rsidR="0045193A" w:rsidRPr="00311E25" w:rsidRDefault="0045193A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56100E" w:rsidRPr="00A264BD" w:rsidRDefault="0056100E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  <w:r w:rsidRPr="00A264BD">
        <w:rPr>
          <w:rFonts w:ascii="Meiryo UI" w:eastAsia="Meiryo UI" w:hAnsi="Meiryo UI" w:hint="eastAsia"/>
          <w:sz w:val="28"/>
          <w:szCs w:val="24"/>
        </w:rPr>
        <w:t>１．背景</w:t>
      </w:r>
    </w:p>
    <w:p w:rsidR="006971B0" w:rsidRPr="003070CC" w:rsidRDefault="0056100E" w:rsidP="00654C80">
      <w:pPr>
        <w:spacing w:line="400" w:lineRule="exact"/>
        <w:ind w:leftChars="100" w:left="210"/>
        <w:rPr>
          <w:rFonts w:ascii="Meiryo UI" w:eastAsia="Meiryo UI" w:hAnsi="Meiryo UI"/>
          <w:sz w:val="24"/>
          <w:szCs w:val="24"/>
        </w:rPr>
      </w:pPr>
      <w:r w:rsidRPr="00311E25">
        <w:rPr>
          <w:rFonts w:ascii="Meiryo UI" w:eastAsia="Meiryo UI" w:hAnsi="Meiryo UI" w:hint="eastAsia"/>
          <w:sz w:val="24"/>
          <w:szCs w:val="24"/>
        </w:rPr>
        <w:t xml:space="preserve">　</w:t>
      </w:r>
      <w:r w:rsidR="007F113F">
        <w:rPr>
          <w:rFonts w:ascii="Meiryo UI" w:eastAsia="Meiryo UI" w:hAnsi="Meiryo UI" w:hint="eastAsia"/>
          <w:sz w:val="24"/>
          <w:szCs w:val="24"/>
        </w:rPr>
        <w:t>指定管理運営業務における経営目標については、第１回評価委員会の時点では、年間を通じての</w:t>
      </w:r>
      <w:r w:rsidR="00367FD5">
        <w:rPr>
          <w:rFonts w:ascii="Meiryo UI" w:eastAsia="Meiryo UI" w:hAnsi="Meiryo UI" w:hint="eastAsia"/>
          <w:sz w:val="24"/>
          <w:szCs w:val="24"/>
        </w:rPr>
        <w:t>コロナの</w:t>
      </w:r>
      <w:r w:rsidR="007F113F">
        <w:rPr>
          <w:rFonts w:ascii="Meiryo UI" w:eastAsia="Meiryo UI" w:hAnsi="Meiryo UI" w:hint="eastAsia"/>
          <w:sz w:val="24"/>
          <w:szCs w:val="24"/>
        </w:rPr>
        <w:t>影響を</w:t>
      </w:r>
      <w:r w:rsidR="00367FD5">
        <w:rPr>
          <w:rFonts w:ascii="Meiryo UI" w:eastAsia="Meiryo UI" w:hAnsi="Meiryo UI" w:hint="eastAsia"/>
          <w:sz w:val="24"/>
          <w:szCs w:val="24"/>
        </w:rPr>
        <w:t>見通す</w:t>
      </w:r>
      <w:r w:rsidR="007F113F">
        <w:rPr>
          <w:rFonts w:ascii="Meiryo UI" w:eastAsia="Meiryo UI" w:hAnsi="Meiryo UI" w:hint="eastAsia"/>
          <w:sz w:val="24"/>
          <w:szCs w:val="24"/>
        </w:rPr>
        <w:t>ことが困難な状況であったため、</w:t>
      </w:r>
      <w:r w:rsidR="00367FD5">
        <w:rPr>
          <w:rFonts w:ascii="Meiryo UI" w:eastAsia="Meiryo UI" w:hAnsi="Meiryo UI" w:hint="eastAsia"/>
          <w:sz w:val="24"/>
          <w:szCs w:val="24"/>
        </w:rPr>
        <w:t>一部の数値目標については暫定的に</w:t>
      </w:r>
      <w:r w:rsidR="006971B0">
        <w:rPr>
          <w:rFonts w:ascii="Meiryo UI" w:eastAsia="Meiryo UI" w:hAnsi="Meiryo UI" w:hint="eastAsia"/>
          <w:sz w:val="24"/>
          <w:szCs w:val="24"/>
        </w:rPr>
        <w:t>昨年度末に</w:t>
      </w:r>
      <w:r w:rsidR="007F113F">
        <w:rPr>
          <w:rFonts w:ascii="Meiryo UI" w:eastAsia="Meiryo UI" w:hAnsi="Meiryo UI" w:hint="eastAsia"/>
          <w:sz w:val="24"/>
          <w:szCs w:val="24"/>
        </w:rPr>
        <w:t>設定</w:t>
      </w:r>
      <w:r w:rsidR="00367FD5">
        <w:rPr>
          <w:rFonts w:ascii="Meiryo UI" w:eastAsia="Meiryo UI" w:hAnsi="Meiryo UI" w:hint="eastAsia"/>
          <w:sz w:val="24"/>
          <w:szCs w:val="24"/>
        </w:rPr>
        <w:t>に</w:t>
      </w:r>
      <w:r w:rsidR="007F113F">
        <w:rPr>
          <w:rFonts w:ascii="Meiryo UI" w:eastAsia="Meiryo UI" w:hAnsi="Meiryo UI" w:hint="eastAsia"/>
          <w:sz w:val="24"/>
          <w:szCs w:val="24"/>
        </w:rPr>
        <w:t>したものとし、第２回評価委員会で</w:t>
      </w:r>
      <w:r w:rsidR="00367FD5">
        <w:rPr>
          <w:rFonts w:ascii="Meiryo UI" w:eastAsia="Meiryo UI" w:hAnsi="Meiryo UI" w:hint="eastAsia"/>
          <w:sz w:val="24"/>
          <w:szCs w:val="24"/>
        </w:rPr>
        <w:t>ご議論いただくこととしていた</w:t>
      </w:r>
      <w:r w:rsidR="00BA1E1E" w:rsidRPr="003070CC">
        <w:rPr>
          <w:rFonts w:ascii="Meiryo UI" w:eastAsia="Meiryo UI" w:hAnsi="Meiryo UI" w:hint="eastAsia"/>
          <w:sz w:val="24"/>
          <w:szCs w:val="24"/>
        </w:rPr>
        <w:t>もの</w:t>
      </w:r>
      <w:r w:rsidR="00367FD5" w:rsidRPr="003070CC">
        <w:rPr>
          <w:rFonts w:ascii="Meiryo UI" w:eastAsia="Meiryo UI" w:hAnsi="Meiryo UI" w:hint="eastAsia"/>
          <w:sz w:val="24"/>
          <w:szCs w:val="24"/>
        </w:rPr>
        <w:t>。</w:t>
      </w:r>
    </w:p>
    <w:p w:rsidR="0045193A" w:rsidRPr="00311E25" w:rsidRDefault="0045193A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F22F10" w:rsidRDefault="0056100E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  <w:r w:rsidRPr="00A264BD">
        <w:rPr>
          <w:rFonts w:ascii="Meiryo UI" w:eastAsia="Meiryo UI" w:hAnsi="Meiryo UI" w:hint="eastAsia"/>
          <w:sz w:val="28"/>
          <w:szCs w:val="24"/>
        </w:rPr>
        <w:t>２．</w:t>
      </w:r>
      <w:r w:rsidR="00654C80">
        <w:rPr>
          <w:rFonts w:ascii="Meiryo UI" w:eastAsia="Meiryo UI" w:hAnsi="Meiryo UI" w:hint="eastAsia"/>
          <w:sz w:val="28"/>
          <w:szCs w:val="24"/>
        </w:rPr>
        <w:t>評価項目の変更</w:t>
      </w:r>
      <w:r w:rsidR="00A30701" w:rsidRPr="00A264BD">
        <w:rPr>
          <w:rFonts w:ascii="Meiryo UI" w:eastAsia="Meiryo UI" w:hAnsi="Meiryo UI" w:hint="eastAsia"/>
          <w:sz w:val="28"/>
          <w:szCs w:val="24"/>
        </w:rPr>
        <w:t>案</w:t>
      </w:r>
      <w:r w:rsidR="00E94D33">
        <w:rPr>
          <w:rFonts w:ascii="Meiryo UI" w:eastAsia="Meiryo UI" w:hAnsi="Meiryo UI" w:hint="eastAsia"/>
          <w:sz w:val="28"/>
          <w:szCs w:val="24"/>
        </w:rPr>
        <w:t>について</w:t>
      </w:r>
    </w:p>
    <w:p w:rsidR="00877618" w:rsidRPr="003070CC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311E25">
        <w:rPr>
          <w:rFonts w:ascii="Meiryo UI" w:eastAsia="Meiryo UI" w:hAnsi="Meiryo UI" w:hint="eastAsia"/>
          <w:sz w:val="24"/>
          <w:szCs w:val="24"/>
        </w:rPr>
        <w:t xml:space="preserve">①　</w:t>
      </w:r>
      <w:r>
        <w:rPr>
          <w:rFonts w:ascii="Meiryo UI" w:eastAsia="Meiryo UI" w:hAnsi="Meiryo UI" w:hint="eastAsia"/>
          <w:sz w:val="24"/>
          <w:szCs w:val="24"/>
        </w:rPr>
        <w:t>国際会議誘致</w:t>
      </w:r>
      <w:r w:rsidR="00BA1E1E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BA1E1E" w:rsidRPr="003070CC">
        <w:rPr>
          <w:rFonts w:ascii="Meiryo UI" w:eastAsia="Meiryo UI" w:hAnsi="Meiryo UI" w:hint="eastAsia"/>
          <w:sz w:val="24"/>
          <w:szCs w:val="24"/>
        </w:rPr>
        <w:t xml:space="preserve">　暫定目標　　　変更（案）</w:t>
      </w:r>
    </w:p>
    <w:p w:rsidR="00877618" w:rsidRDefault="00877618" w:rsidP="00877618">
      <w:pPr>
        <w:spacing w:line="400" w:lineRule="exact"/>
        <w:ind w:firstLineChars="250" w:firstLine="6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国際会議開催件数　　  </w:t>
      </w:r>
      <w:r>
        <w:rPr>
          <w:rFonts w:ascii="Meiryo UI" w:eastAsia="Meiryo UI" w:hAnsi="Meiryo UI"/>
          <w:sz w:val="24"/>
          <w:szCs w:val="24"/>
        </w:rPr>
        <w:t xml:space="preserve"> 62</w:t>
      </w:r>
      <w:r>
        <w:rPr>
          <w:rFonts w:ascii="Meiryo UI" w:eastAsia="Meiryo UI" w:hAnsi="Meiryo UI" w:hint="eastAsia"/>
          <w:sz w:val="24"/>
          <w:szCs w:val="24"/>
        </w:rPr>
        <w:t>件　　→　　設定なし</w:t>
      </w:r>
    </w:p>
    <w:p w:rsidR="00877618" w:rsidRPr="009B3AB0" w:rsidRDefault="00877618" w:rsidP="00877618">
      <w:pPr>
        <w:spacing w:line="400" w:lineRule="exact"/>
        <w:ind w:firstLineChars="250" w:firstLine="60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国際会議成約件数　　</w:t>
      </w:r>
      <w:r>
        <w:rPr>
          <w:rFonts w:ascii="Meiryo UI" w:eastAsia="Meiryo UI" w:hAnsi="Meiryo UI"/>
          <w:sz w:val="24"/>
          <w:szCs w:val="24"/>
        </w:rPr>
        <w:t xml:space="preserve">   55</w:t>
      </w:r>
      <w:r>
        <w:rPr>
          <w:rFonts w:ascii="Meiryo UI" w:eastAsia="Meiryo UI" w:hAnsi="Meiryo UI" w:hint="eastAsia"/>
          <w:sz w:val="24"/>
          <w:szCs w:val="24"/>
        </w:rPr>
        <w:t>件　　→　　20件</w:t>
      </w:r>
    </w:p>
    <w:p w:rsidR="00877618" w:rsidRPr="002A0EF4" w:rsidRDefault="00877618" w:rsidP="00877618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877618" w:rsidRPr="003070CC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B3AB0">
        <w:rPr>
          <w:rFonts w:ascii="Meiryo UI" w:eastAsia="Meiryo UI" w:hAnsi="Meiryo UI" w:hint="eastAsia"/>
          <w:sz w:val="24"/>
          <w:szCs w:val="24"/>
        </w:rPr>
        <w:t xml:space="preserve">②　</w:t>
      </w:r>
      <w:r>
        <w:rPr>
          <w:rFonts w:ascii="Meiryo UI" w:eastAsia="Meiryo UI" w:hAnsi="Meiryo UI" w:hint="eastAsia"/>
          <w:sz w:val="24"/>
          <w:szCs w:val="24"/>
        </w:rPr>
        <w:t>施設稼働率</w:t>
      </w:r>
      <w:r w:rsidR="00BA1E1E"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  <w:r w:rsidR="00BA1E1E" w:rsidRPr="003070CC">
        <w:rPr>
          <w:rFonts w:ascii="Meiryo UI" w:eastAsia="Meiryo UI" w:hAnsi="Meiryo UI" w:hint="eastAsia"/>
          <w:sz w:val="24"/>
          <w:szCs w:val="24"/>
        </w:rPr>
        <w:t xml:space="preserve">　　暫定目標      変更（案）</w:t>
      </w:r>
    </w:p>
    <w:p w:rsidR="00877618" w:rsidRDefault="00877618" w:rsidP="00877618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主要三施設稼働率</w:t>
      </w:r>
      <w:r w:rsidR="00B45415">
        <w:rPr>
          <w:rFonts w:ascii="Meiryo UI" w:eastAsia="Meiryo UI" w:hAnsi="Meiryo UI" w:hint="eastAsia"/>
          <w:sz w:val="24"/>
          <w:szCs w:val="24"/>
        </w:rPr>
        <w:t xml:space="preserve">       </w:t>
      </w:r>
      <w:r>
        <w:rPr>
          <w:rFonts w:ascii="Meiryo UI" w:eastAsia="Meiryo UI" w:hAnsi="Meiryo UI" w:hint="eastAsia"/>
          <w:sz w:val="24"/>
          <w:szCs w:val="24"/>
        </w:rPr>
        <w:t>86.4</w:t>
      </w:r>
      <w:r>
        <w:rPr>
          <w:rFonts w:ascii="Meiryo UI" w:eastAsia="Meiryo UI" w:hAnsi="Meiryo UI"/>
          <w:sz w:val="24"/>
          <w:szCs w:val="24"/>
        </w:rPr>
        <w:t>%</w:t>
      </w:r>
      <w:r>
        <w:rPr>
          <w:rFonts w:ascii="Meiryo UI" w:eastAsia="Meiryo UI" w:hAnsi="Meiryo UI" w:hint="eastAsia"/>
          <w:sz w:val="24"/>
          <w:szCs w:val="24"/>
        </w:rPr>
        <w:t xml:space="preserve">　　→　　18.8</w:t>
      </w:r>
      <w:r>
        <w:rPr>
          <w:rFonts w:ascii="Meiryo UI" w:eastAsia="Meiryo UI" w:hAnsi="Meiryo UI"/>
          <w:sz w:val="24"/>
          <w:szCs w:val="24"/>
        </w:rPr>
        <w:t>%</w:t>
      </w:r>
      <w:bookmarkStart w:id="0" w:name="_GoBack"/>
      <w:bookmarkEnd w:id="0"/>
    </w:p>
    <w:p w:rsidR="00877618" w:rsidRDefault="00877618" w:rsidP="00877618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全館利用単位稼働率</w:t>
      </w:r>
      <w:r w:rsidR="00B45415">
        <w:rPr>
          <w:rFonts w:ascii="Meiryo UI" w:eastAsia="Meiryo UI" w:hAnsi="Meiryo UI" w:hint="eastAsia"/>
          <w:sz w:val="24"/>
          <w:szCs w:val="24"/>
        </w:rPr>
        <w:t xml:space="preserve">     </w:t>
      </w:r>
      <w:r>
        <w:rPr>
          <w:rFonts w:ascii="Meiryo UI" w:eastAsia="Meiryo UI" w:hAnsi="Meiryo UI" w:hint="eastAsia"/>
          <w:sz w:val="24"/>
          <w:szCs w:val="24"/>
        </w:rPr>
        <w:t>41.3</w:t>
      </w:r>
      <w:r>
        <w:rPr>
          <w:rFonts w:ascii="Meiryo UI" w:eastAsia="Meiryo UI" w:hAnsi="Meiryo UI"/>
          <w:sz w:val="24"/>
          <w:szCs w:val="24"/>
        </w:rPr>
        <w:t>%</w:t>
      </w:r>
      <w:r>
        <w:rPr>
          <w:rFonts w:ascii="Meiryo UI" w:eastAsia="Meiryo UI" w:hAnsi="Meiryo UI" w:hint="eastAsia"/>
          <w:sz w:val="24"/>
          <w:szCs w:val="24"/>
        </w:rPr>
        <w:t xml:space="preserve">　　→　　11.7</w:t>
      </w:r>
      <w:r>
        <w:rPr>
          <w:rFonts w:ascii="Meiryo UI" w:eastAsia="Meiryo UI" w:hAnsi="Meiryo UI"/>
          <w:sz w:val="24"/>
          <w:szCs w:val="24"/>
        </w:rPr>
        <w:t>%</w:t>
      </w:r>
    </w:p>
    <w:p w:rsidR="00877618" w:rsidRDefault="00877618" w:rsidP="00877618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主要三施設料金稼働率</w:t>
      </w:r>
      <w:r w:rsidR="00B45415">
        <w:rPr>
          <w:rFonts w:ascii="Meiryo UI" w:eastAsia="Meiryo UI" w:hAnsi="Meiryo UI" w:hint="eastAsia"/>
          <w:sz w:val="24"/>
          <w:szCs w:val="24"/>
        </w:rPr>
        <w:t xml:space="preserve">   72.3</w:t>
      </w:r>
      <w:r w:rsidR="00B45415">
        <w:rPr>
          <w:rFonts w:ascii="Meiryo UI" w:eastAsia="Meiryo UI" w:hAnsi="Meiryo UI"/>
          <w:sz w:val="24"/>
          <w:szCs w:val="24"/>
        </w:rPr>
        <w:t>%</w:t>
      </w:r>
      <w:r>
        <w:rPr>
          <w:rFonts w:ascii="Meiryo UI" w:eastAsia="Meiryo UI" w:hAnsi="Meiryo UI" w:hint="eastAsia"/>
          <w:sz w:val="24"/>
          <w:szCs w:val="24"/>
        </w:rPr>
        <w:t xml:space="preserve">　　→　　</w:t>
      </w:r>
      <w:r w:rsidR="00B45415">
        <w:rPr>
          <w:rFonts w:ascii="Meiryo UI" w:eastAsia="Meiryo UI" w:hAnsi="Meiryo UI" w:hint="eastAsia"/>
          <w:sz w:val="24"/>
          <w:szCs w:val="24"/>
        </w:rPr>
        <w:t>18.2</w:t>
      </w:r>
      <w:r>
        <w:rPr>
          <w:rFonts w:ascii="Meiryo UI" w:eastAsia="Meiryo UI" w:hAnsi="Meiryo UI"/>
          <w:sz w:val="24"/>
          <w:szCs w:val="24"/>
        </w:rPr>
        <w:t>%</w:t>
      </w:r>
    </w:p>
    <w:p w:rsidR="00877618" w:rsidRPr="00B45415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877618" w:rsidRDefault="00877618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B3AB0">
        <w:rPr>
          <w:rFonts w:ascii="Meiryo UI" w:eastAsia="Meiryo UI" w:hAnsi="Meiryo UI" w:hint="eastAsia"/>
          <w:sz w:val="24"/>
          <w:szCs w:val="24"/>
        </w:rPr>
        <w:t xml:space="preserve">③　</w:t>
      </w:r>
      <w:r>
        <w:rPr>
          <w:rFonts w:ascii="Meiryo UI" w:eastAsia="Meiryo UI" w:hAnsi="Meiryo UI" w:hint="eastAsia"/>
          <w:sz w:val="24"/>
          <w:szCs w:val="24"/>
        </w:rPr>
        <w:t>収支計画</w:t>
      </w:r>
    </w:p>
    <w:p w:rsidR="00BA1E1E" w:rsidRPr="003070CC" w:rsidRDefault="00BA1E1E" w:rsidP="00877618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  <w:r w:rsidRPr="00BA1E1E"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 w:rsidRPr="003070CC">
        <w:rPr>
          <w:rFonts w:ascii="Meiryo UI" w:eastAsia="Meiryo UI" w:hAnsi="Meiryo UI" w:hint="eastAsia"/>
          <w:sz w:val="24"/>
          <w:szCs w:val="24"/>
        </w:rPr>
        <w:t>暫定目標</w:t>
      </w:r>
      <w:r w:rsidRPr="00BA1E1E">
        <w:rPr>
          <w:rFonts w:ascii="Meiryo UI" w:eastAsia="Meiryo UI" w:hAnsi="Meiryo UI" w:hint="eastAsia"/>
          <w:color w:val="FF0000"/>
          <w:sz w:val="24"/>
          <w:szCs w:val="24"/>
        </w:rPr>
        <w:t xml:space="preserve">　　　　　　　　　　　　　　　</w:t>
      </w:r>
      <w:r w:rsidRPr="003070CC">
        <w:rPr>
          <w:rFonts w:ascii="Meiryo UI" w:eastAsia="Meiryo UI" w:hAnsi="Meiryo UI" w:hint="eastAsia"/>
          <w:sz w:val="24"/>
          <w:szCs w:val="24"/>
        </w:rPr>
        <w:t xml:space="preserve">　変更（案）</w:t>
      </w:r>
    </w:p>
    <w:p w:rsidR="00877618" w:rsidRPr="00877618" w:rsidRDefault="00877618" w:rsidP="00877618">
      <w:pPr>
        <w:spacing w:line="400" w:lineRule="exact"/>
        <w:ind w:firstLineChars="3100" w:firstLine="6200"/>
        <w:rPr>
          <w:rFonts w:ascii="Meiryo UI" w:eastAsia="Meiryo UI" w:hAnsi="Meiryo UI"/>
          <w:sz w:val="24"/>
          <w:szCs w:val="24"/>
        </w:rPr>
      </w:pPr>
      <w:r w:rsidRPr="00D44C3C">
        <w:rPr>
          <w:rFonts w:ascii="Meiryo UI" w:eastAsia="Meiryo UI" w:hAnsi="Meiryo UI" w:hint="eastAsia"/>
          <w:sz w:val="20"/>
          <w:szCs w:val="24"/>
        </w:rPr>
        <w:t>（百万円）</w:t>
      </w:r>
    </w:p>
    <w:tbl>
      <w:tblPr>
        <w:tblStyle w:val="aa"/>
        <w:tblW w:w="6276" w:type="dxa"/>
        <w:tblInd w:w="904" w:type="dxa"/>
        <w:tblLook w:val="04A0" w:firstRow="1" w:lastRow="0" w:firstColumn="1" w:lastColumn="0" w:noHBand="0" w:noVBand="1"/>
      </w:tblPr>
      <w:tblGrid>
        <w:gridCol w:w="1361"/>
        <w:gridCol w:w="1417"/>
        <w:gridCol w:w="664"/>
        <w:gridCol w:w="1417"/>
        <w:gridCol w:w="1417"/>
      </w:tblGrid>
      <w:tr w:rsidR="00877618" w:rsidRPr="00D44C3C" w:rsidTr="00877618">
        <w:tc>
          <w:tcPr>
            <w:tcW w:w="1361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Ｒ２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→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Ｒ２</w:t>
            </w:r>
          </w:p>
        </w:tc>
      </w:tr>
      <w:tr w:rsidR="00877618" w:rsidRPr="00D44C3C" w:rsidTr="00877618">
        <w:tc>
          <w:tcPr>
            <w:tcW w:w="1361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売上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2,332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売上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設定なし</w:t>
            </w:r>
          </w:p>
        </w:tc>
      </w:tr>
      <w:tr w:rsidR="00877618" w:rsidRPr="00D44C3C" w:rsidTr="00877618">
        <w:tc>
          <w:tcPr>
            <w:tcW w:w="1361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営業費用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2,291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営業費用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1,888</w:t>
            </w:r>
          </w:p>
        </w:tc>
      </w:tr>
      <w:tr w:rsidR="00877618" w:rsidRPr="00D44C3C" w:rsidTr="00877618">
        <w:tc>
          <w:tcPr>
            <w:tcW w:w="1361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営業利益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41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営業利益</w:t>
            </w:r>
          </w:p>
        </w:tc>
        <w:tc>
          <w:tcPr>
            <w:tcW w:w="1417" w:type="dxa"/>
          </w:tcPr>
          <w:p w:rsidR="00877618" w:rsidRDefault="00877618" w:rsidP="00877618">
            <w:pPr>
              <w:jc w:val="center"/>
            </w:pPr>
            <w:r w:rsidRPr="00193232">
              <w:rPr>
                <w:rFonts w:ascii="Meiryo UI" w:eastAsia="Meiryo UI" w:hAnsi="Meiryo UI" w:hint="eastAsia"/>
                <w:sz w:val="20"/>
                <w:szCs w:val="24"/>
              </w:rPr>
              <w:t>設定なし</w:t>
            </w:r>
          </w:p>
        </w:tc>
      </w:tr>
      <w:tr w:rsidR="00877618" w:rsidRPr="00D44C3C" w:rsidTr="00877618">
        <w:tc>
          <w:tcPr>
            <w:tcW w:w="1361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受取利息当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36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受取利息当</w:t>
            </w:r>
          </w:p>
        </w:tc>
        <w:tc>
          <w:tcPr>
            <w:tcW w:w="1417" w:type="dxa"/>
          </w:tcPr>
          <w:p w:rsidR="00877618" w:rsidRDefault="00877618" w:rsidP="00877618">
            <w:pPr>
              <w:jc w:val="center"/>
            </w:pPr>
            <w:r w:rsidRPr="00193232">
              <w:rPr>
                <w:rFonts w:ascii="Meiryo UI" w:eastAsia="Meiryo UI" w:hAnsi="Meiryo UI" w:hint="eastAsia"/>
                <w:sz w:val="20"/>
                <w:szCs w:val="24"/>
              </w:rPr>
              <w:t>設定なし</w:t>
            </w:r>
          </w:p>
        </w:tc>
      </w:tr>
      <w:tr w:rsidR="00877618" w:rsidRPr="00D44C3C" w:rsidTr="00877618">
        <w:tc>
          <w:tcPr>
            <w:tcW w:w="1361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経常利益</w:t>
            </w: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right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77</w:t>
            </w: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</w:p>
        </w:tc>
        <w:tc>
          <w:tcPr>
            <w:tcW w:w="1417" w:type="dxa"/>
          </w:tcPr>
          <w:p w:rsidR="00877618" w:rsidRPr="00D44C3C" w:rsidRDefault="00877618" w:rsidP="0087761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D44C3C">
              <w:rPr>
                <w:rFonts w:ascii="Meiryo UI" w:eastAsia="Meiryo UI" w:hAnsi="Meiryo UI" w:hint="eastAsia"/>
                <w:sz w:val="20"/>
                <w:szCs w:val="24"/>
              </w:rPr>
              <w:t>経常利益</w:t>
            </w:r>
          </w:p>
        </w:tc>
        <w:tc>
          <w:tcPr>
            <w:tcW w:w="1417" w:type="dxa"/>
          </w:tcPr>
          <w:p w:rsidR="00877618" w:rsidRDefault="00877618" w:rsidP="00877618">
            <w:pPr>
              <w:jc w:val="center"/>
            </w:pPr>
            <w:r w:rsidRPr="00193232">
              <w:rPr>
                <w:rFonts w:ascii="Meiryo UI" w:eastAsia="Meiryo UI" w:hAnsi="Meiryo UI" w:hint="eastAsia"/>
                <w:sz w:val="20"/>
                <w:szCs w:val="24"/>
              </w:rPr>
              <w:t>設定なし</w:t>
            </w:r>
          </w:p>
        </w:tc>
      </w:tr>
    </w:tbl>
    <w:p w:rsidR="0011720E" w:rsidRPr="00BA1E1E" w:rsidRDefault="0011720E" w:rsidP="00BA1E1E">
      <w:pPr>
        <w:spacing w:line="400" w:lineRule="exact"/>
        <w:rPr>
          <w:rFonts w:ascii="Meiryo UI" w:eastAsia="Meiryo UI" w:hAnsi="Meiryo UI"/>
          <w:color w:val="FF0000"/>
          <w:sz w:val="22"/>
        </w:rPr>
      </w:pPr>
    </w:p>
    <w:sectPr w:rsidR="0011720E" w:rsidRPr="00BA1E1E" w:rsidSect="0087761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8D" w:rsidRDefault="00FC1A8D" w:rsidP="007E5F9A">
      <w:r>
        <w:separator/>
      </w:r>
    </w:p>
  </w:endnote>
  <w:endnote w:type="continuationSeparator" w:id="0">
    <w:p w:rsidR="00FC1A8D" w:rsidRDefault="00FC1A8D" w:rsidP="007E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8D" w:rsidRDefault="00FC1A8D" w:rsidP="007E5F9A">
      <w:r>
        <w:separator/>
      </w:r>
    </w:p>
  </w:footnote>
  <w:footnote w:type="continuationSeparator" w:id="0">
    <w:p w:rsidR="00FC1A8D" w:rsidRDefault="00FC1A8D" w:rsidP="007E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032E"/>
    <w:multiLevelType w:val="hybridMultilevel"/>
    <w:tmpl w:val="613CAF2A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AC03CDE"/>
    <w:multiLevelType w:val="hybridMultilevel"/>
    <w:tmpl w:val="0FFA6C92"/>
    <w:lvl w:ilvl="0" w:tplc="F466A19E"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BC55BEE"/>
    <w:multiLevelType w:val="hybridMultilevel"/>
    <w:tmpl w:val="A0AC6886"/>
    <w:lvl w:ilvl="0" w:tplc="F7507172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F34F8"/>
    <w:multiLevelType w:val="hybridMultilevel"/>
    <w:tmpl w:val="32E61664"/>
    <w:lvl w:ilvl="0" w:tplc="4D2E2C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252C83"/>
    <w:multiLevelType w:val="hybridMultilevel"/>
    <w:tmpl w:val="A9E2D044"/>
    <w:lvl w:ilvl="0" w:tplc="F466A19E">
      <w:numFmt w:val="bullet"/>
      <w:lvlText w:val="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E"/>
    <w:rsid w:val="00067B15"/>
    <w:rsid w:val="0011720E"/>
    <w:rsid w:val="001D4C0D"/>
    <w:rsid w:val="0020789F"/>
    <w:rsid w:val="002A0EF4"/>
    <w:rsid w:val="002A1CB1"/>
    <w:rsid w:val="003070CC"/>
    <w:rsid w:val="00307DDA"/>
    <w:rsid w:val="00311E25"/>
    <w:rsid w:val="00367FD5"/>
    <w:rsid w:val="0045193A"/>
    <w:rsid w:val="0049415E"/>
    <w:rsid w:val="0056100E"/>
    <w:rsid w:val="005A4AD2"/>
    <w:rsid w:val="00637DAD"/>
    <w:rsid w:val="00654C80"/>
    <w:rsid w:val="006971B0"/>
    <w:rsid w:val="006D61B7"/>
    <w:rsid w:val="007141DD"/>
    <w:rsid w:val="007159AE"/>
    <w:rsid w:val="00733BB8"/>
    <w:rsid w:val="007C0AFE"/>
    <w:rsid w:val="007E5F9A"/>
    <w:rsid w:val="007F113F"/>
    <w:rsid w:val="00815002"/>
    <w:rsid w:val="00877618"/>
    <w:rsid w:val="008D1BA7"/>
    <w:rsid w:val="009174CD"/>
    <w:rsid w:val="009B3AB0"/>
    <w:rsid w:val="00A264BD"/>
    <w:rsid w:val="00A30701"/>
    <w:rsid w:val="00A3627C"/>
    <w:rsid w:val="00AE03FD"/>
    <w:rsid w:val="00B45415"/>
    <w:rsid w:val="00B842B6"/>
    <w:rsid w:val="00BA1E1E"/>
    <w:rsid w:val="00D44C3C"/>
    <w:rsid w:val="00DB075B"/>
    <w:rsid w:val="00E01E23"/>
    <w:rsid w:val="00E55400"/>
    <w:rsid w:val="00E94D33"/>
    <w:rsid w:val="00F22F10"/>
    <w:rsid w:val="00FA73F9"/>
    <w:rsid w:val="00F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3919B-5296-4696-892C-1ECB48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8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1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5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F9A"/>
  </w:style>
  <w:style w:type="paragraph" w:styleId="a8">
    <w:name w:val="footer"/>
    <w:basedOn w:val="a"/>
    <w:link w:val="a9"/>
    <w:uiPriority w:val="99"/>
    <w:unhideWhenUsed/>
    <w:rsid w:val="007E5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F9A"/>
  </w:style>
  <w:style w:type="table" w:styleId="aa">
    <w:name w:val="Table Grid"/>
    <w:basedOn w:val="a1"/>
    <w:uiPriority w:val="39"/>
    <w:rsid w:val="0036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瀨藤　威夫</dc:creator>
  <cp:keywords/>
  <dc:description/>
  <cp:lastModifiedBy>阿部　令子</cp:lastModifiedBy>
  <cp:revision>11</cp:revision>
  <cp:lastPrinted>2020-11-05T01:11:00Z</cp:lastPrinted>
  <dcterms:created xsi:type="dcterms:W3CDTF">2020-10-29T09:48:00Z</dcterms:created>
  <dcterms:modified xsi:type="dcterms:W3CDTF">2020-11-05T01:12:00Z</dcterms:modified>
</cp:coreProperties>
</file>