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5342AE25" w14:textId="77777777" w:rsidR="00AF778A" w:rsidRDefault="00AF778A" w:rsidP="00D671A7">
      <w:pPr>
        <w:autoSpaceDE w:val="0"/>
        <w:autoSpaceDN w:val="0"/>
        <w:adjustRightInd w:val="0"/>
        <w:spacing w:line="600" w:lineRule="exact"/>
        <w:jc w:val="center"/>
        <w:rPr>
          <w:rFonts w:ascii="Generic0-Regular" w:eastAsiaTheme="minorEastAsia" w:hAnsi="Generic0-Regular" w:hint="eastAsia"/>
          <w:bCs/>
          <w:kern w:val="0"/>
          <w:sz w:val="44"/>
        </w:rPr>
      </w:pPr>
      <w:r w:rsidRPr="00AF778A">
        <w:rPr>
          <w:rFonts w:ascii="Generic0-Regular" w:eastAsia="Generic0-Regular" w:hAnsi="Generic0-Regular" w:hint="eastAsia"/>
          <w:bCs/>
          <w:kern w:val="0"/>
          <w:sz w:val="44"/>
        </w:rPr>
        <w:t>不登校児童生徒の学び・育ちのための</w:t>
      </w:r>
    </w:p>
    <w:p w14:paraId="1E5695AF" w14:textId="75157552" w:rsidR="00186A24" w:rsidRDefault="00AF778A" w:rsidP="00D671A7">
      <w:pPr>
        <w:autoSpaceDE w:val="0"/>
        <w:autoSpaceDN w:val="0"/>
        <w:adjustRightInd w:val="0"/>
        <w:spacing w:line="600" w:lineRule="exact"/>
        <w:jc w:val="center"/>
        <w:rPr>
          <w:rFonts w:ascii="Generic0-Regular" w:eastAsia="Generic0-Regular" w:hAnsi="Generic0-Regular"/>
          <w:kern w:val="0"/>
          <w:sz w:val="44"/>
        </w:rPr>
      </w:pPr>
      <w:r w:rsidRPr="00AF778A">
        <w:rPr>
          <w:rFonts w:ascii="Generic0-Regular" w:eastAsia="Generic0-Regular" w:hAnsi="Generic0-Regular" w:hint="eastAsia"/>
          <w:bCs/>
          <w:kern w:val="0"/>
          <w:sz w:val="44"/>
        </w:rPr>
        <w:t>フリースクール等への支援</w:t>
      </w:r>
      <w:r w:rsidR="00D671A7" w:rsidRPr="00D671A7">
        <w:rPr>
          <w:rFonts w:ascii="Generic0-Regular" w:eastAsia="Generic0-Regular" w:hAnsi="Generic0-Regular" w:hint="eastAsia"/>
          <w:kern w:val="0"/>
          <w:sz w:val="44"/>
        </w:rPr>
        <w:t>についての提言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34B9897C" w:rsidR="002D01EB" w:rsidRPr="00D475D4" w:rsidRDefault="00F61176" w:rsidP="002D01EB">
      <w:pPr>
        <w:widowControl/>
        <w:jc w:val="center"/>
        <w:rPr>
          <w:rFonts w:ascii="ＭＳ ゴシック" w:eastAsia="ＭＳ ゴシック" w:hAnsi="ＭＳ ゴシック"/>
          <w:b/>
          <w:sz w:val="40"/>
          <w:szCs w:val="40"/>
        </w:rPr>
      </w:pPr>
      <w:r w:rsidRPr="00D475D4">
        <w:rPr>
          <w:rFonts w:ascii="ＭＳ ゴシック" w:eastAsia="ＭＳ ゴシック" w:hAnsi="ＭＳ ゴシック" w:hint="eastAsia"/>
          <w:b/>
          <w:sz w:val="40"/>
          <w:szCs w:val="40"/>
        </w:rPr>
        <w:t>令和</w:t>
      </w:r>
      <w:r w:rsidR="00FD57C2" w:rsidRPr="00D475D4">
        <w:rPr>
          <w:rFonts w:ascii="ＭＳ ゴシック" w:eastAsia="ＭＳ ゴシック" w:hAnsi="ＭＳ ゴシック" w:hint="eastAsia"/>
          <w:b/>
          <w:sz w:val="40"/>
          <w:szCs w:val="40"/>
        </w:rPr>
        <w:t>７</w:t>
      </w:r>
      <w:r w:rsidR="002D01EB" w:rsidRPr="00D475D4">
        <w:rPr>
          <w:rFonts w:ascii="ＭＳ ゴシック" w:eastAsia="ＭＳ ゴシック" w:hAnsi="ＭＳ ゴシック" w:hint="eastAsia"/>
          <w:b/>
          <w:sz w:val="40"/>
          <w:szCs w:val="40"/>
        </w:rPr>
        <w:t>年</w:t>
      </w:r>
      <w:r w:rsidR="007063D5" w:rsidRPr="00D475D4">
        <w:rPr>
          <w:rFonts w:ascii="ＭＳ ゴシック" w:eastAsia="ＭＳ ゴシック" w:hAnsi="ＭＳ ゴシック" w:hint="eastAsia"/>
          <w:b/>
          <w:sz w:val="40"/>
          <w:szCs w:val="40"/>
        </w:rPr>
        <w:t>８</w:t>
      </w:r>
      <w:r w:rsidR="002D01EB" w:rsidRPr="00D475D4">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75E5BF53" w:rsidR="00A4080B" w:rsidRDefault="00A4080B" w:rsidP="002B517D">
      <w:pPr>
        <w:spacing w:line="240" w:lineRule="atLeast"/>
        <w:rPr>
          <w:rFonts w:eastAsia="ＭＳ ゴシック" w:hAnsi="ＭＳ 明朝"/>
          <w:color w:val="000000"/>
          <w:szCs w:val="20"/>
        </w:rPr>
      </w:pPr>
    </w:p>
    <w:p w14:paraId="09E9D1EF" w14:textId="7E011A60" w:rsidR="00FE549C" w:rsidRDefault="00FE549C" w:rsidP="002B517D">
      <w:pPr>
        <w:spacing w:line="240" w:lineRule="atLeast"/>
        <w:rPr>
          <w:rFonts w:eastAsia="ＭＳ ゴシック" w:hAnsi="ＭＳ 明朝"/>
          <w:color w:val="000000"/>
          <w:szCs w:val="20"/>
        </w:rPr>
      </w:pPr>
    </w:p>
    <w:p w14:paraId="0B5DCBCA" w14:textId="77777777" w:rsidR="00FE549C" w:rsidRDefault="00FE549C">
      <w:pPr>
        <w:widowControl/>
        <w:jc w:val="left"/>
        <w:rPr>
          <w:rFonts w:eastAsia="ＭＳ ゴシック" w:hAnsi="ＭＳ 明朝"/>
          <w:color w:val="000000"/>
          <w:szCs w:val="20"/>
        </w:rPr>
      </w:pPr>
      <w:r>
        <w:rPr>
          <w:rFonts w:eastAsia="ＭＳ ゴシック" w:hAnsi="ＭＳ 明朝"/>
          <w:color w:val="000000"/>
          <w:szCs w:val="20"/>
        </w:rPr>
        <w:br w:type="page"/>
      </w:r>
    </w:p>
    <w:p w14:paraId="4E5D1D75" w14:textId="77777777" w:rsidR="00AF778A" w:rsidRDefault="00AF778A" w:rsidP="00AF778A">
      <w:pPr>
        <w:spacing w:line="240" w:lineRule="atLeast"/>
        <w:jc w:val="center"/>
        <w:rPr>
          <w:rFonts w:eastAsia="ＭＳ ゴシック" w:hAnsi="ＭＳ 明朝"/>
          <w:bCs/>
          <w:color w:val="000000"/>
          <w:szCs w:val="20"/>
        </w:rPr>
      </w:pPr>
      <w:r w:rsidRPr="00AF778A">
        <w:rPr>
          <w:rFonts w:eastAsia="ＭＳ ゴシック" w:hAnsi="ＭＳ 明朝" w:hint="eastAsia"/>
          <w:bCs/>
          <w:color w:val="000000"/>
          <w:szCs w:val="20"/>
        </w:rPr>
        <w:lastRenderedPageBreak/>
        <w:t>不登校児童生徒の学び・育ちのためのフリースクール等への</w:t>
      </w:r>
    </w:p>
    <w:p w14:paraId="76B3D89C" w14:textId="7A594947" w:rsidR="00AB2541" w:rsidRPr="00AF778A" w:rsidRDefault="00AF778A" w:rsidP="00AF778A">
      <w:pPr>
        <w:spacing w:line="240" w:lineRule="atLeast"/>
        <w:jc w:val="center"/>
        <w:rPr>
          <w:rFonts w:eastAsia="ＭＳ ゴシック" w:hAnsi="ＭＳ 明朝"/>
          <w:bCs/>
          <w:color w:val="000000"/>
          <w:szCs w:val="20"/>
        </w:rPr>
      </w:pPr>
      <w:r w:rsidRPr="00AF778A">
        <w:rPr>
          <w:rFonts w:eastAsia="ＭＳ ゴシック" w:hAnsi="ＭＳ 明朝" w:hint="eastAsia"/>
          <w:bCs/>
          <w:color w:val="000000"/>
          <w:szCs w:val="20"/>
        </w:rPr>
        <w:t>支援</w:t>
      </w:r>
      <w:r w:rsidR="00D671A7">
        <w:rPr>
          <w:rFonts w:eastAsia="ＭＳ ゴシック" w:hAnsi="ＭＳ 明朝" w:hint="eastAsia"/>
          <w:color w:val="000000"/>
          <w:szCs w:val="20"/>
        </w:rPr>
        <w:t>について</w:t>
      </w:r>
    </w:p>
    <w:p w14:paraId="6C89C923" w14:textId="77777777" w:rsidR="00AB2541" w:rsidRPr="00AF778A" w:rsidRDefault="00AB2541" w:rsidP="00AB2541">
      <w:pPr>
        <w:snapToGrid w:val="0"/>
        <w:spacing w:line="360" w:lineRule="exact"/>
        <w:ind w:firstLineChars="100" w:firstLine="241"/>
        <w:jc w:val="left"/>
        <w:rPr>
          <w:rFonts w:asciiTheme="minorEastAsia" w:eastAsiaTheme="minorEastAsia" w:hAnsiTheme="minorEastAsia"/>
          <w:sz w:val="24"/>
        </w:rPr>
      </w:pPr>
    </w:p>
    <w:p w14:paraId="58B56F25" w14:textId="6DAC2263" w:rsidR="003336FC" w:rsidRPr="003336FC" w:rsidRDefault="003336FC" w:rsidP="003336FC">
      <w:pPr>
        <w:ind w:firstLineChars="100" w:firstLine="261"/>
        <w:rPr>
          <w:rFonts w:asciiTheme="minorEastAsia" w:hAnsiTheme="minorEastAsia"/>
          <w:color w:val="000000" w:themeColor="text1"/>
          <w:sz w:val="26"/>
          <w:szCs w:val="26"/>
        </w:rPr>
      </w:pPr>
      <w:r w:rsidRPr="003336FC">
        <w:rPr>
          <w:rFonts w:asciiTheme="minorEastAsia" w:hAnsiTheme="minorEastAsia" w:hint="eastAsia"/>
          <w:color w:val="000000" w:themeColor="text1"/>
          <w:sz w:val="26"/>
          <w:szCs w:val="26"/>
        </w:rPr>
        <w:t>不登校児童生徒（国公私立の小中学校）は、国全体でおよそ3</w:t>
      </w:r>
      <w:r w:rsidR="000652C9">
        <w:rPr>
          <w:rFonts w:asciiTheme="minorEastAsia" w:hAnsiTheme="minorEastAsia" w:hint="eastAsia"/>
          <w:color w:val="000000" w:themeColor="text1"/>
          <w:sz w:val="26"/>
          <w:szCs w:val="26"/>
        </w:rPr>
        <w:t>5</w:t>
      </w:r>
      <w:r w:rsidRPr="003336FC">
        <w:rPr>
          <w:rFonts w:asciiTheme="minorEastAsia" w:hAnsiTheme="minorEastAsia" w:hint="eastAsia"/>
          <w:color w:val="000000" w:themeColor="text1"/>
          <w:sz w:val="26"/>
          <w:szCs w:val="26"/>
        </w:rPr>
        <w:t>万人と過去最多となっており、しかもコロナ禍も相まってここ数年で急増している。また、学校内外で相談を受けていない人の増加や欠席の長期化も進行している。さらに、不登校からひきこもりにつながる事例も少なくなく、不登校児童生徒支援は全国共通の喫緊の課題となっている。</w:t>
      </w:r>
    </w:p>
    <w:p w14:paraId="4375D01C" w14:textId="77777777" w:rsidR="003336FC" w:rsidRPr="003336FC" w:rsidRDefault="003336FC" w:rsidP="003336FC">
      <w:pPr>
        <w:ind w:firstLineChars="100" w:firstLine="261"/>
        <w:rPr>
          <w:rFonts w:asciiTheme="minorEastAsia" w:hAnsiTheme="minorEastAsia"/>
          <w:color w:val="000000" w:themeColor="text1"/>
          <w:sz w:val="26"/>
          <w:szCs w:val="26"/>
        </w:rPr>
      </w:pPr>
      <w:r w:rsidRPr="003336FC">
        <w:rPr>
          <w:rFonts w:asciiTheme="minorEastAsia" w:hAnsiTheme="minorEastAsia" w:hint="eastAsia"/>
          <w:color w:val="000000" w:themeColor="text1"/>
          <w:sz w:val="26"/>
          <w:szCs w:val="26"/>
        </w:rPr>
        <w:t>そうした状況の中、不登校児童生徒への支援については、当該児童生徒が自らの進路を主体的に捉えて、社会的に自立することをめざす必要があることから、学校内外における多様な学びの場や居場所を整備することが求められている。</w:t>
      </w:r>
    </w:p>
    <w:p w14:paraId="19BD8AB5" w14:textId="77777777" w:rsidR="003336FC" w:rsidRPr="003336FC" w:rsidRDefault="003336FC" w:rsidP="003336FC">
      <w:pPr>
        <w:ind w:firstLineChars="100" w:firstLine="261"/>
        <w:rPr>
          <w:rFonts w:asciiTheme="minorEastAsia" w:hAnsiTheme="minorEastAsia"/>
          <w:color w:val="000000" w:themeColor="text1"/>
          <w:sz w:val="26"/>
          <w:szCs w:val="26"/>
        </w:rPr>
      </w:pPr>
      <w:r w:rsidRPr="003336FC">
        <w:rPr>
          <w:rFonts w:asciiTheme="minorEastAsia" w:hAnsiTheme="minorEastAsia" w:hint="eastAsia"/>
          <w:color w:val="000000" w:themeColor="text1"/>
          <w:sz w:val="26"/>
          <w:szCs w:val="26"/>
        </w:rPr>
        <w:t>国においては、令和５（2023）年３月に「誰一人取り残されない学びの保障に向けた不登校対策」（COCOLOプラン）を取りまとめ、不登校対策の一層の充実に取り組むとし、学びの多様化学校や校内教育支援センターの設置等を推進するほか、不登校児童生徒の個々のニーズに応じた受け皿を整備するために、令和５年11月に通知された「不登校の児童生徒等への支援の充実について」においても、NPOやフリースクール等の民間施設との連携の重要性についても言及している。</w:t>
      </w:r>
    </w:p>
    <w:p w14:paraId="29AA118C" w14:textId="4CF08CA2" w:rsidR="003336FC" w:rsidRPr="003336FC" w:rsidRDefault="003336FC" w:rsidP="003336FC">
      <w:pPr>
        <w:widowControl/>
        <w:ind w:firstLineChars="100" w:firstLine="261"/>
        <w:jc w:val="left"/>
        <w:rPr>
          <w:rFonts w:asciiTheme="minorEastAsia" w:hAnsiTheme="minorEastAsia"/>
          <w:color w:val="000000" w:themeColor="text1"/>
          <w:sz w:val="26"/>
          <w:szCs w:val="26"/>
        </w:rPr>
      </w:pPr>
      <w:r w:rsidRPr="003336FC">
        <w:rPr>
          <w:rFonts w:asciiTheme="minorEastAsia" w:hAnsiTheme="minorEastAsia" w:hint="eastAsia"/>
          <w:color w:val="000000" w:themeColor="text1"/>
          <w:sz w:val="26"/>
          <w:szCs w:val="26"/>
        </w:rPr>
        <w:t>しかしながら、フリースクールの運営団体からは、経済的な理由からフリースクールを利用できない児童生徒がいる事例があるとの指摘がある。また、安定した運営のための支援を求める声もあり、学びたいと思った児童生徒が誰でも落ち着いた空間で学習・生活できる環境が学校内外にあり、加えて児童生徒の学習等の成果を適切に評価し、支援する体制が必要である。</w:t>
      </w:r>
    </w:p>
    <w:p w14:paraId="7C700178" w14:textId="77777777" w:rsidR="003336FC" w:rsidRPr="003336FC" w:rsidRDefault="003336FC" w:rsidP="003336FC">
      <w:pPr>
        <w:widowControl/>
        <w:ind w:firstLineChars="100" w:firstLine="261"/>
        <w:jc w:val="left"/>
        <w:rPr>
          <w:rFonts w:asciiTheme="minorEastAsia" w:hAnsiTheme="minorEastAsia"/>
          <w:color w:val="000000" w:themeColor="text1"/>
          <w:sz w:val="26"/>
          <w:szCs w:val="26"/>
        </w:rPr>
      </w:pPr>
      <w:r w:rsidRPr="003336FC">
        <w:rPr>
          <w:rFonts w:asciiTheme="minorEastAsia" w:hAnsiTheme="minorEastAsia" w:hint="eastAsia"/>
          <w:color w:val="000000" w:themeColor="text1"/>
          <w:sz w:val="26"/>
          <w:szCs w:val="26"/>
        </w:rPr>
        <w:lastRenderedPageBreak/>
        <w:t>また、現在全国の一部学校内において実施している、学校における校内教育支援センター（別室）を運営する専任加配教員の指導による成果が一定見られているところである。</w:t>
      </w:r>
    </w:p>
    <w:p w14:paraId="6FF56216" w14:textId="77777777" w:rsidR="003336FC" w:rsidRPr="003336FC" w:rsidRDefault="003336FC" w:rsidP="003336FC">
      <w:pPr>
        <w:widowControl/>
        <w:ind w:firstLineChars="100" w:firstLine="261"/>
        <w:jc w:val="left"/>
        <w:rPr>
          <w:rFonts w:asciiTheme="minorEastAsia" w:hAnsiTheme="minorEastAsia"/>
          <w:color w:val="000000" w:themeColor="text1"/>
          <w:sz w:val="26"/>
          <w:szCs w:val="26"/>
        </w:rPr>
      </w:pPr>
      <w:r w:rsidRPr="003336FC">
        <w:rPr>
          <w:rFonts w:asciiTheme="minorEastAsia" w:hAnsiTheme="minorEastAsia" w:hint="eastAsia"/>
          <w:color w:val="000000" w:themeColor="text1"/>
          <w:sz w:val="26"/>
          <w:szCs w:val="26"/>
        </w:rPr>
        <w:t>以上を踏まえ、不登校児童生徒にとって多様な学びの場や居場所を確保できるよう、次のとおり提言する。</w:t>
      </w:r>
    </w:p>
    <w:p w14:paraId="33C0CBD2" w14:textId="77777777" w:rsidR="003336FC" w:rsidRPr="003336FC" w:rsidRDefault="003336FC" w:rsidP="003336FC">
      <w:pPr>
        <w:widowControl/>
        <w:jc w:val="left"/>
        <w:rPr>
          <w:rFonts w:asciiTheme="minorEastAsia" w:hAnsiTheme="minorEastAsia"/>
          <w:color w:val="000000" w:themeColor="text1"/>
          <w:sz w:val="26"/>
          <w:szCs w:val="26"/>
        </w:rPr>
      </w:pPr>
    </w:p>
    <w:p w14:paraId="3608CAAE" w14:textId="77777777" w:rsidR="003336FC" w:rsidRDefault="003336FC" w:rsidP="003336FC">
      <w:pPr>
        <w:widowControl/>
        <w:jc w:val="left"/>
        <w:rPr>
          <w:rFonts w:asciiTheme="minorEastAsia" w:hAnsiTheme="minorEastAsia"/>
          <w:color w:val="000000" w:themeColor="text1"/>
          <w:sz w:val="26"/>
          <w:szCs w:val="26"/>
        </w:rPr>
      </w:pPr>
      <w:r w:rsidRPr="003336FC">
        <w:rPr>
          <w:rFonts w:asciiTheme="minorEastAsia" w:hAnsiTheme="minorEastAsia" w:hint="eastAsia"/>
          <w:color w:val="000000" w:themeColor="text1"/>
          <w:sz w:val="26"/>
          <w:szCs w:val="26"/>
        </w:rPr>
        <w:t>・フリースクール等の学校以外の多様な学びの場や居場所を充実させるとと</w:t>
      </w:r>
    </w:p>
    <w:p w14:paraId="0668AD3C" w14:textId="32498DD8" w:rsidR="00502485" w:rsidRPr="003336FC" w:rsidRDefault="003336FC" w:rsidP="003336FC">
      <w:pPr>
        <w:widowControl/>
        <w:ind w:firstLineChars="100" w:firstLine="261"/>
        <w:jc w:val="left"/>
        <w:rPr>
          <w:rFonts w:asciiTheme="minorEastAsia" w:hAnsiTheme="minorEastAsia"/>
          <w:color w:val="000000" w:themeColor="text1"/>
          <w:sz w:val="26"/>
          <w:szCs w:val="26"/>
        </w:rPr>
      </w:pPr>
      <w:r w:rsidRPr="003336FC">
        <w:rPr>
          <w:rFonts w:asciiTheme="minorEastAsia" w:hAnsiTheme="minorEastAsia" w:hint="eastAsia"/>
          <w:color w:val="000000" w:themeColor="text1"/>
          <w:sz w:val="26"/>
          <w:szCs w:val="26"/>
        </w:rPr>
        <w:t>もに、</w:t>
      </w:r>
      <w:r w:rsidR="007063D5" w:rsidRPr="00D475D4">
        <w:rPr>
          <w:rFonts w:asciiTheme="minorEastAsia" w:hAnsiTheme="minorEastAsia" w:hint="eastAsia"/>
          <w:sz w:val="26"/>
          <w:szCs w:val="26"/>
        </w:rPr>
        <w:t>利用する家庭に</w:t>
      </w:r>
      <w:r w:rsidRPr="003336FC">
        <w:rPr>
          <w:rFonts w:asciiTheme="minorEastAsia" w:hAnsiTheme="minorEastAsia" w:hint="eastAsia"/>
          <w:color w:val="000000" w:themeColor="text1"/>
          <w:sz w:val="26"/>
          <w:szCs w:val="26"/>
        </w:rPr>
        <w:t>必要な財政措置を講じること。</w:t>
      </w:r>
    </w:p>
    <w:p w14:paraId="0F551804" w14:textId="27EF6492" w:rsidR="00502485" w:rsidRPr="003336FC" w:rsidRDefault="00502485" w:rsidP="003336FC">
      <w:pPr>
        <w:widowControl/>
        <w:jc w:val="left"/>
        <w:rPr>
          <w:rFonts w:hAnsi="ＭＳ 明朝"/>
          <w:sz w:val="26"/>
          <w:szCs w:val="26"/>
        </w:rPr>
      </w:pPr>
    </w:p>
    <w:p w14:paraId="1B12AC60" w14:textId="77777777" w:rsidR="003336FC" w:rsidRDefault="003336FC" w:rsidP="003336FC">
      <w:pPr>
        <w:widowControl/>
        <w:jc w:val="left"/>
        <w:rPr>
          <w:rFonts w:hAnsi="ＭＳ 明朝"/>
          <w:sz w:val="26"/>
          <w:szCs w:val="26"/>
        </w:rPr>
      </w:pPr>
      <w:r w:rsidRPr="003336FC">
        <w:rPr>
          <w:rFonts w:hAnsi="ＭＳ 明朝" w:hint="eastAsia"/>
          <w:sz w:val="26"/>
          <w:szCs w:val="26"/>
        </w:rPr>
        <w:t>・不登校児童生徒への支援を行う民間施設等に関する支援の考え方について</w:t>
      </w:r>
    </w:p>
    <w:p w14:paraId="25F1F255" w14:textId="31D387EF" w:rsidR="003336FC" w:rsidRPr="003336FC" w:rsidRDefault="003336FC" w:rsidP="003336FC">
      <w:pPr>
        <w:widowControl/>
        <w:ind w:firstLineChars="100" w:firstLine="261"/>
        <w:jc w:val="left"/>
        <w:rPr>
          <w:rFonts w:hAnsi="ＭＳ 明朝"/>
          <w:sz w:val="26"/>
          <w:szCs w:val="26"/>
        </w:rPr>
      </w:pPr>
      <w:r w:rsidRPr="003336FC">
        <w:rPr>
          <w:rFonts w:hAnsi="ＭＳ 明朝" w:hint="eastAsia"/>
          <w:sz w:val="26"/>
          <w:szCs w:val="26"/>
        </w:rPr>
        <w:t>整理すること。</w:t>
      </w:r>
    </w:p>
    <w:p w14:paraId="6B1402D4" w14:textId="79BD6B22" w:rsidR="003336FC" w:rsidRPr="003336FC" w:rsidRDefault="003336FC" w:rsidP="003336FC">
      <w:pPr>
        <w:widowControl/>
        <w:jc w:val="left"/>
        <w:rPr>
          <w:rFonts w:hAnsi="ＭＳ 明朝"/>
          <w:sz w:val="26"/>
          <w:szCs w:val="26"/>
        </w:rPr>
      </w:pPr>
    </w:p>
    <w:p w14:paraId="595E66E8" w14:textId="77777777" w:rsidR="003336FC" w:rsidRDefault="003336FC" w:rsidP="003336FC">
      <w:pPr>
        <w:widowControl/>
        <w:jc w:val="left"/>
        <w:rPr>
          <w:rFonts w:hAnsi="ＭＳ 明朝"/>
          <w:sz w:val="26"/>
          <w:szCs w:val="26"/>
        </w:rPr>
      </w:pPr>
      <w:r w:rsidRPr="003336FC">
        <w:rPr>
          <w:rFonts w:hAnsi="ＭＳ 明朝" w:hint="eastAsia"/>
          <w:sz w:val="26"/>
          <w:szCs w:val="26"/>
        </w:rPr>
        <w:t>・学校において校内教育支援センター（別室）を運営する専任の人材を全小</w:t>
      </w:r>
    </w:p>
    <w:p w14:paraId="72C3FBBF" w14:textId="366B9C78" w:rsidR="003336FC" w:rsidRPr="003336FC" w:rsidRDefault="003336FC" w:rsidP="003336FC">
      <w:pPr>
        <w:widowControl/>
        <w:ind w:firstLineChars="100" w:firstLine="261"/>
        <w:jc w:val="left"/>
        <w:rPr>
          <w:rFonts w:hAnsi="ＭＳ 明朝"/>
          <w:sz w:val="26"/>
          <w:szCs w:val="26"/>
        </w:rPr>
      </w:pPr>
      <w:r w:rsidRPr="003336FC">
        <w:rPr>
          <w:rFonts w:hAnsi="ＭＳ 明朝" w:hint="eastAsia"/>
          <w:sz w:val="26"/>
          <w:szCs w:val="26"/>
        </w:rPr>
        <w:t>中学校に標準的に配置すべき職として位置づけ、財政支援を拡充すること。</w:t>
      </w:r>
    </w:p>
    <w:p w14:paraId="2DAF664E" w14:textId="77777777" w:rsidR="00502485" w:rsidRPr="00F752D3" w:rsidRDefault="00502485" w:rsidP="001B4461">
      <w:pPr>
        <w:widowControl/>
        <w:spacing w:line="360" w:lineRule="exact"/>
        <w:jc w:val="left"/>
        <w:rPr>
          <w:rFonts w:hAnsi="ＭＳ 明朝"/>
          <w:sz w:val="26"/>
          <w:szCs w:val="26"/>
        </w:rPr>
      </w:pPr>
    </w:p>
    <w:p w14:paraId="005098A8" w14:textId="0EB63FEA" w:rsidR="00502485" w:rsidRPr="00F752D3" w:rsidRDefault="00502485" w:rsidP="001B4461">
      <w:pPr>
        <w:widowControl/>
        <w:spacing w:line="360" w:lineRule="exact"/>
        <w:jc w:val="left"/>
        <w:rPr>
          <w:rFonts w:hAnsi="ＭＳ 明朝"/>
          <w:sz w:val="26"/>
          <w:szCs w:val="26"/>
        </w:rPr>
      </w:pPr>
    </w:p>
    <w:p w14:paraId="16883105" w14:textId="5012E3E7" w:rsidR="00F25572" w:rsidRPr="00D475D4" w:rsidRDefault="00F61176" w:rsidP="001B4461">
      <w:pPr>
        <w:widowControl/>
        <w:spacing w:line="360" w:lineRule="exact"/>
        <w:jc w:val="left"/>
        <w:rPr>
          <w:rFonts w:hAnsi="ＭＳ 明朝"/>
          <w:sz w:val="26"/>
          <w:szCs w:val="26"/>
        </w:rPr>
      </w:pPr>
      <w:r w:rsidRPr="00D475D4">
        <w:rPr>
          <w:rFonts w:hAnsi="ＭＳ 明朝" w:hint="eastAsia"/>
          <w:sz w:val="26"/>
          <w:szCs w:val="26"/>
        </w:rPr>
        <w:t>令和</w:t>
      </w:r>
      <w:r w:rsidR="00FD57C2" w:rsidRPr="00D475D4">
        <w:rPr>
          <w:rFonts w:hAnsi="ＭＳ 明朝" w:hint="eastAsia"/>
          <w:sz w:val="26"/>
          <w:szCs w:val="26"/>
        </w:rPr>
        <w:t>７</w:t>
      </w:r>
      <w:r w:rsidR="00F25572" w:rsidRPr="00D475D4">
        <w:rPr>
          <w:rFonts w:hAnsi="ＭＳ 明朝" w:hint="eastAsia"/>
          <w:sz w:val="26"/>
          <w:szCs w:val="26"/>
        </w:rPr>
        <w:t>年</w:t>
      </w:r>
      <w:r w:rsidR="007063D5" w:rsidRPr="00D475D4">
        <w:rPr>
          <w:rFonts w:hAnsi="ＭＳ 明朝" w:hint="eastAsia"/>
          <w:sz w:val="26"/>
          <w:szCs w:val="26"/>
        </w:rPr>
        <w:t>８</w:t>
      </w:r>
      <w:r w:rsidR="00F25572" w:rsidRPr="00D475D4">
        <w:rPr>
          <w:rFonts w:hAnsi="ＭＳ 明朝" w:hint="eastAsia"/>
          <w:sz w:val="26"/>
          <w:szCs w:val="26"/>
        </w:rPr>
        <w:t>月</w:t>
      </w:r>
    </w:p>
    <w:p w14:paraId="01CD4C6F" w14:textId="52E91247"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近畿ブロック知事会</w:t>
      </w:r>
    </w:p>
    <w:p w14:paraId="3BF9F9F8" w14:textId="087C03EA"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福井県知事　　</w:t>
      </w:r>
      <w:r w:rsidR="008A3C7A" w:rsidRPr="00D475D4">
        <w:rPr>
          <w:rFonts w:hAnsi="ＭＳ 明朝" w:hint="eastAsia"/>
          <w:sz w:val="26"/>
          <w:szCs w:val="26"/>
        </w:rPr>
        <w:t>杉　本　達　治</w:t>
      </w:r>
    </w:p>
    <w:p w14:paraId="7FF7690C" w14:textId="08F00129"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三重県知事　　</w:t>
      </w:r>
      <w:r w:rsidR="004F201B" w:rsidRPr="00D475D4">
        <w:rPr>
          <w:rFonts w:hAnsi="ＭＳ 明朝" w:hint="eastAsia"/>
          <w:sz w:val="26"/>
          <w:szCs w:val="26"/>
        </w:rPr>
        <w:t>一　見　勝　之</w:t>
      </w:r>
    </w:p>
    <w:p w14:paraId="5185ECEA" w14:textId="30AA3543"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滋賀県知事　　三日月　大　造</w:t>
      </w:r>
    </w:p>
    <w:p w14:paraId="19DEBB15" w14:textId="423AA4CC"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京都府知事　　</w:t>
      </w:r>
      <w:r w:rsidR="008A3C7A" w:rsidRPr="00D475D4">
        <w:rPr>
          <w:rFonts w:hAnsi="ＭＳ 明朝" w:hint="eastAsia"/>
          <w:sz w:val="26"/>
          <w:szCs w:val="26"/>
        </w:rPr>
        <w:t>西　脇　隆　俊</w:t>
      </w:r>
    </w:p>
    <w:p w14:paraId="10BBC197" w14:textId="120C298F"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大阪府知事　　</w:t>
      </w:r>
      <w:r w:rsidR="008A3C7A" w:rsidRPr="00D475D4">
        <w:rPr>
          <w:rFonts w:hAnsi="ＭＳ 明朝" w:hint="eastAsia"/>
          <w:sz w:val="26"/>
          <w:szCs w:val="26"/>
        </w:rPr>
        <w:t>吉　村　洋　文</w:t>
      </w:r>
    </w:p>
    <w:p w14:paraId="0DFE70BC" w14:textId="430F62B8"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兵庫県知事　　</w:t>
      </w:r>
      <w:r w:rsidR="00E501A5" w:rsidRPr="00D475D4">
        <w:rPr>
          <w:rFonts w:hAnsi="ＭＳ 明朝" w:hint="eastAsia"/>
          <w:sz w:val="26"/>
          <w:szCs w:val="26"/>
        </w:rPr>
        <w:t>齋　藤　元　彦</w:t>
      </w:r>
    </w:p>
    <w:p w14:paraId="75379C95" w14:textId="1A3DAE63"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奈良県知事　　</w:t>
      </w:r>
      <w:r w:rsidR="00EB40E1" w:rsidRPr="00D475D4">
        <w:rPr>
          <w:rFonts w:hAnsi="ＭＳ 明朝" w:hint="eastAsia"/>
          <w:sz w:val="26"/>
          <w:szCs w:val="26"/>
        </w:rPr>
        <w:t>山　下　　　真</w:t>
      </w:r>
    </w:p>
    <w:p w14:paraId="3EC22D56" w14:textId="0FD5F602" w:rsidR="00FD57C2" w:rsidRPr="00D475D4" w:rsidRDefault="00F25572" w:rsidP="00FD57C2">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和歌山県知事　</w:t>
      </w:r>
      <w:r w:rsidR="00FD57C2" w:rsidRPr="00D475D4">
        <w:rPr>
          <w:rFonts w:hAnsi="ＭＳ 明朝" w:hint="eastAsia"/>
          <w:sz w:val="26"/>
          <w:szCs w:val="26"/>
        </w:rPr>
        <w:t xml:space="preserve">宮　</w:t>
      </w:r>
      <w:r w:rsidR="007063D5" w:rsidRPr="00D475D4">
        <w:rPr>
          <w:rFonts w:hAnsi="ＭＳ 明朝" w:hint="eastAsia"/>
          <w:sz w:val="26"/>
          <w:szCs w:val="26"/>
        </w:rPr>
        <w:t>﨑</w:t>
      </w:r>
      <w:r w:rsidR="00FD57C2" w:rsidRPr="00D475D4">
        <w:rPr>
          <w:rFonts w:hAnsi="ＭＳ 明朝" w:hint="eastAsia"/>
          <w:sz w:val="26"/>
          <w:szCs w:val="26"/>
        </w:rPr>
        <w:t xml:space="preserve">　　　泉</w:t>
      </w:r>
    </w:p>
    <w:p w14:paraId="2F5C58B7" w14:textId="37399D29"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w:t>
      </w:r>
      <w:r w:rsidR="008A3C7A" w:rsidRPr="00D475D4">
        <w:rPr>
          <w:rFonts w:hAnsi="ＭＳ 明朝" w:hint="eastAsia"/>
          <w:sz w:val="26"/>
          <w:szCs w:val="26"/>
        </w:rPr>
        <w:t xml:space="preserve">鳥取県知事　　</w:t>
      </w:r>
      <w:r w:rsidR="00E501A5" w:rsidRPr="00D475D4">
        <w:rPr>
          <w:rFonts w:hAnsi="ＭＳ 明朝" w:hint="eastAsia"/>
          <w:sz w:val="26"/>
          <w:szCs w:val="26"/>
        </w:rPr>
        <w:t>平　井　伸　治</w:t>
      </w:r>
    </w:p>
    <w:p w14:paraId="04C42D17" w14:textId="48F3A786" w:rsidR="00F25572" w:rsidRPr="00D475D4" w:rsidRDefault="00F25572" w:rsidP="00E80F0C">
      <w:pPr>
        <w:snapToGrid w:val="0"/>
        <w:spacing w:line="360" w:lineRule="exact"/>
        <w:ind w:left="522" w:hangingChars="200" w:hanging="522"/>
        <w:jc w:val="left"/>
        <w:rPr>
          <w:rFonts w:hAnsi="ＭＳ 明朝"/>
          <w:sz w:val="26"/>
          <w:szCs w:val="26"/>
        </w:rPr>
      </w:pPr>
      <w:r w:rsidRPr="00D475D4">
        <w:rPr>
          <w:rFonts w:hAnsi="ＭＳ 明朝" w:hint="eastAsia"/>
          <w:sz w:val="26"/>
          <w:szCs w:val="26"/>
        </w:rPr>
        <w:t xml:space="preserve">　　　　　　　　　　　　　　　　　徳島県知事　　</w:t>
      </w:r>
      <w:r w:rsidR="00EB40E1" w:rsidRPr="00D475D4">
        <w:rPr>
          <w:rFonts w:hAnsi="ＭＳ 明朝" w:hint="eastAsia"/>
          <w:sz w:val="26"/>
          <w:szCs w:val="26"/>
        </w:rPr>
        <w:t>後藤田　正　純</w:t>
      </w:r>
    </w:p>
    <w:p w14:paraId="75027F34" w14:textId="77777777" w:rsidR="00916CD1" w:rsidRPr="009302A3" w:rsidRDefault="00D30D3B"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52C9"/>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336FC"/>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67A4"/>
    <w:rsid w:val="004C01DC"/>
    <w:rsid w:val="004C58C5"/>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55871"/>
    <w:rsid w:val="00565C6B"/>
    <w:rsid w:val="00567983"/>
    <w:rsid w:val="00567ABE"/>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063D5"/>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73CD9"/>
    <w:rsid w:val="00A90485"/>
    <w:rsid w:val="00AA0A4C"/>
    <w:rsid w:val="00AB2541"/>
    <w:rsid w:val="00AB6C11"/>
    <w:rsid w:val="00AC32EB"/>
    <w:rsid w:val="00AD13D3"/>
    <w:rsid w:val="00AD6AA7"/>
    <w:rsid w:val="00AE5B53"/>
    <w:rsid w:val="00AE7D0A"/>
    <w:rsid w:val="00AF6C49"/>
    <w:rsid w:val="00AF7046"/>
    <w:rsid w:val="00AF778A"/>
    <w:rsid w:val="00AF7DD3"/>
    <w:rsid w:val="00B126AD"/>
    <w:rsid w:val="00B16786"/>
    <w:rsid w:val="00B33901"/>
    <w:rsid w:val="00B43583"/>
    <w:rsid w:val="00B52D1D"/>
    <w:rsid w:val="00B55904"/>
    <w:rsid w:val="00B55B72"/>
    <w:rsid w:val="00B62B6B"/>
    <w:rsid w:val="00B7674F"/>
    <w:rsid w:val="00B7719B"/>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44491"/>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475D4"/>
    <w:rsid w:val="00D51694"/>
    <w:rsid w:val="00D51885"/>
    <w:rsid w:val="00D57C4B"/>
    <w:rsid w:val="00D671A7"/>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52D3"/>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D57C2"/>
    <w:rsid w:val="00FE0A92"/>
    <w:rsid w:val="00FE549C"/>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AF19-7161-4321-A587-DED1FA58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2025-09-26T09:33:00Z</dcterms:created>
  <dcterms:modified xsi:type="dcterms:W3CDTF">2025-09-26T09:33:00Z</dcterms:modified>
</cp:coreProperties>
</file>