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35A4" w14:textId="4227569B" w:rsidR="00961D85" w:rsidRPr="00CC31C4" w:rsidRDefault="00730DA0">
      <w:pPr>
        <w:rPr>
          <w:color w:val="000000" w:themeColor="text1"/>
          <w:sz w:val="22"/>
        </w:rPr>
      </w:pPr>
      <w:r w:rsidRPr="00CC31C4">
        <w:rPr>
          <w:rFonts w:hint="eastAsia"/>
          <w:color w:val="000000" w:themeColor="text1"/>
          <w:sz w:val="22"/>
        </w:rPr>
        <w:t>令和５年度「</w:t>
      </w:r>
      <w:r w:rsidR="00961D85" w:rsidRPr="00CC31C4">
        <w:rPr>
          <w:color w:val="000000" w:themeColor="text1"/>
          <w:sz w:val="22"/>
        </w:rPr>
        <w:t>大阪IR（統合型リゾート）説明会</w:t>
      </w:r>
      <w:r w:rsidRPr="00CC31C4">
        <w:rPr>
          <w:rFonts w:hint="eastAsia"/>
          <w:color w:val="000000" w:themeColor="text1"/>
          <w:sz w:val="22"/>
        </w:rPr>
        <w:t>」（第５回）</w:t>
      </w:r>
      <w:r w:rsidR="00961D85" w:rsidRPr="00CC31C4">
        <w:rPr>
          <w:color w:val="000000" w:themeColor="text1"/>
          <w:sz w:val="22"/>
        </w:rPr>
        <w:t xml:space="preserve">　アンケートによる質問について</w:t>
      </w:r>
    </w:p>
    <w:p w14:paraId="748AEC1A" w14:textId="218CA4E7" w:rsidR="00961D85" w:rsidRPr="00CC31C4" w:rsidRDefault="00961D85" w:rsidP="00961D85">
      <w:pPr>
        <w:ind w:firstLineChars="100" w:firstLine="210"/>
        <w:rPr>
          <w:color w:val="000000" w:themeColor="text1"/>
        </w:rPr>
      </w:pPr>
      <w:r w:rsidRPr="00CC31C4">
        <w:rPr>
          <w:rFonts w:hint="eastAsia"/>
          <w:color w:val="000000" w:themeColor="text1"/>
        </w:rPr>
        <w:t xml:space="preserve">●受付件数　</w:t>
      </w:r>
      <w:r w:rsidR="00CF3E40" w:rsidRPr="00CC31C4">
        <w:rPr>
          <w:rFonts w:hint="eastAsia"/>
          <w:color w:val="000000" w:themeColor="text1"/>
        </w:rPr>
        <w:t>11</w:t>
      </w:r>
      <w:r w:rsidRPr="00CC31C4">
        <w:rPr>
          <w:rFonts w:hint="eastAsia"/>
          <w:color w:val="000000" w:themeColor="text1"/>
        </w:rPr>
        <w:t>件</w:t>
      </w:r>
    </w:p>
    <w:tbl>
      <w:tblPr>
        <w:tblStyle w:val="a3"/>
        <w:tblW w:w="15446" w:type="dxa"/>
        <w:tblLook w:val="04A0" w:firstRow="1" w:lastRow="0" w:firstColumn="1" w:lastColumn="0" w:noHBand="0" w:noVBand="1"/>
      </w:tblPr>
      <w:tblGrid>
        <w:gridCol w:w="562"/>
        <w:gridCol w:w="7230"/>
        <w:gridCol w:w="7654"/>
      </w:tblGrid>
      <w:tr w:rsidR="00CC31C4" w:rsidRPr="00CC31C4" w14:paraId="61F16231" w14:textId="77777777" w:rsidTr="0099399C">
        <w:trPr>
          <w:trHeight w:val="324"/>
        </w:trPr>
        <w:tc>
          <w:tcPr>
            <w:tcW w:w="562" w:type="dxa"/>
          </w:tcPr>
          <w:p w14:paraId="1090A34D" w14:textId="77777777" w:rsidR="00961D85" w:rsidRPr="00CC31C4" w:rsidRDefault="00961D85">
            <w:pPr>
              <w:rPr>
                <w:color w:val="000000" w:themeColor="text1"/>
                <w:sz w:val="20"/>
                <w:szCs w:val="20"/>
              </w:rPr>
            </w:pPr>
          </w:p>
        </w:tc>
        <w:tc>
          <w:tcPr>
            <w:tcW w:w="7230" w:type="dxa"/>
          </w:tcPr>
          <w:p w14:paraId="17D56C36" w14:textId="77777777" w:rsidR="00961D85" w:rsidRPr="00CC31C4" w:rsidRDefault="00961D85" w:rsidP="00961D85">
            <w:pPr>
              <w:jc w:val="center"/>
              <w:rPr>
                <w:color w:val="000000" w:themeColor="text1"/>
                <w:szCs w:val="21"/>
              </w:rPr>
            </w:pPr>
            <w:r w:rsidRPr="00CC31C4">
              <w:rPr>
                <w:rFonts w:hint="eastAsia"/>
                <w:color w:val="000000" w:themeColor="text1"/>
                <w:szCs w:val="21"/>
              </w:rPr>
              <w:t>質問</w:t>
            </w:r>
          </w:p>
        </w:tc>
        <w:tc>
          <w:tcPr>
            <w:tcW w:w="7654" w:type="dxa"/>
          </w:tcPr>
          <w:p w14:paraId="71A4FFAC" w14:textId="77777777" w:rsidR="00961D85" w:rsidRPr="00CC31C4" w:rsidRDefault="00961D85" w:rsidP="00961D85">
            <w:pPr>
              <w:jc w:val="center"/>
              <w:rPr>
                <w:color w:val="000000" w:themeColor="text1"/>
                <w:szCs w:val="21"/>
              </w:rPr>
            </w:pPr>
            <w:r w:rsidRPr="00CC31C4">
              <w:rPr>
                <w:rFonts w:hint="eastAsia"/>
                <w:color w:val="000000" w:themeColor="text1"/>
                <w:szCs w:val="21"/>
              </w:rPr>
              <w:t>回答</w:t>
            </w:r>
          </w:p>
        </w:tc>
      </w:tr>
      <w:tr w:rsidR="00AC3810" w:rsidRPr="00CC31C4" w14:paraId="1325842A" w14:textId="77777777" w:rsidTr="00AC3810">
        <w:trPr>
          <w:trHeight w:val="4780"/>
        </w:trPr>
        <w:tc>
          <w:tcPr>
            <w:tcW w:w="562" w:type="dxa"/>
          </w:tcPr>
          <w:p w14:paraId="6EE6D1BC" w14:textId="5618B44D" w:rsidR="00AC3810" w:rsidRPr="00CC31C4" w:rsidRDefault="00AC3810" w:rsidP="00AC3810">
            <w:pPr>
              <w:jc w:val="center"/>
              <w:rPr>
                <w:color w:val="000000" w:themeColor="text1"/>
                <w:sz w:val="20"/>
                <w:szCs w:val="20"/>
              </w:rPr>
            </w:pPr>
            <w:r>
              <w:rPr>
                <w:rFonts w:hint="eastAsia"/>
                <w:sz w:val="20"/>
                <w:szCs w:val="20"/>
              </w:rPr>
              <w:t>１</w:t>
            </w:r>
          </w:p>
        </w:tc>
        <w:tc>
          <w:tcPr>
            <w:tcW w:w="7230" w:type="dxa"/>
          </w:tcPr>
          <w:p w14:paraId="34D23EED" w14:textId="64E55D33" w:rsidR="00AC3810" w:rsidRPr="00CF3E40" w:rsidRDefault="00AC3810" w:rsidP="00AC3810">
            <w:pPr>
              <w:rPr>
                <w:sz w:val="20"/>
                <w:szCs w:val="20"/>
              </w:rPr>
            </w:pPr>
            <w:r w:rsidRPr="00CF3E40">
              <w:rPr>
                <w:sz w:val="20"/>
                <w:szCs w:val="20"/>
              </w:rPr>
              <w:t>1月31日の説明会で、資料１の16ページ左側の「ＩＲ区域の整備の推進」について、これらの事業にかかる費用とその負担者の詳細について、この場では答えられないという回答でしたので、改めて、きっちりとご回答願います。</w:t>
            </w:r>
          </w:p>
          <w:p w14:paraId="280916BB" w14:textId="00C4C751" w:rsidR="00AC3810" w:rsidRPr="00CC31C4" w:rsidRDefault="00AC3810" w:rsidP="00AC3810">
            <w:pPr>
              <w:rPr>
                <w:color w:val="000000" w:themeColor="text1"/>
                <w:sz w:val="20"/>
                <w:szCs w:val="20"/>
              </w:rPr>
            </w:pPr>
            <w:r w:rsidRPr="00CF3E40">
              <w:rPr>
                <w:rFonts w:hint="eastAsia"/>
                <w:sz w:val="20"/>
                <w:szCs w:val="20"/>
              </w:rPr>
              <w:t>質問の回答を会場でもらっているので、改めてお願いします。</w:t>
            </w:r>
          </w:p>
        </w:tc>
        <w:tc>
          <w:tcPr>
            <w:tcW w:w="7654" w:type="dxa"/>
          </w:tcPr>
          <w:p w14:paraId="181F3144" w14:textId="77777777" w:rsidR="00AC3810" w:rsidRDefault="00AC3810" w:rsidP="000D1275">
            <w:pPr>
              <w:ind w:firstLineChars="100" w:firstLine="200"/>
              <w:rPr>
                <w:sz w:val="20"/>
                <w:szCs w:val="20"/>
              </w:rPr>
            </w:pPr>
            <w:r>
              <w:rPr>
                <w:rFonts w:hint="eastAsia"/>
                <w:sz w:val="20"/>
                <w:szCs w:val="20"/>
              </w:rPr>
              <w:t>資料１のP.16の「IR区域の整備の推進」に記載の「夢洲地区への訪問者増加等に対応したアクセス整備」にかかる費用とその負担</w:t>
            </w:r>
            <w:r w:rsidRPr="00733AC5">
              <w:rPr>
                <w:rFonts w:hint="eastAsia"/>
                <w:sz w:val="20"/>
                <w:szCs w:val="20"/>
              </w:rPr>
              <w:t>者は</w:t>
            </w:r>
            <w:r>
              <w:rPr>
                <w:rFonts w:hint="eastAsia"/>
                <w:sz w:val="20"/>
                <w:szCs w:val="20"/>
              </w:rPr>
              <w:t>、</w:t>
            </w:r>
            <w:r w:rsidRPr="00266B2C">
              <w:rPr>
                <w:rFonts w:hint="eastAsia"/>
                <w:sz w:val="20"/>
                <w:szCs w:val="20"/>
              </w:rPr>
              <w:t>現時点において、</w:t>
            </w:r>
            <w:r>
              <w:rPr>
                <w:rFonts w:hint="eastAsia"/>
                <w:sz w:val="20"/>
                <w:szCs w:val="20"/>
              </w:rPr>
              <w:t>下表のとおりとなっております。</w:t>
            </w:r>
          </w:p>
          <w:p w14:paraId="7FB1B213" w14:textId="77777777" w:rsidR="00AC3810" w:rsidRDefault="00AC3810" w:rsidP="00AC3810">
            <w:pPr>
              <w:rPr>
                <w:sz w:val="20"/>
                <w:szCs w:val="20"/>
              </w:rPr>
            </w:pPr>
          </w:p>
          <w:tbl>
            <w:tblPr>
              <w:tblW w:w="708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24"/>
              <w:gridCol w:w="913"/>
              <w:gridCol w:w="913"/>
              <w:gridCol w:w="913"/>
              <w:gridCol w:w="925"/>
            </w:tblGrid>
            <w:tr w:rsidR="00AC3810" w:rsidRPr="00EE50E7" w14:paraId="1EC95216" w14:textId="77777777" w:rsidTr="00286593">
              <w:trPr>
                <w:trHeight w:val="307"/>
              </w:trPr>
              <w:tc>
                <w:tcPr>
                  <w:tcW w:w="3424" w:type="dxa"/>
                  <w:vMerge w:val="restart"/>
                  <w:shd w:val="clear" w:color="auto" w:fill="auto"/>
                  <w:vAlign w:val="center"/>
                </w:tcPr>
                <w:p w14:paraId="5F098D55" w14:textId="77777777" w:rsidR="00AC3810" w:rsidRPr="00EE50E7" w:rsidRDefault="00AC3810" w:rsidP="00AC3810">
                  <w:pPr>
                    <w:jc w:val="center"/>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事業</w:t>
                  </w:r>
                </w:p>
              </w:tc>
              <w:tc>
                <w:tcPr>
                  <w:tcW w:w="3664" w:type="dxa"/>
                  <w:gridSpan w:val="4"/>
                  <w:shd w:val="clear" w:color="auto" w:fill="auto"/>
                  <w:noWrap/>
                  <w:vAlign w:val="center"/>
                </w:tcPr>
                <w:p w14:paraId="0C7FD2DE" w14:textId="77777777" w:rsidR="00AC3810" w:rsidRPr="00EE50E7" w:rsidRDefault="00AC3810" w:rsidP="00AC3810">
                  <w:pPr>
                    <w:widowControl/>
                    <w:jc w:val="center"/>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事業費</w:t>
                  </w:r>
                  <w:r>
                    <w:rPr>
                      <w:rFonts w:ascii="游ゴシック" w:eastAsia="游ゴシック" w:hAnsi="游ゴシック" w:cs="ＭＳ Ｐゴシック" w:hint="eastAsia"/>
                      <w:color w:val="000000"/>
                      <w:kern w:val="0"/>
                      <w:sz w:val="16"/>
                      <w:szCs w:val="16"/>
                    </w:rPr>
                    <w:t>（億円）</w:t>
                  </w:r>
                </w:p>
              </w:tc>
            </w:tr>
            <w:tr w:rsidR="00AC3810" w:rsidRPr="00EE50E7" w14:paraId="1FE55ACE" w14:textId="77777777" w:rsidTr="00286593">
              <w:trPr>
                <w:trHeight w:val="684"/>
              </w:trPr>
              <w:tc>
                <w:tcPr>
                  <w:tcW w:w="3424" w:type="dxa"/>
                  <w:vMerge/>
                  <w:shd w:val="clear" w:color="auto" w:fill="auto"/>
                  <w:vAlign w:val="center"/>
                  <w:hideMark/>
                </w:tcPr>
                <w:p w14:paraId="2C5EDBC1" w14:textId="77777777" w:rsidR="00AC3810" w:rsidRPr="00EE50E7" w:rsidRDefault="00AC3810" w:rsidP="00AC3810">
                  <w:pPr>
                    <w:widowControl/>
                    <w:jc w:val="center"/>
                    <w:rPr>
                      <w:rFonts w:ascii="游ゴシック" w:eastAsia="游ゴシック" w:hAnsi="游ゴシック" w:cs="ＭＳ Ｐゴシック"/>
                      <w:color w:val="000000"/>
                      <w:kern w:val="0"/>
                      <w:sz w:val="16"/>
                      <w:szCs w:val="16"/>
                    </w:rPr>
                  </w:pPr>
                </w:p>
              </w:tc>
              <w:tc>
                <w:tcPr>
                  <w:tcW w:w="913" w:type="dxa"/>
                  <w:shd w:val="clear" w:color="auto" w:fill="auto"/>
                  <w:noWrap/>
                  <w:vAlign w:val="center"/>
                  <w:hideMark/>
                </w:tcPr>
                <w:p w14:paraId="4E2132B6" w14:textId="77777777" w:rsidR="00AC3810" w:rsidRPr="00EE50E7" w:rsidRDefault="00AC3810" w:rsidP="00AC3810">
                  <w:pPr>
                    <w:widowControl/>
                    <w:jc w:val="center"/>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国</w:t>
                  </w:r>
                </w:p>
              </w:tc>
              <w:tc>
                <w:tcPr>
                  <w:tcW w:w="913" w:type="dxa"/>
                  <w:shd w:val="clear" w:color="auto" w:fill="auto"/>
                  <w:noWrap/>
                  <w:vAlign w:val="center"/>
                  <w:hideMark/>
                </w:tcPr>
                <w:p w14:paraId="6AA34169" w14:textId="77777777" w:rsidR="00AC3810" w:rsidRPr="00EE50E7" w:rsidRDefault="00AC3810" w:rsidP="00AC3810">
                  <w:pPr>
                    <w:widowControl/>
                    <w:jc w:val="center"/>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大阪市</w:t>
                  </w:r>
                </w:p>
              </w:tc>
              <w:tc>
                <w:tcPr>
                  <w:tcW w:w="913" w:type="dxa"/>
                  <w:tcBorders>
                    <w:right w:val="double" w:sz="4" w:space="0" w:color="auto"/>
                  </w:tcBorders>
                  <w:shd w:val="clear" w:color="auto" w:fill="auto"/>
                  <w:noWrap/>
                  <w:vAlign w:val="center"/>
                  <w:hideMark/>
                </w:tcPr>
                <w:p w14:paraId="14115C6C" w14:textId="77777777" w:rsidR="00AC3810" w:rsidRPr="00EE50E7" w:rsidRDefault="00AC3810" w:rsidP="00AC3810">
                  <w:pPr>
                    <w:jc w:val="center"/>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鉄道</w:t>
                  </w:r>
                </w:p>
                <w:p w14:paraId="791357B3" w14:textId="77777777" w:rsidR="00AC3810" w:rsidRPr="00EE50E7" w:rsidRDefault="00AC3810" w:rsidP="00AC3810">
                  <w:pPr>
                    <w:jc w:val="center"/>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事業者</w:t>
                  </w:r>
                </w:p>
              </w:tc>
              <w:tc>
                <w:tcPr>
                  <w:tcW w:w="925" w:type="dxa"/>
                  <w:tcBorders>
                    <w:left w:val="double" w:sz="4" w:space="0" w:color="auto"/>
                  </w:tcBorders>
                  <w:shd w:val="clear" w:color="auto" w:fill="auto"/>
                  <w:noWrap/>
                  <w:vAlign w:val="center"/>
                  <w:hideMark/>
                </w:tcPr>
                <w:p w14:paraId="76185E44" w14:textId="77777777" w:rsidR="00AC3810" w:rsidRPr="00EE50E7" w:rsidRDefault="00AC3810" w:rsidP="00AC3810">
                  <w:pPr>
                    <w:widowControl/>
                    <w:jc w:val="center"/>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合計</w:t>
                  </w:r>
                </w:p>
              </w:tc>
            </w:tr>
            <w:tr w:rsidR="00AC3810" w:rsidRPr="00EE50E7" w14:paraId="5D40B9BB" w14:textId="77777777" w:rsidTr="00286593">
              <w:trPr>
                <w:trHeight w:val="336"/>
              </w:trPr>
              <w:tc>
                <w:tcPr>
                  <w:tcW w:w="3424" w:type="dxa"/>
                  <w:shd w:val="clear" w:color="auto" w:fill="auto"/>
                  <w:noWrap/>
                  <w:vAlign w:val="bottom"/>
                  <w:hideMark/>
                </w:tcPr>
                <w:p w14:paraId="3CD94D4E" w14:textId="77777777" w:rsidR="00AC3810" w:rsidRPr="00EE50E7" w:rsidRDefault="00AC3810" w:rsidP="00AC3810">
                  <w:pPr>
                    <w:widowControl/>
                    <w:jc w:val="left"/>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大阪メトロ中央線の延伸</w:t>
                  </w:r>
                </w:p>
              </w:tc>
              <w:tc>
                <w:tcPr>
                  <w:tcW w:w="913" w:type="dxa"/>
                  <w:shd w:val="clear" w:color="auto" w:fill="auto"/>
                  <w:noWrap/>
                  <w:vAlign w:val="center"/>
                  <w:hideMark/>
                </w:tcPr>
                <w:p w14:paraId="77777336" w14:textId="77777777" w:rsidR="00AC3810" w:rsidRPr="00EE50E7" w:rsidRDefault="00AC3810" w:rsidP="00AC3810">
                  <w:pPr>
                    <w:widowControl/>
                    <w:jc w:val="right"/>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88</w:t>
                  </w:r>
                </w:p>
              </w:tc>
              <w:tc>
                <w:tcPr>
                  <w:tcW w:w="913" w:type="dxa"/>
                  <w:shd w:val="clear" w:color="auto" w:fill="auto"/>
                  <w:noWrap/>
                  <w:vAlign w:val="center"/>
                </w:tcPr>
                <w:p w14:paraId="3C8BE291" w14:textId="77777777" w:rsidR="00AC3810" w:rsidRPr="00EE50E7" w:rsidRDefault="00AC3810" w:rsidP="00AC3810">
                  <w:pPr>
                    <w:widowControl/>
                    <w:jc w:val="right"/>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3</w:t>
                  </w:r>
                  <w:r w:rsidRPr="00EE50E7">
                    <w:rPr>
                      <w:rFonts w:ascii="游ゴシック" w:eastAsia="游ゴシック" w:hAnsi="游ゴシック" w:cs="ＭＳ Ｐゴシック"/>
                      <w:color w:val="000000"/>
                      <w:kern w:val="0"/>
                      <w:sz w:val="16"/>
                      <w:szCs w:val="16"/>
                    </w:rPr>
                    <w:t>62</w:t>
                  </w:r>
                </w:p>
              </w:tc>
              <w:tc>
                <w:tcPr>
                  <w:tcW w:w="913" w:type="dxa"/>
                  <w:tcBorders>
                    <w:right w:val="double" w:sz="4" w:space="0" w:color="auto"/>
                  </w:tcBorders>
                  <w:shd w:val="clear" w:color="auto" w:fill="auto"/>
                  <w:noWrap/>
                  <w:vAlign w:val="center"/>
                  <w:hideMark/>
                </w:tcPr>
                <w:p w14:paraId="5D7FA991" w14:textId="77777777" w:rsidR="00AC3810" w:rsidRPr="00EE50E7" w:rsidRDefault="00AC3810" w:rsidP="00AC3810">
                  <w:pPr>
                    <w:widowControl/>
                    <w:jc w:val="right"/>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160</w:t>
                  </w:r>
                </w:p>
              </w:tc>
              <w:tc>
                <w:tcPr>
                  <w:tcW w:w="925" w:type="dxa"/>
                  <w:tcBorders>
                    <w:left w:val="double" w:sz="4" w:space="0" w:color="auto"/>
                  </w:tcBorders>
                  <w:shd w:val="clear" w:color="auto" w:fill="auto"/>
                  <w:noWrap/>
                  <w:vAlign w:val="bottom"/>
                  <w:hideMark/>
                </w:tcPr>
                <w:p w14:paraId="0599182A" w14:textId="77777777" w:rsidR="00AC3810" w:rsidRPr="00EE50E7" w:rsidRDefault="00AC3810" w:rsidP="00AC3810">
                  <w:pPr>
                    <w:widowControl/>
                    <w:jc w:val="right"/>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610</w:t>
                  </w:r>
                </w:p>
              </w:tc>
            </w:tr>
            <w:tr w:rsidR="00AC3810" w:rsidRPr="00EE50E7" w14:paraId="5687A6C8" w14:textId="77777777" w:rsidTr="00286593">
              <w:trPr>
                <w:trHeight w:val="336"/>
              </w:trPr>
              <w:tc>
                <w:tcPr>
                  <w:tcW w:w="3424" w:type="dxa"/>
                  <w:shd w:val="clear" w:color="auto" w:fill="auto"/>
                  <w:noWrap/>
                  <w:vAlign w:val="bottom"/>
                  <w:hideMark/>
                </w:tcPr>
                <w:p w14:paraId="172216CC" w14:textId="77777777" w:rsidR="00AC3810" w:rsidRPr="00EE50E7" w:rsidRDefault="00AC3810" w:rsidP="00AC3810">
                  <w:pPr>
                    <w:widowControl/>
                    <w:jc w:val="left"/>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外周道路・交通広場の整備</w:t>
                  </w:r>
                </w:p>
              </w:tc>
              <w:tc>
                <w:tcPr>
                  <w:tcW w:w="913" w:type="dxa"/>
                  <w:shd w:val="clear" w:color="auto" w:fill="auto"/>
                  <w:noWrap/>
                  <w:vAlign w:val="center"/>
                  <w:hideMark/>
                </w:tcPr>
                <w:p w14:paraId="11D15E1D" w14:textId="77777777" w:rsidR="00AC3810" w:rsidRPr="00EE50E7" w:rsidRDefault="00AC3810" w:rsidP="00AC3810">
                  <w:pPr>
                    <w:widowControl/>
                    <w:jc w:val="right"/>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 xml:space="preserve">　</w:t>
                  </w:r>
                </w:p>
              </w:tc>
              <w:tc>
                <w:tcPr>
                  <w:tcW w:w="913" w:type="dxa"/>
                  <w:shd w:val="clear" w:color="auto" w:fill="auto"/>
                  <w:noWrap/>
                  <w:vAlign w:val="center"/>
                </w:tcPr>
                <w:p w14:paraId="28143562" w14:textId="77777777" w:rsidR="00AC3810" w:rsidRPr="00EE50E7" w:rsidRDefault="00AC3810" w:rsidP="00AC3810">
                  <w:pPr>
                    <w:widowControl/>
                    <w:jc w:val="right"/>
                    <w:rPr>
                      <w:rFonts w:ascii="游ゴシック" w:eastAsia="游ゴシック" w:hAnsi="游ゴシック" w:cs="ＭＳ Ｐゴシック"/>
                      <w:color w:val="000000"/>
                      <w:kern w:val="0"/>
                      <w:sz w:val="16"/>
                      <w:szCs w:val="16"/>
                    </w:rPr>
                  </w:pPr>
                  <w:r w:rsidRPr="00266B2C">
                    <w:rPr>
                      <w:rFonts w:ascii="游ゴシック" w:eastAsia="游ゴシック" w:hAnsi="游ゴシック" w:cs="ＭＳ Ｐゴシック" w:hint="eastAsia"/>
                      <w:color w:val="000000"/>
                      <w:kern w:val="0"/>
                      <w:sz w:val="16"/>
                      <w:szCs w:val="16"/>
                    </w:rPr>
                    <w:t>49</w:t>
                  </w:r>
                </w:p>
              </w:tc>
              <w:tc>
                <w:tcPr>
                  <w:tcW w:w="913" w:type="dxa"/>
                  <w:tcBorders>
                    <w:right w:val="double" w:sz="4" w:space="0" w:color="auto"/>
                  </w:tcBorders>
                  <w:shd w:val="clear" w:color="auto" w:fill="auto"/>
                  <w:noWrap/>
                  <w:vAlign w:val="center"/>
                  <w:hideMark/>
                </w:tcPr>
                <w:p w14:paraId="2A50C8F2" w14:textId="77777777" w:rsidR="00AC3810" w:rsidRPr="00EE50E7" w:rsidRDefault="00AC3810" w:rsidP="00AC3810">
                  <w:pPr>
                    <w:widowControl/>
                    <w:jc w:val="right"/>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 xml:space="preserve">　</w:t>
                  </w:r>
                </w:p>
              </w:tc>
              <w:tc>
                <w:tcPr>
                  <w:tcW w:w="925" w:type="dxa"/>
                  <w:tcBorders>
                    <w:left w:val="double" w:sz="4" w:space="0" w:color="auto"/>
                  </w:tcBorders>
                  <w:shd w:val="clear" w:color="auto" w:fill="auto"/>
                  <w:noWrap/>
                  <w:vAlign w:val="bottom"/>
                  <w:hideMark/>
                </w:tcPr>
                <w:p w14:paraId="7839A54E" w14:textId="77777777" w:rsidR="00AC3810" w:rsidRPr="00EE50E7" w:rsidRDefault="00AC3810" w:rsidP="00AC3810">
                  <w:pPr>
                    <w:widowControl/>
                    <w:jc w:val="right"/>
                    <w:rPr>
                      <w:rFonts w:ascii="游ゴシック" w:eastAsia="游ゴシック" w:hAnsi="游ゴシック" w:cs="ＭＳ Ｐゴシック"/>
                      <w:color w:val="000000"/>
                      <w:kern w:val="0"/>
                      <w:sz w:val="16"/>
                      <w:szCs w:val="16"/>
                    </w:rPr>
                  </w:pPr>
                  <w:r w:rsidRPr="00266B2C">
                    <w:rPr>
                      <w:rFonts w:ascii="游ゴシック" w:eastAsia="游ゴシック" w:hAnsi="游ゴシック" w:cs="ＭＳ Ｐゴシック" w:hint="eastAsia"/>
                      <w:color w:val="000000"/>
                      <w:kern w:val="0"/>
                      <w:sz w:val="16"/>
                      <w:szCs w:val="16"/>
                    </w:rPr>
                    <w:t>49</w:t>
                  </w:r>
                </w:p>
              </w:tc>
            </w:tr>
            <w:tr w:rsidR="00AC3810" w:rsidRPr="00EE50E7" w14:paraId="271C7C2F" w14:textId="77777777" w:rsidTr="00286593">
              <w:trPr>
                <w:trHeight w:val="336"/>
              </w:trPr>
              <w:tc>
                <w:tcPr>
                  <w:tcW w:w="3424" w:type="dxa"/>
                  <w:shd w:val="clear" w:color="auto" w:fill="auto"/>
                  <w:noWrap/>
                  <w:vAlign w:val="bottom"/>
                  <w:hideMark/>
                </w:tcPr>
                <w:p w14:paraId="2D1633D4" w14:textId="77777777" w:rsidR="00AC3810" w:rsidRPr="00EE50E7" w:rsidRDefault="00AC3810" w:rsidP="00AC3810">
                  <w:pPr>
                    <w:widowControl/>
                    <w:jc w:val="left"/>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高架道路の整備(観光・物流動線の分離)</w:t>
                  </w:r>
                </w:p>
              </w:tc>
              <w:tc>
                <w:tcPr>
                  <w:tcW w:w="913" w:type="dxa"/>
                  <w:shd w:val="clear" w:color="auto" w:fill="auto"/>
                  <w:noWrap/>
                  <w:vAlign w:val="center"/>
                  <w:hideMark/>
                </w:tcPr>
                <w:p w14:paraId="47CF1871" w14:textId="77777777" w:rsidR="00AC3810" w:rsidRPr="00EE50E7" w:rsidRDefault="00AC3810" w:rsidP="00AC3810">
                  <w:pPr>
                    <w:widowControl/>
                    <w:jc w:val="right"/>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 xml:space="preserve">　</w:t>
                  </w:r>
                </w:p>
              </w:tc>
              <w:tc>
                <w:tcPr>
                  <w:tcW w:w="913" w:type="dxa"/>
                  <w:shd w:val="clear" w:color="auto" w:fill="auto"/>
                  <w:noWrap/>
                  <w:vAlign w:val="center"/>
                </w:tcPr>
                <w:p w14:paraId="6EE98B61" w14:textId="77777777" w:rsidR="00AC3810" w:rsidRPr="00EE50E7" w:rsidRDefault="00AC3810" w:rsidP="00AC3810">
                  <w:pPr>
                    <w:widowControl/>
                    <w:jc w:val="right"/>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98</w:t>
                  </w:r>
                </w:p>
              </w:tc>
              <w:tc>
                <w:tcPr>
                  <w:tcW w:w="913" w:type="dxa"/>
                  <w:tcBorders>
                    <w:right w:val="double" w:sz="4" w:space="0" w:color="auto"/>
                  </w:tcBorders>
                  <w:shd w:val="clear" w:color="auto" w:fill="auto"/>
                  <w:noWrap/>
                  <w:vAlign w:val="center"/>
                  <w:hideMark/>
                </w:tcPr>
                <w:p w14:paraId="1094EA66" w14:textId="77777777" w:rsidR="00AC3810" w:rsidRPr="00EE50E7" w:rsidRDefault="00AC3810" w:rsidP="00AC3810">
                  <w:pPr>
                    <w:widowControl/>
                    <w:jc w:val="right"/>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 xml:space="preserve">　</w:t>
                  </w:r>
                </w:p>
              </w:tc>
              <w:tc>
                <w:tcPr>
                  <w:tcW w:w="925" w:type="dxa"/>
                  <w:tcBorders>
                    <w:left w:val="double" w:sz="4" w:space="0" w:color="auto"/>
                  </w:tcBorders>
                  <w:shd w:val="clear" w:color="auto" w:fill="auto"/>
                  <w:noWrap/>
                  <w:vAlign w:val="bottom"/>
                  <w:hideMark/>
                </w:tcPr>
                <w:p w14:paraId="3BF0FCBC" w14:textId="77777777" w:rsidR="00AC3810" w:rsidRPr="00EE50E7" w:rsidRDefault="00AC3810" w:rsidP="00AC3810">
                  <w:pPr>
                    <w:widowControl/>
                    <w:jc w:val="right"/>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98</w:t>
                  </w:r>
                </w:p>
              </w:tc>
            </w:tr>
            <w:tr w:rsidR="00AC3810" w:rsidRPr="00EE50E7" w14:paraId="25C8D069" w14:textId="77777777" w:rsidTr="00286593">
              <w:trPr>
                <w:trHeight w:val="336"/>
              </w:trPr>
              <w:tc>
                <w:tcPr>
                  <w:tcW w:w="3424" w:type="dxa"/>
                  <w:shd w:val="clear" w:color="auto" w:fill="auto"/>
                  <w:noWrap/>
                  <w:vAlign w:val="bottom"/>
                  <w:hideMark/>
                </w:tcPr>
                <w:p w14:paraId="0AD4E048" w14:textId="77777777" w:rsidR="00AC3810" w:rsidRPr="00EE50E7" w:rsidRDefault="00AC3810" w:rsidP="00AC3810">
                  <w:pPr>
                    <w:widowControl/>
                    <w:jc w:val="left"/>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此花大橋・夢舞大橋の車線数拡張</w:t>
                  </w:r>
                </w:p>
              </w:tc>
              <w:tc>
                <w:tcPr>
                  <w:tcW w:w="913" w:type="dxa"/>
                  <w:shd w:val="clear" w:color="auto" w:fill="auto"/>
                  <w:noWrap/>
                  <w:vAlign w:val="center"/>
                  <w:hideMark/>
                </w:tcPr>
                <w:p w14:paraId="23ACEF64" w14:textId="77777777" w:rsidR="00AC3810" w:rsidRPr="00733AC5" w:rsidRDefault="00AC3810" w:rsidP="00AC3810">
                  <w:pPr>
                    <w:widowControl/>
                    <w:jc w:val="right"/>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35</w:t>
                  </w:r>
                </w:p>
              </w:tc>
              <w:tc>
                <w:tcPr>
                  <w:tcW w:w="913" w:type="dxa"/>
                  <w:shd w:val="clear" w:color="auto" w:fill="auto"/>
                  <w:noWrap/>
                  <w:vAlign w:val="center"/>
                </w:tcPr>
                <w:p w14:paraId="3C68A2E0" w14:textId="77777777" w:rsidR="00AC3810" w:rsidRPr="00733AC5" w:rsidRDefault="00AC3810" w:rsidP="00AC3810">
                  <w:pPr>
                    <w:widowControl/>
                    <w:jc w:val="right"/>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44</w:t>
                  </w:r>
                </w:p>
              </w:tc>
              <w:tc>
                <w:tcPr>
                  <w:tcW w:w="913" w:type="dxa"/>
                  <w:tcBorders>
                    <w:right w:val="double" w:sz="4" w:space="0" w:color="auto"/>
                  </w:tcBorders>
                  <w:shd w:val="clear" w:color="auto" w:fill="auto"/>
                  <w:noWrap/>
                  <w:vAlign w:val="center"/>
                  <w:hideMark/>
                </w:tcPr>
                <w:p w14:paraId="153D3329" w14:textId="77777777" w:rsidR="00AC3810" w:rsidRPr="00733AC5" w:rsidRDefault="00AC3810" w:rsidP="00AC3810">
                  <w:pPr>
                    <w:widowControl/>
                    <w:jc w:val="right"/>
                    <w:rPr>
                      <w:rFonts w:ascii="游ゴシック" w:eastAsia="游ゴシック" w:hAnsi="游ゴシック" w:cs="ＭＳ Ｐゴシック"/>
                      <w:kern w:val="0"/>
                      <w:sz w:val="16"/>
                      <w:szCs w:val="16"/>
                    </w:rPr>
                  </w:pPr>
                  <w:r w:rsidRPr="00733AC5">
                    <w:rPr>
                      <w:rFonts w:ascii="游ゴシック" w:eastAsia="游ゴシック" w:hAnsi="游ゴシック" w:cs="ＭＳ Ｐゴシック" w:hint="eastAsia"/>
                      <w:kern w:val="0"/>
                      <w:sz w:val="16"/>
                      <w:szCs w:val="16"/>
                    </w:rPr>
                    <w:t xml:space="preserve">　</w:t>
                  </w:r>
                </w:p>
              </w:tc>
              <w:tc>
                <w:tcPr>
                  <w:tcW w:w="925" w:type="dxa"/>
                  <w:tcBorders>
                    <w:left w:val="double" w:sz="4" w:space="0" w:color="auto"/>
                  </w:tcBorders>
                  <w:shd w:val="clear" w:color="auto" w:fill="auto"/>
                  <w:noWrap/>
                  <w:vAlign w:val="bottom"/>
                  <w:hideMark/>
                </w:tcPr>
                <w:p w14:paraId="67E05FD1" w14:textId="77777777" w:rsidR="00AC3810" w:rsidRPr="00733AC5" w:rsidRDefault="00AC3810" w:rsidP="00AC3810">
                  <w:pPr>
                    <w:widowControl/>
                    <w:jc w:val="right"/>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79</w:t>
                  </w:r>
                </w:p>
              </w:tc>
            </w:tr>
            <w:tr w:rsidR="00AC3810" w:rsidRPr="00EE50E7" w14:paraId="45A45ED0" w14:textId="77777777" w:rsidTr="00286593">
              <w:trPr>
                <w:trHeight w:val="336"/>
              </w:trPr>
              <w:tc>
                <w:tcPr>
                  <w:tcW w:w="3424" w:type="dxa"/>
                  <w:shd w:val="clear" w:color="auto" w:fill="auto"/>
                  <w:noWrap/>
                  <w:vAlign w:val="bottom"/>
                  <w:hideMark/>
                </w:tcPr>
                <w:p w14:paraId="23F00CCF" w14:textId="77777777" w:rsidR="00AC3810" w:rsidRPr="00EE50E7" w:rsidRDefault="00AC3810" w:rsidP="00AC3810">
                  <w:pPr>
                    <w:widowControl/>
                    <w:jc w:val="left"/>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海上アクセス拠点として浮桟橋の整備</w:t>
                  </w:r>
                </w:p>
              </w:tc>
              <w:tc>
                <w:tcPr>
                  <w:tcW w:w="913" w:type="dxa"/>
                  <w:shd w:val="clear" w:color="auto" w:fill="auto"/>
                  <w:noWrap/>
                  <w:vAlign w:val="center"/>
                  <w:hideMark/>
                </w:tcPr>
                <w:p w14:paraId="4B2831AC" w14:textId="77777777" w:rsidR="00AC3810" w:rsidRPr="00EE50E7" w:rsidRDefault="00AC3810" w:rsidP="00AC3810">
                  <w:pPr>
                    <w:widowControl/>
                    <w:jc w:val="right"/>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7</w:t>
                  </w:r>
                </w:p>
              </w:tc>
              <w:tc>
                <w:tcPr>
                  <w:tcW w:w="913" w:type="dxa"/>
                  <w:shd w:val="clear" w:color="auto" w:fill="auto"/>
                  <w:noWrap/>
                  <w:vAlign w:val="center"/>
                </w:tcPr>
                <w:p w14:paraId="60067078" w14:textId="77777777" w:rsidR="00AC3810" w:rsidRPr="00EE50E7" w:rsidRDefault="00AC3810" w:rsidP="00AC3810">
                  <w:pPr>
                    <w:widowControl/>
                    <w:jc w:val="right"/>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 xml:space="preserve">　1</w:t>
                  </w:r>
                  <w:r w:rsidRPr="00EE50E7">
                    <w:rPr>
                      <w:rFonts w:ascii="游ゴシック" w:eastAsia="游ゴシック" w:hAnsi="游ゴシック" w:cs="ＭＳ Ｐゴシック"/>
                      <w:color w:val="000000"/>
                      <w:kern w:val="0"/>
                      <w:sz w:val="16"/>
                      <w:szCs w:val="16"/>
                    </w:rPr>
                    <w:t>0</w:t>
                  </w:r>
                </w:p>
              </w:tc>
              <w:tc>
                <w:tcPr>
                  <w:tcW w:w="913" w:type="dxa"/>
                  <w:tcBorders>
                    <w:right w:val="double" w:sz="4" w:space="0" w:color="auto"/>
                  </w:tcBorders>
                  <w:shd w:val="clear" w:color="auto" w:fill="auto"/>
                  <w:noWrap/>
                  <w:vAlign w:val="center"/>
                  <w:hideMark/>
                </w:tcPr>
                <w:p w14:paraId="72159564" w14:textId="77777777" w:rsidR="00AC3810" w:rsidRPr="00EE50E7" w:rsidRDefault="00AC3810" w:rsidP="00AC3810">
                  <w:pPr>
                    <w:widowControl/>
                    <w:jc w:val="right"/>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 xml:space="preserve">　</w:t>
                  </w:r>
                </w:p>
              </w:tc>
              <w:tc>
                <w:tcPr>
                  <w:tcW w:w="925" w:type="dxa"/>
                  <w:tcBorders>
                    <w:left w:val="double" w:sz="4" w:space="0" w:color="auto"/>
                  </w:tcBorders>
                  <w:shd w:val="clear" w:color="auto" w:fill="auto"/>
                  <w:noWrap/>
                  <w:vAlign w:val="bottom"/>
                  <w:hideMark/>
                </w:tcPr>
                <w:p w14:paraId="41110973" w14:textId="77777777" w:rsidR="00AC3810" w:rsidRPr="00EE50E7" w:rsidRDefault="00AC3810" w:rsidP="00AC3810">
                  <w:pPr>
                    <w:widowControl/>
                    <w:jc w:val="right"/>
                    <w:rPr>
                      <w:rFonts w:ascii="游ゴシック" w:eastAsia="游ゴシック" w:hAnsi="游ゴシック" w:cs="ＭＳ Ｐゴシック"/>
                      <w:color w:val="000000"/>
                      <w:kern w:val="0"/>
                      <w:sz w:val="16"/>
                      <w:szCs w:val="16"/>
                    </w:rPr>
                  </w:pPr>
                  <w:r w:rsidRPr="00EE50E7">
                    <w:rPr>
                      <w:rFonts w:ascii="游ゴシック" w:eastAsia="游ゴシック" w:hAnsi="游ゴシック" w:cs="ＭＳ Ｐゴシック" w:hint="eastAsia"/>
                      <w:color w:val="000000"/>
                      <w:kern w:val="0"/>
                      <w:sz w:val="16"/>
                      <w:szCs w:val="16"/>
                    </w:rPr>
                    <w:t>17</w:t>
                  </w:r>
                </w:p>
              </w:tc>
            </w:tr>
          </w:tbl>
          <w:p w14:paraId="7FB9BA1A" w14:textId="77777777" w:rsidR="00AC3810" w:rsidRPr="001D6408" w:rsidRDefault="00AC3810" w:rsidP="00AC3810">
            <w:pPr>
              <w:rPr>
                <w:sz w:val="20"/>
                <w:szCs w:val="20"/>
              </w:rPr>
            </w:pPr>
          </w:p>
        </w:tc>
      </w:tr>
      <w:tr w:rsidR="00AC3810" w:rsidRPr="00CC31C4" w14:paraId="696444CF" w14:textId="77777777" w:rsidTr="0099399C">
        <w:trPr>
          <w:trHeight w:val="1113"/>
        </w:trPr>
        <w:tc>
          <w:tcPr>
            <w:tcW w:w="562" w:type="dxa"/>
          </w:tcPr>
          <w:p w14:paraId="2FD42E92" w14:textId="3BFA09CE" w:rsidR="00AC3810" w:rsidRPr="00CC31C4" w:rsidRDefault="00AC3810" w:rsidP="00AC3810">
            <w:pPr>
              <w:jc w:val="center"/>
              <w:rPr>
                <w:color w:val="000000" w:themeColor="text1"/>
                <w:sz w:val="20"/>
                <w:szCs w:val="20"/>
              </w:rPr>
            </w:pPr>
            <w:r w:rsidRPr="00CC31C4">
              <w:rPr>
                <w:rFonts w:hint="eastAsia"/>
                <w:color w:val="000000" w:themeColor="text1"/>
                <w:sz w:val="20"/>
                <w:szCs w:val="20"/>
              </w:rPr>
              <w:t>２</w:t>
            </w:r>
          </w:p>
        </w:tc>
        <w:tc>
          <w:tcPr>
            <w:tcW w:w="7230" w:type="dxa"/>
          </w:tcPr>
          <w:p w14:paraId="21244312" w14:textId="77777777" w:rsidR="00AC3810" w:rsidRPr="00CC31C4" w:rsidRDefault="00AC3810" w:rsidP="00AC3810">
            <w:pPr>
              <w:rPr>
                <w:color w:val="000000" w:themeColor="text1"/>
                <w:sz w:val="20"/>
                <w:szCs w:val="20"/>
              </w:rPr>
            </w:pPr>
            <w:r w:rsidRPr="00CC31C4">
              <w:rPr>
                <w:rFonts w:hint="eastAsia"/>
                <w:color w:val="000000" w:themeColor="text1"/>
                <w:sz w:val="20"/>
                <w:szCs w:val="20"/>
              </w:rPr>
              <w:t>・本社、大阪府・大阪市で株式会社設立するところ、会社を立ち上げるのに「社長」が決まっていないのはおかしくないですか？誰が何のためにすることなのですか？</w:t>
            </w:r>
          </w:p>
          <w:p w14:paraId="7A0B6B41" w14:textId="072DC9D5" w:rsidR="00AC3810" w:rsidRPr="00CC31C4" w:rsidRDefault="00AC3810" w:rsidP="00AC3810">
            <w:pPr>
              <w:rPr>
                <w:color w:val="000000" w:themeColor="text1"/>
                <w:sz w:val="20"/>
                <w:szCs w:val="20"/>
              </w:rPr>
            </w:pPr>
            <w:r w:rsidRPr="00CC31C4">
              <w:rPr>
                <w:rFonts w:hint="eastAsia"/>
                <w:color w:val="000000" w:themeColor="text1"/>
                <w:sz w:val="20"/>
                <w:szCs w:val="20"/>
              </w:rPr>
              <w:t>・税金の法人税、個人の市民府民税を投入いくらして、いくら回収できるか、</w:t>
            </w:r>
            <w:r w:rsidRPr="00CC31C4">
              <w:rPr>
                <w:color w:val="000000" w:themeColor="text1"/>
                <w:sz w:val="20"/>
                <w:szCs w:val="20"/>
              </w:rPr>
              <w:t>P.15の右側の具体的な金額の提示と毎年いくら投資できたのか、報告して下さいますか？</w:t>
            </w:r>
          </w:p>
        </w:tc>
        <w:tc>
          <w:tcPr>
            <w:tcW w:w="7654" w:type="dxa"/>
          </w:tcPr>
          <w:p w14:paraId="06E39B5E" w14:textId="52598D75" w:rsidR="00AC3810" w:rsidRPr="001D6408" w:rsidRDefault="00AC3810" w:rsidP="00AC3810">
            <w:pPr>
              <w:rPr>
                <w:sz w:val="20"/>
                <w:szCs w:val="20"/>
              </w:rPr>
            </w:pPr>
            <w:r w:rsidRPr="001D6408">
              <w:rPr>
                <w:rFonts w:hint="eastAsia"/>
                <w:sz w:val="20"/>
                <w:szCs w:val="20"/>
              </w:rPr>
              <w:t xml:space="preserve">　大阪IR株式会社の代表取締役は、エドワード・バウワーズ氏及び、高橋</w:t>
            </w:r>
            <w:r w:rsidRPr="001D6408">
              <w:rPr>
                <w:sz w:val="20"/>
                <w:szCs w:val="20"/>
              </w:rPr>
              <w:t>豊典</w:t>
            </w:r>
            <w:r w:rsidRPr="001D6408">
              <w:rPr>
                <w:rFonts w:hint="eastAsia"/>
                <w:sz w:val="20"/>
                <w:szCs w:val="20"/>
              </w:rPr>
              <w:t>氏です。</w:t>
            </w:r>
          </w:p>
          <w:p w14:paraId="64CC0CDC" w14:textId="77777777" w:rsidR="00AC3810" w:rsidRPr="001D6408" w:rsidRDefault="00AC3810" w:rsidP="00AC3810">
            <w:pPr>
              <w:ind w:firstLineChars="100" w:firstLine="200"/>
              <w:rPr>
                <w:sz w:val="20"/>
                <w:szCs w:val="20"/>
              </w:rPr>
            </w:pPr>
            <w:r w:rsidRPr="001D6408">
              <w:rPr>
                <w:sz w:val="20"/>
                <w:szCs w:val="20"/>
              </w:rPr>
              <w:t>IRは民設民営事業であり、IR事業そのものに対して税を投じるものではありません。</w:t>
            </w:r>
          </w:p>
          <w:p w14:paraId="0316381B" w14:textId="77777777" w:rsidR="00AC3810" w:rsidRPr="001D6408" w:rsidRDefault="00AC3810" w:rsidP="00AC3810">
            <w:pPr>
              <w:ind w:firstLineChars="100" w:firstLine="200"/>
              <w:rPr>
                <w:sz w:val="20"/>
                <w:szCs w:val="20"/>
              </w:rPr>
            </w:pPr>
            <w:r w:rsidRPr="001D6408">
              <w:rPr>
                <w:rFonts w:hint="eastAsia"/>
                <w:sz w:val="20"/>
                <w:szCs w:val="20"/>
              </w:rPr>
              <w:t>納付金・入場料の使途については、府市として取り組むべきギャンブル等依存症対策や警察力の強化、消防力強化等への必要経費として約</w:t>
            </w:r>
            <w:r w:rsidRPr="001D6408">
              <w:rPr>
                <w:sz w:val="20"/>
                <w:szCs w:val="20"/>
              </w:rPr>
              <w:t>55億円を充当したうえで、夢洲及び夢洲周辺の魅力向上や観光・地域経済の振興、子育て、教育環境の充実、健康・医療、文化芸術の振興など、市民の暮らしの充実、次の成長に向けた投資に活用することとしております。</w:t>
            </w:r>
          </w:p>
          <w:p w14:paraId="231EA31D" w14:textId="067311AB" w:rsidR="00AC3810" w:rsidRPr="001D6408" w:rsidRDefault="00AC3810" w:rsidP="00A03EE5">
            <w:pPr>
              <w:ind w:firstLineChars="100" w:firstLine="200"/>
              <w:rPr>
                <w:color w:val="000000" w:themeColor="text1"/>
                <w:sz w:val="20"/>
                <w:szCs w:val="20"/>
              </w:rPr>
            </w:pPr>
            <w:r w:rsidRPr="001D6408">
              <w:rPr>
                <w:rFonts w:hint="eastAsia"/>
                <w:sz w:val="20"/>
                <w:szCs w:val="20"/>
              </w:rPr>
              <w:t>納付金等の活用にあたっては、今後、関係部局と連携を行い、府民・市民にも分かりやすい形となるようなスキームについて、検討していきます。</w:t>
            </w:r>
          </w:p>
        </w:tc>
      </w:tr>
      <w:tr w:rsidR="00AC3810" w:rsidRPr="00CC31C4" w14:paraId="457E10B1" w14:textId="77777777" w:rsidTr="003A6C6D">
        <w:trPr>
          <w:trHeight w:val="3251"/>
        </w:trPr>
        <w:tc>
          <w:tcPr>
            <w:tcW w:w="562" w:type="dxa"/>
          </w:tcPr>
          <w:p w14:paraId="53A82E0F" w14:textId="01E98B08" w:rsidR="00AC3810" w:rsidRPr="00CC31C4" w:rsidRDefault="00AC3810" w:rsidP="00AC3810">
            <w:pPr>
              <w:jc w:val="center"/>
              <w:rPr>
                <w:color w:val="000000" w:themeColor="text1"/>
                <w:sz w:val="20"/>
                <w:szCs w:val="20"/>
              </w:rPr>
            </w:pPr>
            <w:r w:rsidRPr="00CC31C4">
              <w:rPr>
                <w:rFonts w:hint="eastAsia"/>
                <w:color w:val="000000" w:themeColor="text1"/>
                <w:sz w:val="20"/>
                <w:szCs w:val="20"/>
              </w:rPr>
              <w:lastRenderedPageBreak/>
              <w:t>３</w:t>
            </w:r>
          </w:p>
        </w:tc>
        <w:tc>
          <w:tcPr>
            <w:tcW w:w="7230" w:type="dxa"/>
          </w:tcPr>
          <w:p w14:paraId="75FBD461" w14:textId="4AAA1338" w:rsidR="00AC3810" w:rsidRPr="00CC31C4" w:rsidRDefault="00AC3810" w:rsidP="00AC3810">
            <w:pPr>
              <w:rPr>
                <w:color w:val="000000" w:themeColor="text1"/>
                <w:sz w:val="20"/>
                <w:szCs w:val="20"/>
              </w:rPr>
            </w:pPr>
            <w:r w:rsidRPr="00CC31C4">
              <w:rPr>
                <w:rFonts w:hint="eastAsia"/>
                <w:color w:val="000000" w:themeColor="text1"/>
                <w:sz w:val="20"/>
                <w:szCs w:val="20"/>
              </w:rPr>
              <w:t>そもそも夢洲で万博・ＩＲ計画が間違った計画だと、現実を見て欲しい。無理に進めて、大災害・事故が起こった時に想定外などの言い訳など許せません。責任者は誰ですか？</w:t>
            </w:r>
          </w:p>
        </w:tc>
        <w:tc>
          <w:tcPr>
            <w:tcW w:w="7654" w:type="dxa"/>
          </w:tcPr>
          <w:p w14:paraId="5C38CB62" w14:textId="77777777" w:rsidR="00AC3810" w:rsidRPr="001D6408" w:rsidRDefault="00AC3810" w:rsidP="00AC3810">
            <w:pPr>
              <w:rPr>
                <w:color w:val="000000" w:themeColor="text1"/>
                <w:sz w:val="20"/>
                <w:szCs w:val="20"/>
              </w:rPr>
            </w:pPr>
            <w:r w:rsidRPr="001D6408">
              <w:rPr>
                <w:rFonts w:hint="eastAsia"/>
                <w:sz w:val="20"/>
                <w:szCs w:val="20"/>
              </w:rPr>
              <w:t xml:space="preserve">　</w:t>
            </w:r>
            <w:r w:rsidRPr="001D6408">
              <w:rPr>
                <w:rFonts w:hint="eastAsia"/>
                <w:color w:val="000000" w:themeColor="text1"/>
                <w:sz w:val="20"/>
                <w:szCs w:val="20"/>
              </w:rPr>
              <w:t>夢洲へのアクセスルートとなる夢咲トンネルや夢舞大橋は、南海トラフ巨大地震に対する耐震性を確保しています。</w:t>
            </w:r>
          </w:p>
          <w:p w14:paraId="590F92C2" w14:textId="09DF5523" w:rsidR="00AC3810" w:rsidRPr="001D6408" w:rsidRDefault="00AC3810" w:rsidP="00AC3810">
            <w:pPr>
              <w:rPr>
                <w:color w:val="000000" w:themeColor="text1"/>
                <w:sz w:val="20"/>
                <w:szCs w:val="20"/>
              </w:rPr>
            </w:pPr>
            <w:r w:rsidRPr="001D6408">
              <w:rPr>
                <w:rFonts w:hint="eastAsia"/>
                <w:color w:val="000000" w:themeColor="text1"/>
                <w:sz w:val="20"/>
                <w:szCs w:val="20"/>
              </w:rPr>
              <w:t xml:space="preserve">　なお、ＩＲ事業者においても、重要施設の耐震性確保やエネルギー自立対策など、防災・減災対策に取り組む等、夢洲における安心・安全な国際観光拠点の実現に向け、必要かつ十分な防災対策を実施していきます。</w:t>
            </w:r>
          </w:p>
        </w:tc>
      </w:tr>
      <w:tr w:rsidR="00AC3810" w:rsidRPr="00CC31C4" w14:paraId="319C8FE0" w14:textId="77777777" w:rsidTr="003A6C6D">
        <w:trPr>
          <w:trHeight w:val="1985"/>
        </w:trPr>
        <w:tc>
          <w:tcPr>
            <w:tcW w:w="562" w:type="dxa"/>
          </w:tcPr>
          <w:p w14:paraId="320D1FB7" w14:textId="15D88C4D" w:rsidR="00AC3810" w:rsidRPr="00CC31C4" w:rsidRDefault="00AC3810" w:rsidP="00AC3810">
            <w:pPr>
              <w:jc w:val="center"/>
              <w:rPr>
                <w:color w:val="000000" w:themeColor="text1"/>
                <w:sz w:val="20"/>
                <w:szCs w:val="20"/>
              </w:rPr>
            </w:pPr>
            <w:r w:rsidRPr="00CC31C4">
              <w:rPr>
                <w:rFonts w:hint="eastAsia"/>
                <w:color w:val="000000" w:themeColor="text1"/>
                <w:sz w:val="20"/>
                <w:szCs w:val="20"/>
              </w:rPr>
              <w:t>４</w:t>
            </w:r>
          </w:p>
        </w:tc>
        <w:tc>
          <w:tcPr>
            <w:tcW w:w="7230" w:type="dxa"/>
          </w:tcPr>
          <w:p w14:paraId="3C867923" w14:textId="5B264868" w:rsidR="00AC3810" w:rsidRPr="00CC31C4" w:rsidRDefault="00AC3810" w:rsidP="00160983">
            <w:pPr>
              <w:rPr>
                <w:color w:val="000000" w:themeColor="text1"/>
                <w:sz w:val="20"/>
                <w:szCs w:val="20"/>
              </w:rPr>
            </w:pPr>
            <w:r w:rsidRPr="00CC31C4">
              <w:rPr>
                <w:rFonts w:hint="eastAsia"/>
                <w:color w:val="000000" w:themeColor="text1"/>
                <w:sz w:val="20"/>
                <w:szCs w:val="20"/>
              </w:rPr>
              <w:t>液状化についてはどっちが正しいの？</w:t>
            </w:r>
          </w:p>
        </w:tc>
        <w:tc>
          <w:tcPr>
            <w:tcW w:w="7654" w:type="dxa"/>
            <w:vMerge w:val="restart"/>
          </w:tcPr>
          <w:p w14:paraId="0DE1FC66" w14:textId="259F003C" w:rsidR="00AC3810" w:rsidRPr="00E6607C" w:rsidRDefault="00AC3810" w:rsidP="00AC3810">
            <w:pPr>
              <w:ind w:firstLineChars="100" w:firstLine="200"/>
              <w:rPr>
                <w:color w:val="000000" w:themeColor="text1"/>
                <w:sz w:val="20"/>
                <w:szCs w:val="20"/>
              </w:rPr>
            </w:pPr>
            <w:r w:rsidRPr="00E6607C">
              <w:rPr>
                <w:rFonts w:hint="eastAsia"/>
                <w:color w:val="000000" w:themeColor="text1"/>
                <w:sz w:val="20"/>
                <w:szCs w:val="20"/>
              </w:rPr>
              <w:t>ＩＲにおきましては、国際観光拠点の核となる大規模集客施設であり、高い安全性の確保を重視・前提とした対策を講じる必要があることから、区域内の地盤調査分析の結果に基づき、専門家の助言を受けながら対策の検討を進め、液状化が発生しても建物に被害が生じない対策として、セメント系固化工法により建物直下の約</w:t>
            </w:r>
            <w:r w:rsidRPr="00E6607C">
              <w:rPr>
                <w:color w:val="000000" w:themeColor="text1"/>
                <w:sz w:val="20"/>
                <w:szCs w:val="20"/>
              </w:rPr>
              <w:t>21ha、改良層厚概ね３から５ｍを改良するもので</w:t>
            </w:r>
            <w:r w:rsidRPr="00E6607C">
              <w:rPr>
                <w:rFonts w:hint="eastAsia"/>
                <w:color w:val="000000" w:themeColor="text1"/>
                <w:sz w:val="20"/>
                <w:szCs w:val="20"/>
              </w:rPr>
              <w:t>ございます</w:t>
            </w:r>
            <w:r w:rsidRPr="00E6607C">
              <w:rPr>
                <w:color w:val="000000" w:themeColor="text1"/>
                <w:sz w:val="20"/>
                <w:szCs w:val="20"/>
              </w:rPr>
              <w:t>。</w:t>
            </w:r>
            <w:r w:rsidRPr="00E6607C">
              <w:rPr>
                <w:color w:val="000000" w:themeColor="text1"/>
                <w:sz w:val="20"/>
                <w:szCs w:val="20"/>
              </w:rPr>
              <w:br/>
            </w:r>
            <w:r w:rsidRPr="00E6607C">
              <w:rPr>
                <w:rFonts w:hint="eastAsia"/>
                <w:color w:val="000000" w:themeColor="text1"/>
                <w:sz w:val="20"/>
                <w:szCs w:val="20"/>
              </w:rPr>
              <w:t xml:space="preserve">　一方、万博におきましては、基本的に供用期間が短い低層の仮設建築物であることから、ＩＲ施設とは前提となる設計条件が異なっており、会場内の地質調査の結果に基づき、現時点において液状化対策は不要であると想定していると聞いております。</w:t>
            </w:r>
          </w:p>
        </w:tc>
      </w:tr>
      <w:tr w:rsidR="00AC3810" w:rsidRPr="00CC31C4" w14:paraId="0EE9D894" w14:textId="77777777" w:rsidTr="003A6C6D">
        <w:trPr>
          <w:trHeight w:val="4097"/>
        </w:trPr>
        <w:tc>
          <w:tcPr>
            <w:tcW w:w="562" w:type="dxa"/>
          </w:tcPr>
          <w:p w14:paraId="150C77C7" w14:textId="14D357AE" w:rsidR="00AC3810" w:rsidRPr="00CC31C4" w:rsidRDefault="00AC3810" w:rsidP="00AC3810">
            <w:pPr>
              <w:jc w:val="center"/>
              <w:rPr>
                <w:color w:val="000000" w:themeColor="text1"/>
                <w:sz w:val="20"/>
                <w:szCs w:val="20"/>
              </w:rPr>
            </w:pPr>
            <w:r w:rsidRPr="00CC31C4">
              <w:rPr>
                <w:rFonts w:hint="eastAsia"/>
                <w:color w:val="000000" w:themeColor="text1"/>
                <w:sz w:val="20"/>
                <w:szCs w:val="20"/>
              </w:rPr>
              <w:t>５</w:t>
            </w:r>
          </w:p>
        </w:tc>
        <w:tc>
          <w:tcPr>
            <w:tcW w:w="7230" w:type="dxa"/>
          </w:tcPr>
          <w:p w14:paraId="1A5BB887" w14:textId="53F77A8F" w:rsidR="00AC3810" w:rsidRPr="00CC31C4" w:rsidRDefault="00AC3810" w:rsidP="00AC3810">
            <w:pPr>
              <w:rPr>
                <w:color w:val="000000" w:themeColor="text1"/>
                <w:sz w:val="20"/>
                <w:szCs w:val="20"/>
              </w:rPr>
            </w:pPr>
            <w:r w:rsidRPr="00CC31C4">
              <w:rPr>
                <w:rFonts w:hint="eastAsia"/>
                <w:color w:val="000000" w:themeColor="text1"/>
                <w:sz w:val="20"/>
                <w:szCs w:val="20"/>
              </w:rPr>
              <w:t>最後の質問者の「万博の液状化しない～」について、後日必ず回答してください。行政の最低限の責任を果たして下さい。</w:t>
            </w:r>
          </w:p>
        </w:tc>
        <w:tc>
          <w:tcPr>
            <w:tcW w:w="7654" w:type="dxa"/>
            <w:vMerge/>
          </w:tcPr>
          <w:p w14:paraId="4BC2E577" w14:textId="72DFD9EE" w:rsidR="00AC3810" w:rsidRPr="00CC31C4" w:rsidRDefault="00AC3810" w:rsidP="00AC3810">
            <w:pPr>
              <w:rPr>
                <w:color w:val="000000" w:themeColor="text1"/>
                <w:sz w:val="20"/>
                <w:szCs w:val="20"/>
              </w:rPr>
            </w:pPr>
          </w:p>
        </w:tc>
      </w:tr>
      <w:tr w:rsidR="00AC3810" w:rsidRPr="00CC31C4" w14:paraId="620F1640" w14:textId="77777777" w:rsidTr="003A6C6D">
        <w:trPr>
          <w:trHeight w:val="2549"/>
        </w:trPr>
        <w:tc>
          <w:tcPr>
            <w:tcW w:w="562" w:type="dxa"/>
          </w:tcPr>
          <w:p w14:paraId="5153800A" w14:textId="6077CD16" w:rsidR="00AC3810" w:rsidRPr="00CC31C4" w:rsidRDefault="00AC3810" w:rsidP="00AC3810">
            <w:pPr>
              <w:jc w:val="center"/>
              <w:rPr>
                <w:color w:val="000000" w:themeColor="text1"/>
                <w:sz w:val="20"/>
                <w:szCs w:val="20"/>
              </w:rPr>
            </w:pPr>
            <w:r w:rsidRPr="00CC31C4">
              <w:rPr>
                <w:rFonts w:hint="eastAsia"/>
                <w:color w:val="000000" w:themeColor="text1"/>
                <w:sz w:val="20"/>
                <w:szCs w:val="20"/>
              </w:rPr>
              <w:lastRenderedPageBreak/>
              <w:t>６</w:t>
            </w:r>
          </w:p>
        </w:tc>
        <w:tc>
          <w:tcPr>
            <w:tcW w:w="7230" w:type="dxa"/>
          </w:tcPr>
          <w:p w14:paraId="0B63D67A" w14:textId="6C5A30DF" w:rsidR="00AC3810" w:rsidRPr="00CC31C4" w:rsidRDefault="00AC3810" w:rsidP="00AC3810">
            <w:pPr>
              <w:rPr>
                <w:color w:val="000000" w:themeColor="text1"/>
                <w:sz w:val="20"/>
                <w:szCs w:val="20"/>
              </w:rPr>
            </w:pPr>
            <w:r w:rsidRPr="00CC31C4">
              <w:rPr>
                <w:rFonts w:hint="eastAsia"/>
                <w:color w:val="000000" w:themeColor="text1"/>
                <w:sz w:val="20"/>
                <w:szCs w:val="20"/>
              </w:rPr>
              <w:t>ＩＲ事業の年間売上・ＩＲ区域への来訪者数（ＵＳＪより多いと思います）・地域経済への効果の算出時期はいつですか。また、これらの数値についての責任の所在はどこですか。および、業者が算出した数値であれば、大阪府として認めているのですか。</w:t>
            </w:r>
          </w:p>
        </w:tc>
        <w:tc>
          <w:tcPr>
            <w:tcW w:w="7654" w:type="dxa"/>
            <w:vMerge w:val="restart"/>
          </w:tcPr>
          <w:p w14:paraId="4BBCAFCD" w14:textId="77777777" w:rsidR="00AC3810" w:rsidRPr="001D6408" w:rsidRDefault="00AC3810" w:rsidP="00AC3810">
            <w:pPr>
              <w:ind w:firstLineChars="100" w:firstLine="200"/>
              <w:rPr>
                <w:sz w:val="20"/>
                <w:szCs w:val="20"/>
              </w:rPr>
            </w:pPr>
            <w:r w:rsidRPr="001D6408">
              <w:rPr>
                <w:rFonts w:hint="eastAsia"/>
                <w:sz w:val="20"/>
                <w:szCs w:val="20"/>
              </w:rPr>
              <w:t>ＩＲは、民設民営事業として、ＭＧＭ・オリックスの中核企業２社に加えて、大阪・関西を中心とした企業</w:t>
            </w:r>
            <w:r w:rsidRPr="001D6408">
              <w:rPr>
                <w:sz w:val="20"/>
                <w:szCs w:val="20"/>
              </w:rPr>
              <w:t>20社が自らの出資や金融機関からの借入れにより資金調達を行い、リスクを負って１兆円を超える投資を行うものであり、事業計画の立案にあたっても、慎重に検討・精査されているものと認識</w:t>
            </w:r>
            <w:r w:rsidRPr="001D6408">
              <w:rPr>
                <w:rFonts w:hint="eastAsia"/>
                <w:sz w:val="20"/>
                <w:szCs w:val="20"/>
              </w:rPr>
              <w:t>しています</w:t>
            </w:r>
            <w:r w:rsidRPr="001D6408">
              <w:rPr>
                <w:sz w:val="20"/>
                <w:szCs w:val="20"/>
              </w:rPr>
              <w:t>。</w:t>
            </w:r>
          </w:p>
          <w:p w14:paraId="20B126BD" w14:textId="77777777" w:rsidR="00AC3810" w:rsidRPr="001D6408" w:rsidRDefault="00AC3810" w:rsidP="00AC3810">
            <w:pPr>
              <w:ind w:firstLineChars="100" w:firstLine="200"/>
              <w:rPr>
                <w:sz w:val="20"/>
                <w:szCs w:val="20"/>
              </w:rPr>
            </w:pPr>
            <w:r w:rsidRPr="001D6408">
              <w:rPr>
                <w:sz w:val="20"/>
                <w:szCs w:val="20"/>
              </w:rPr>
              <w:t>来訪者数等の効果推計については、ＩＲ事業者において、人口統計や訪日外客統計等の統計情報、既存のＩＲ施設や近畿圏及び日本国内にある集客施設等の実績・知見等を踏まえて推計されており、また、それらの来場者数を踏まえて売上等が見込まれているもの</w:t>
            </w:r>
            <w:r w:rsidRPr="001D6408">
              <w:rPr>
                <w:rFonts w:hint="eastAsia"/>
                <w:sz w:val="20"/>
                <w:szCs w:val="20"/>
              </w:rPr>
              <w:t>です</w:t>
            </w:r>
            <w:r w:rsidRPr="001D6408">
              <w:rPr>
                <w:sz w:val="20"/>
                <w:szCs w:val="20"/>
              </w:rPr>
              <w:t>。</w:t>
            </w:r>
          </w:p>
          <w:p w14:paraId="4727DD47" w14:textId="77777777" w:rsidR="00AC3810" w:rsidRPr="001D6408" w:rsidRDefault="00AC3810" w:rsidP="00AC3810">
            <w:pPr>
              <w:ind w:firstLineChars="100" w:firstLine="200"/>
              <w:rPr>
                <w:sz w:val="20"/>
                <w:szCs w:val="20"/>
              </w:rPr>
            </w:pPr>
            <w:r w:rsidRPr="001D6408">
              <w:rPr>
                <w:sz w:val="20"/>
                <w:szCs w:val="20"/>
              </w:rPr>
              <w:t>また、借入については、返済原資を当該プロジェクトから生み出される収益・キャッシュフローと当該プロジェクト資産に限定するプロジェクトファイナンスによる借入を予定しており、事業者においては、金融機関の厳しい審査を経て、金融機関からの融資確約書を既に取得しているところである。</w:t>
            </w:r>
          </w:p>
          <w:p w14:paraId="5F60C49B" w14:textId="77777777" w:rsidR="00AC3810" w:rsidRPr="001D6408" w:rsidRDefault="00AC3810" w:rsidP="00AC3810">
            <w:pPr>
              <w:ind w:firstLineChars="100" w:firstLine="200"/>
              <w:rPr>
                <w:sz w:val="20"/>
                <w:szCs w:val="20"/>
              </w:rPr>
            </w:pPr>
            <w:r w:rsidRPr="001D6408">
              <w:rPr>
                <w:sz w:val="20"/>
                <w:szCs w:val="20"/>
              </w:rPr>
              <w:t>加えて、シンガポールのＩＲとの概括的な比較においても、大阪の方が、域外からの旅行者数や後背圏の規模が大きく、高い需要のポテンシャルを有するものと考えてい</w:t>
            </w:r>
            <w:r w:rsidRPr="001D6408">
              <w:rPr>
                <w:rFonts w:hint="eastAsia"/>
                <w:sz w:val="20"/>
                <w:szCs w:val="20"/>
              </w:rPr>
              <w:t>ます</w:t>
            </w:r>
            <w:r w:rsidRPr="001D6408">
              <w:rPr>
                <w:sz w:val="20"/>
                <w:szCs w:val="20"/>
              </w:rPr>
              <w:t>。</w:t>
            </w:r>
          </w:p>
          <w:p w14:paraId="1E636A04" w14:textId="77777777" w:rsidR="00AC3810" w:rsidRPr="001D6408" w:rsidRDefault="00AC3810" w:rsidP="00AC3810">
            <w:pPr>
              <w:ind w:firstLineChars="100" w:firstLine="200"/>
              <w:rPr>
                <w:sz w:val="20"/>
                <w:szCs w:val="20"/>
              </w:rPr>
            </w:pPr>
            <w:r w:rsidRPr="001D6408">
              <w:rPr>
                <w:sz w:val="20"/>
                <w:szCs w:val="20"/>
              </w:rPr>
              <w:t>これらを総合的に勘案すると、実現性のある相応の計画であると認識している</w:t>
            </w:r>
            <w:r w:rsidRPr="001D6408">
              <w:rPr>
                <w:rFonts w:hint="eastAsia"/>
                <w:sz w:val="20"/>
                <w:szCs w:val="20"/>
              </w:rPr>
              <w:t>認識しています。</w:t>
            </w:r>
          </w:p>
          <w:p w14:paraId="1027CDCE" w14:textId="66E6F105" w:rsidR="00AC3810" w:rsidRPr="001D6408" w:rsidRDefault="00AC3810" w:rsidP="00AC3810">
            <w:pPr>
              <w:ind w:firstLineChars="100" w:firstLine="200"/>
              <w:rPr>
                <w:color w:val="000000" w:themeColor="text1"/>
                <w:sz w:val="20"/>
                <w:szCs w:val="20"/>
              </w:rPr>
            </w:pPr>
            <w:r w:rsidRPr="001D6408">
              <w:rPr>
                <w:rFonts w:hint="eastAsia"/>
                <w:sz w:val="20"/>
                <w:szCs w:val="20"/>
              </w:rPr>
              <w:t>なお、売上や来訪者数、経済波及効果等の地域経済への効果等については、令和３年12月に区域整備計画（案）を作成し、その中でお示ししており、その後、初期投資額の変更等に合わせて、令和5年9月に一部変更しています。</w:t>
            </w:r>
          </w:p>
        </w:tc>
      </w:tr>
      <w:tr w:rsidR="00AC3810" w:rsidRPr="00CC31C4" w14:paraId="33C814E5" w14:textId="77777777" w:rsidTr="0099399C">
        <w:trPr>
          <w:trHeight w:val="1113"/>
        </w:trPr>
        <w:tc>
          <w:tcPr>
            <w:tcW w:w="562" w:type="dxa"/>
          </w:tcPr>
          <w:p w14:paraId="15E76EC2" w14:textId="0EB5F077" w:rsidR="00AC3810" w:rsidRPr="00CC31C4" w:rsidRDefault="00AC3810" w:rsidP="00AC3810">
            <w:pPr>
              <w:jc w:val="center"/>
              <w:rPr>
                <w:color w:val="000000" w:themeColor="text1"/>
                <w:sz w:val="20"/>
                <w:szCs w:val="20"/>
              </w:rPr>
            </w:pPr>
            <w:r w:rsidRPr="00CC31C4">
              <w:rPr>
                <w:rFonts w:hint="eastAsia"/>
                <w:color w:val="000000" w:themeColor="text1"/>
                <w:sz w:val="20"/>
                <w:szCs w:val="20"/>
              </w:rPr>
              <w:t>７</w:t>
            </w:r>
          </w:p>
        </w:tc>
        <w:tc>
          <w:tcPr>
            <w:tcW w:w="7230" w:type="dxa"/>
          </w:tcPr>
          <w:p w14:paraId="6A90C072" w14:textId="17640871" w:rsidR="00AC3810" w:rsidRPr="00CC31C4" w:rsidRDefault="00AC3810" w:rsidP="00AC3810">
            <w:pPr>
              <w:rPr>
                <w:color w:val="000000" w:themeColor="text1"/>
                <w:sz w:val="20"/>
                <w:szCs w:val="20"/>
              </w:rPr>
            </w:pPr>
            <w:r w:rsidRPr="00CC31C4">
              <w:rPr>
                <w:rFonts w:hint="eastAsia"/>
                <w:color w:val="000000" w:themeColor="text1"/>
                <w:sz w:val="20"/>
                <w:szCs w:val="20"/>
              </w:rPr>
              <w:t>大阪府・市の収入見込額の算出時期はいつですか。また、これの数値の責任の所在はどこですか。</w:t>
            </w:r>
          </w:p>
        </w:tc>
        <w:tc>
          <w:tcPr>
            <w:tcW w:w="7654" w:type="dxa"/>
            <w:vMerge/>
          </w:tcPr>
          <w:p w14:paraId="4E33C98D" w14:textId="77777777" w:rsidR="00AC3810" w:rsidRPr="00CC31C4" w:rsidRDefault="00AC3810" w:rsidP="00AC3810">
            <w:pPr>
              <w:rPr>
                <w:color w:val="000000" w:themeColor="text1"/>
                <w:sz w:val="20"/>
                <w:szCs w:val="20"/>
              </w:rPr>
            </w:pPr>
          </w:p>
        </w:tc>
      </w:tr>
      <w:tr w:rsidR="00AC3810" w:rsidRPr="00CC31C4" w14:paraId="5AA9513B" w14:textId="77777777" w:rsidTr="0099399C">
        <w:trPr>
          <w:trHeight w:val="1113"/>
        </w:trPr>
        <w:tc>
          <w:tcPr>
            <w:tcW w:w="562" w:type="dxa"/>
          </w:tcPr>
          <w:p w14:paraId="1B4CAC58" w14:textId="29EDDBB4" w:rsidR="00AC3810" w:rsidRPr="00CC31C4" w:rsidRDefault="00AC3810" w:rsidP="00AC3810">
            <w:pPr>
              <w:jc w:val="center"/>
              <w:rPr>
                <w:color w:val="000000" w:themeColor="text1"/>
                <w:sz w:val="20"/>
                <w:szCs w:val="20"/>
              </w:rPr>
            </w:pPr>
            <w:r w:rsidRPr="00CC31C4">
              <w:rPr>
                <w:rFonts w:hint="eastAsia"/>
                <w:color w:val="000000" w:themeColor="text1"/>
                <w:sz w:val="20"/>
                <w:szCs w:val="20"/>
              </w:rPr>
              <w:t>８</w:t>
            </w:r>
          </w:p>
        </w:tc>
        <w:tc>
          <w:tcPr>
            <w:tcW w:w="7230" w:type="dxa"/>
          </w:tcPr>
          <w:p w14:paraId="677C6BE1" w14:textId="2F2E02CA" w:rsidR="00AC3810" w:rsidRPr="00CC31C4" w:rsidRDefault="00AC3810" w:rsidP="00AC3810">
            <w:pPr>
              <w:rPr>
                <w:color w:val="000000" w:themeColor="text1"/>
                <w:sz w:val="20"/>
                <w:szCs w:val="20"/>
              </w:rPr>
            </w:pPr>
            <w:r w:rsidRPr="00CC31C4">
              <w:rPr>
                <w:rFonts w:hint="eastAsia"/>
                <w:color w:val="000000" w:themeColor="text1"/>
                <w:sz w:val="20"/>
                <w:szCs w:val="20"/>
              </w:rPr>
              <w:t>夢洲内の警察署の規模を教えてください。市内で同規模の警察署があれば、どの警察署か教えてください。（計画中であれば現在の段階でください）</w:t>
            </w:r>
          </w:p>
        </w:tc>
        <w:tc>
          <w:tcPr>
            <w:tcW w:w="7654" w:type="dxa"/>
          </w:tcPr>
          <w:p w14:paraId="2B43949F" w14:textId="1B410E6B" w:rsidR="00AC3810" w:rsidRPr="00CC31C4" w:rsidRDefault="003A6C6D" w:rsidP="003A6C6D">
            <w:pPr>
              <w:ind w:firstLineChars="100" w:firstLine="200"/>
              <w:rPr>
                <w:color w:val="000000" w:themeColor="text1"/>
                <w:sz w:val="20"/>
                <w:szCs w:val="20"/>
              </w:rPr>
            </w:pPr>
            <w:r w:rsidRPr="003A6C6D">
              <w:rPr>
                <w:rFonts w:hint="eastAsia"/>
                <w:color w:val="000000" w:themeColor="text1"/>
                <w:sz w:val="20"/>
                <w:szCs w:val="20"/>
              </w:rPr>
              <w:t>夢洲内に設置する計画の警察署については、今後、府警において実施する基本計画等において、その規模を含む詳細を検討していくことになるため、現時点でお示しできる情報はありません。</w:t>
            </w:r>
          </w:p>
        </w:tc>
      </w:tr>
      <w:tr w:rsidR="00AC3810" w:rsidRPr="00CC31C4" w14:paraId="60713642" w14:textId="77777777" w:rsidTr="0099399C">
        <w:trPr>
          <w:trHeight w:val="1113"/>
        </w:trPr>
        <w:tc>
          <w:tcPr>
            <w:tcW w:w="562" w:type="dxa"/>
          </w:tcPr>
          <w:p w14:paraId="12339405" w14:textId="4E47F67E" w:rsidR="00AC3810" w:rsidRPr="00CC31C4" w:rsidRDefault="00AC3810" w:rsidP="00AC3810">
            <w:pPr>
              <w:jc w:val="center"/>
              <w:rPr>
                <w:color w:val="000000" w:themeColor="text1"/>
                <w:sz w:val="20"/>
                <w:szCs w:val="20"/>
              </w:rPr>
            </w:pPr>
            <w:r w:rsidRPr="00CC31C4">
              <w:rPr>
                <w:rFonts w:hint="eastAsia"/>
                <w:color w:val="000000" w:themeColor="text1"/>
                <w:sz w:val="20"/>
                <w:szCs w:val="20"/>
              </w:rPr>
              <w:t>９</w:t>
            </w:r>
          </w:p>
        </w:tc>
        <w:tc>
          <w:tcPr>
            <w:tcW w:w="7230" w:type="dxa"/>
          </w:tcPr>
          <w:p w14:paraId="5FC250FE" w14:textId="6728C43C" w:rsidR="00AC3810" w:rsidRPr="00CC31C4" w:rsidRDefault="00AC3810" w:rsidP="00AC3810">
            <w:pPr>
              <w:rPr>
                <w:color w:val="000000" w:themeColor="text1"/>
                <w:sz w:val="20"/>
                <w:szCs w:val="20"/>
              </w:rPr>
            </w:pPr>
            <w:r w:rsidRPr="00CC31C4">
              <w:rPr>
                <w:rFonts w:hint="eastAsia"/>
                <w:color w:val="000000" w:themeColor="text1"/>
                <w:sz w:val="20"/>
                <w:szCs w:val="20"/>
              </w:rPr>
              <w:t>「資料１」</w:t>
            </w:r>
            <w:r w:rsidRPr="00CC31C4">
              <w:rPr>
                <w:color w:val="000000" w:themeColor="text1"/>
                <w:sz w:val="20"/>
                <w:szCs w:val="20"/>
              </w:rPr>
              <w:t>13Pの「犯罪の発生対策、善良の風俗及び清浄な風俗環境」項目の中で「暴力団員等に係るデータベースを整備し・・・」と記載されているが、データはどこから入手するのですか。このようなデータは警察関係しか保持していない</w:t>
            </w:r>
            <w:r w:rsidRPr="00CC31C4">
              <w:rPr>
                <w:rFonts w:hint="eastAsia"/>
                <w:color w:val="000000" w:themeColor="text1"/>
                <w:sz w:val="20"/>
                <w:szCs w:val="20"/>
              </w:rPr>
              <w:t>と</w:t>
            </w:r>
            <w:r w:rsidRPr="00CC31C4">
              <w:rPr>
                <w:color w:val="000000" w:themeColor="text1"/>
                <w:sz w:val="20"/>
                <w:szCs w:val="20"/>
              </w:rPr>
              <w:t>思うのですが。</w:t>
            </w:r>
          </w:p>
        </w:tc>
        <w:tc>
          <w:tcPr>
            <w:tcW w:w="7654" w:type="dxa"/>
          </w:tcPr>
          <w:p w14:paraId="3CA9FD8F" w14:textId="6ABA2E72" w:rsidR="00AC3810" w:rsidRPr="00CC31C4" w:rsidRDefault="003A6C6D" w:rsidP="003A6C6D">
            <w:pPr>
              <w:ind w:firstLineChars="100" w:firstLine="200"/>
              <w:rPr>
                <w:color w:val="000000" w:themeColor="text1"/>
                <w:sz w:val="20"/>
                <w:szCs w:val="20"/>
              </w:rPr>
            </w:pPr>
            <w:r w:rsidRPr="003A6C6D">
              <w:rPr>
                <w:rFonts w:hint="eastAsia"/>
                <w:color w:val="000000" w:themeColor="text1"/>
                <w:sz w:val="20"/>
                <w:szCs w:val="20"/>
              </w:rPr>
              <w:t>ＩＲ事業者による暴力団員等に係るデータベースの整備については、カジノ管理委員会関係特定複合観光施設区域整備法施行規則</w:t>
            </w:r>
            <w:r w:rsidRPr="003A6C6D">
              <w:rPr>
                <w:color w:val="000000" w:themeColor="text1"/>
                <w:sz w:val="20"/>
                <w:szCs w:val="20"/>
              </w:rPr>
              <w:t xml:space="preserve"> 第51条第２項第３号により義務付けられており、その具体的な運用等については、ＩＲの開業に向けて検討していくことになりますが、暴力団員等の排除に当たっては、大阪府公安委員会及び大阪府警察と密接に連絡することとしています。</w:t>
            </w:r>
          </w:p>
        </w:tc>
      </w:tr>
      <w:tr w:rsidR="00AC3810" w:rsidRPr="00CC31C4" w14:paraId="65018219" w14:textId="77777777" w:rsidTr="0099399C">
        <w:trPr>
          <w:trHeight w:val="1113"/>
        </w:trPr>
        <w:tc>
          <w:tcPr>
            <w:tcW w:w="562" w:type="dxa"/>
          </w:tcPr>
          <w:p w14:paraId="3981934A" w14:textId="4117B89E" w:rsidR="00AC3810" w:rsidRPr="00CC31C4" w:rsidRDefault="00AC3810" w:rsidP="00AC3810">
            <w:pPr>
              <w:jc w:val="center"/>
              <w:rPr>
                <w:color w:val="000000" w:themeColor="text1"/>
                <w:sz w:val="20"/>
                <w:szCs w:val="20"/>
              </w:rPr>
            </w:pPr>
            <w:r w:rsidRPr="00CC31C4">
              <w:rPr>
                <w:rFonts w:hint="eastAsia"/>
                <w:color w:val="000000" w:themeColor="text1"/>
                <w:sz w:val="20"/>
                <w:szCs w:val="20"/>
              </w:rPr>
              <w:lastRenderedPageBreak/>
              <w:t>10</w:t>
            </w:r>
          </w:p>
        </w:tc>
        <w:tc>
          <w:tcPr>
            <w:tcW w:w="7230" w:type="dxa"/>
          </w:tcPr>
          <w:p w14:paraId="15F81D8C" w14:textId="77777777" w:rsidR="00AC3810" w:rsidRPr="00CC31C4" w:rsidRDefault="00AC3810" w:rsidP="00AC3810">
            <w:pPr>
              <w:rPr>
                <w:color w:val="000000" w:themeColor="text1"/>
                <w:sz w:val="20"/>
                <w:szCs w:val="20"/>
              </w:rPr>
            </w:pPr>
            <w:r w:rsidRPr="00CC31C4">
              <w:rPr>
                <w:rFonts w:hint="eastAsia"/>
                <w:color w:val="000000" w:themeColor="text1"/>
                <w:sz w:val="20"/>
                <w:szCs w:val="20"/>
              </w:rPr>
              <w:t>カジノ施設への入場等回数の制限で、７日間で３回の意味を教えてください。</w:t>
            </w:r>
          </w:p>
          <w:p w14:paraId="6A92353C" w14:textId="6DCCBA9A" w:rsidR="00AC3810" w:rsidRPr="00CC31C4" w:rsidRDefault="00AC3810" w:rsidP="00AC3810">
            <w:pPr>
              <w:rPr>
                <w:color w:val="000000" w:themeColor="text1"/>
                <w:sz w:val="20"/>
                <w:szCs w:val="20"/>
              </w:rPr>
            </w:pPr>
            <w:r w:rsidRPr="00CC31C4">
              <w:rPr>
                <w:rFonts w:hint="eastAsia"/>
                <w:color w:val="000000" w:themeColor="text1"/>
                <w:sz w:val="20"/>
                <w:szCs w:val="20"/>
              </w:rPr>
              <w:t>例として</w:t>
            </w:r>
          </w:p>
          <w:p w14:paraId="3AFC5FF7" w14:textId="621F8793" w:rsidR="00AC3810" w:rsidRPr="00CC31C4" w:rsidRDefault="00AC3810" w:rsidP="00AC3810">
            <w:pPr>
              <w:rPr>
                <w:color w:val="000000" w:themeColor="text1"/>
                <w:sz w:val="20"/>
                <w:szCs w:val="20"/>
              </w:rPr>
            </w:pPr>
            <w:r w:rsidRPr="00CC31C4">
              <w:rPr>
                <w:rFonts w:hint="eastAsia"/>
                <w:color w:val="000000" w:themeColor="text1"/>
                <w:sz w:val="20"/>
                <w:szCs w:val="20"/>
              </w:rPr>
              <w:t xml:space="preserve">　２／１の午後１時に入場し、午後３時に退出、午後６時に入場し午前２時に退出した場合２回となるのですか。それとも日がかわるので３回となるのですか。</w:t>
            </w:r>
          </w:p>
        </w:tc>
        <w:tc>
          <w:tcPr>
            <w:tcW w:w="7654" w:type="dxa"/>
          </w:tcPr>
          <w:p w14:paraId="01D77D0A" w14:textId="0ADC7CD6" w:rsidR="003A6C6D" w:rsidRPr="003A6C6D" w:rsidRDefault="003A6C6D" w:rsidP="003A6C6D">
            <w:pPr>
              <w:ind w:firstLineChars="100" w:firstLine="210"/>
              <w:rPr>
                <w:color w:val="000000" w:themeColor="text1"/>
              </w:rPr>
            </w:pPr>
            <w:r w:rsidRPr="003A6C6D">
              <w:rPr>
                <w:color w:val="000000" w:themeColor="text1"/>
              </w:rPr>
              <w:t>カジノ施設への入場規制については、特定観光施設区域整備法第69条に規定されており、カジノ施設に入場等しようとする日から起算して過去７日間において、入場料を賦課されてカジノ行為区画に入場した回数が既に３回に達しているものの入場は禁じられております。</w:t>
            </w:r>
          </w:p>
          <w:p w14:paraId="42E4A699" w14:textId="7120AFF2" w:rsidR="003A6C6D" w:rsidRPr="003A6C6D" w:rsidRDefault="003A6C6D" w:rsidP="003A6C6D">
            <w:pPr>
              <w:ind w:firstLineChars="100" w:firstLine="210"/>
              <w:rPr>
                <w:color w:val="000000" w:themeColor="text1"/>
              </w:rPr>
            </w:pPr>
            <w:r w:rsidRPr="003A6C6D">
              <w:rPr>
                <w:color w:val="000000" w:themeColor="text1"/>
              </w:rPr>
              <w:t>また、入場料の賦課については、同法第176条において、入場料の納付後24時間を経過する時までの間に反復してカジノ行為区画に入場しようとする場合には、入場料は賦課されないこととなっています。</w:t>
            </w:r>
          </w:p>
          <w:p w14:paraId="7EFA57A6" w14:textId="4F5EBD7E" w:rsidR="00AC3810" w:rsidRPr="00CC31C4" w:rsidRDefault="003A6C6D" w:rsidP="003A6C6D">
            <w:pPr>
              <w:ind w:firstLineChars="100" w:firstLine="210"/>
              <w:rPr>
                <w:color w:val="000000" w:themeColor="text1"/>
              </w:rPr>
            </w:pPr>
            <w:r w:rsidRPr="003A6C6D">
              <w:rPr>
                <w:color w:val="000000" w:themeColor="text1"/>
              </w:rPr>
              <w:t>ご質問のケースでは、入場料の賦課は午後1時の入場時になり、午後6時の入場時は24時間以内の反復入場になりますので、入場料は賦課されず、入場料を賦課されて入場した回数は1回となるものと認識しています。</w:t>
            </w:r>
          </w:p>
        </w:tc>
      </w:tr>
      <w:tr w:rsidR="00AC3810" w:rsidRPr="00CC31C4" w14:paraId="3B295ECA" w14:textId="77777777" w:rsidTr="0099399C">
        <w:trPr>
          <w:trHeight w:val="1113"/>
        </w:trPr>
        <w:tc>
          <w:tcPr>
            <w:tcW w:w="562" w:type="dxa"/>
          </w:tcPr>
          <w:p w14:paraId="52BF0F1D" w14:textId="2DADEC41" w:rsidR="00AC3810" w:rsidRPr="00CC31C4" w:rsidRDefault="00AC3810" w:rsidP="00AC3810">
            <w:pPr>
              <w:jc w:val="center"/>
              <w:rPr>
                <w:color w:val="000000" w:themeColor="text1"/>
                <w:sz w:val="20"/>
                <w:szCs w:val="20"/>
              </w:rPr>
            </w:pPr>
            <w:r w:rsidRPr="00CC31C4">
              <w:rPr>
                <w:rFonts w:hint="eastAsia"/>
                <w:color w:val="000000" w:themeColor="text1"/>
                <w:sz w:val="20"/>
                <w:szCs w:val="20"/>
              </w:rPr>
              <w:t>11</w:t>
            </w:r>
          </w:p>
        </w:tc>
        <w:tc>
          <w:tcPr>
            <w:tcW w:w="7230" w:type="dxa"/>
          </w:tcPr>
          <w:p w14:paraId="06B3B783" w14:textId="3709CE3D" w:rsidR="00AC3810" w:rsidRPr="00CC31C4" w:rsidRDefault="00AC3810" w:rsidP="00AC3810">
            <w:pPr>
              <w:rPr>
                <w:color w:val="000000" w:themeColor="text1"/>
                <w:sz w:val="20"/>
                <w:szCs w:val="20"/>
              </w:rPr>
            </w:pPr>
            <w:r w:rsidRPr="00CC31C4">
              <w:rPr>
                <w:rFonts w:hint="eastAsia"/>
                <w:color w:val="000000" w:themeColor="text1"/>
                <w:sz w:val="20"/>
                <w:szCs w:val="20"/>
              </w:rPr>
              <w:t>ＩＲ推進局職員の方が、「民設・民営」という発言を３回ぐらいされました。府知事・市長も当初、ＩＲ事業を進めるにあたり税金を使わず民設民営で事業を進めると発言された。これは、社会通念上の解釈としては、公金を使わないと理解するのが一般的ではありませんか。にもかかわらず土地課題対策費を港湾会計から支出するとなっていますが、港湾会計は私会計ですか。公有地等を貸した賃料収入は公金と思います。説明をお願いします。</w:t>
            </w:r>
          </w:p>
        </w:tc>
        <w:tc>
          <w:tcPr>
            <w:tcW w:w="7654" w:type="dxa"/>
          </w:tcPr>
          <w:p w14:paraId="4B5D6B67" w14:textId="77777777" w:rsidR="00AC3810" w:rsidRPr="001D6408" w:rsidRDefault="00AC3810" w:rsidP="00AC3810">
            <w:pPr>
              <w:ind w:firstLineChars="100" w:firstLine="200"/>
              <w:rPr>
                <w:sz w:val="20"/>
                <w:szCs w:val="20"/>
              </w:rPr>
            </w:pPr>
            <w:r w:rsidRPr="001D6408">
              <w:rPr>
                <w:sz w:val="20"/>
                <w:szCs w:val="20"/>
              </w:rPr>
              <w:t>ＩＲ</w:t>
            </w:r>
            <w:r w:rsidRPr="001D6408">
              <w:rPr>
                <w:rFonts w:hint="eastAsia"/>
                <w:sz w:val="20"/>
                <w:szCs w:val="20"/>
              </w:rPr>
              <w:t>は</w:t>
            </w:r>
            <w:r w:rsidRPr="001D6408">
              <w:rPr>
                <w:sz w:val="20"/>
                <w:szCs w:val="20"/>
              </w:rPr>
              <w:t>民設民営で</w:t>
            </w:r>
            <w:r w:rsidRPr="001D6408">
              <w:rPr>
                <w:rFonts w:hint="eastAsia"/>
                <w:sz w:val="20"/>
                <w:szCs w:val="20"/>
              </w:rPr>
              <w:t>あり、ＩＲ事業そのものに対して公金を投じるものではありません。</w:t>
            </w:r>
          </w:p>
          <w:p w14:paraId="59EE349E" w14:textId="77777777" w:rsidR="00AC3810" w:rsidRPr="001D6408" w:rsidRDefault="00AC3810" w:rsidP="00AC3810">
            <w:pPr>
              <w:ind w:firstLineChars="100" w:firstLine="200"/>
              <w:rPr>
                <w:sz w:val="20"/>
                <w:szCs w:val="20"/>
              </w:rPr>
            </w:pPr>
            <w:r w:rsidRPr="001D6408">
              <w:rPr>
                <w:sz w:val="20"/>
                <w:szCs w:val="20"/>
              </w:rPr>
              <w:t>土地課題への対応については、大阪ＩＲが国際観光拠点の核となる大規模集客施設であることから、ＩＲ事業用地としての適性確保が必須であり、土地に起因する所有者としての責任に加えて、大阪臨海部のまちづくりなどの政策的な観点も踏まえ、土地所有者として大阪市が負担するもの</w:t>
            </w:r>
            <w:r w:rsidRPr="001D6408">
              <w:rPr>
                <w:rFonts w:hint="eastAsia"/>
                <w:sz w:val="20"/>
                <w:szCs w:val="20"/>
              </w:rPr>
              <w:t>です</w:t>
            </w:r>
            <w:r w:rsidRPr="001D6408">
              <w:rPr>
                <w:sz w:val="20"/>
                <w:szCs w:val="20"/>
              </w:rPr>
              <w:t>。</w:t>
            </w:r>
          </w:p>
          <w:p w14:paraId="3793C640" w14:textId="22658850" w:rsidR="00AC3810" w:rsidRPr="00CC31C4" w:rsidRDefault="00AC3810" w:rsidP="00AC3810">
            <w:pPr>
              <w:ind w:firstLineChars="100" w:firstLine="200"/>
              <w:rPr>
                <w:color w:val="000000" w:themeColor="text1"/>
                <w:sz w:val="20"/>
                <w:szCs w:val="20"/>
              </w:rPr>
            </w:pPr>
            <w:r w:rsidRPr="001D6408">
              <w:rPr>
                <w:rFonts w:hint="eastAsia"/>
                <w:sz w:val="20"/>
                <w:szCs w:val="20"/>
              </w:rPr>
              <w:t>これは</w:t>
            </w:r>
            <w:r w:rsidRPr="001D6408">
              <w:rPr>
                <w:sz w:val="20"/>
                <w:szCs w:val="20"/>
              </w:rPr>
              <w:t>税で負担するものではなく、土地売却・賃料収入など事業経営に伴う収入から賄われる港営事業会計・特別会計で負担することとしており、賃料収入等で回収していくこととしてい</w:t>
            </w:r>
            <w:r w:rsidRPr="001D6408">
              <w:rPr>
                <w:rFonts w:hint="eastAsia"/>
                <w:sz w:val="20"/>
                <w:szCs w:val="20"/>
              </w:rPr>
              <w:t>ます</w:t>
            </w:r>
            <w:r w:rsidRPr="001D6408">
              <w:rPr>
                <w:sz w:val="20"/>
                <w:szCs w:val="20"/>
              </w:rPr>
              <w:t>。</w:t>
            </w:r>
          </w:p>
        </w:tc>
      </w:tr>
    </w:tbl>
    <w:p w14:paraId="3289DFD6" w14:textId="77777777" w:rsidR="00961D85" w:rsidRPr="00CC31C4" w:rsidRDefault="00961D85">
      <w:pPr>
        <w:rPr>
          <w:color w:val="000000" w:themeColor="text1"/>
        </w:rPr>
      </w:pPr>
    </w:p>
    <w:sectPr w:rsidR="00961D85" w:rsidRPr="00CC31C4" w:rsidSect="000411BF">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EA3B1" w14:textId="77777777" w:rsidR="00D1747A" w:rsidRDefault="00D1747A" w:rsidP="00E354EB">
      <w:r>
        <w:separator/>
      </w:r>
    </w:p>
  </w:endnote>
  <w:endnote w:type="continuationSeparator" w:id="0">
    <w:p w14:paraId="06E8CF6D" w14:textId="77777777" w:rsidR="00D1747A" w:rsidRDefault="00D1747A" w:rsidP="00E3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85862" w14:textId="77777777" w:rsidR="00D1747A" w:rsidRDefault="00D1747A" w:rsidP="00E354EB">
      <w:r>
        <w:separator/>
      </w:r>
    </w:p>
  </w:footnote>
  <w:footnote w:type="continuationSeparator" w:id="0">
    <w:p w14:paraId="213E0DB0" w14:textId="77777777" w:rsidR="00D1747A" w:rsidRDefault="00D1747A" w:rsidP="00E35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85"/>
    <w:rsid w:val="00006CF1"/>
    <w:rsid w:val="00010B6A"/>
    <w:rsid w:val="00015658"/>
    <w:rsid w:val="0002236A"/>
    <w:rsid w:val="000411BF"/>
    <w:rsid w:val="0005611B"/>
    <w:rsid w:val="000D1275"/>
    <w:rsid w:val="00100443"/>
    <w:rsid w:val="00112641"/>
    <w:rsid w:val="00160983"/>
    <w:rsid w:val="001B1320"/>
    <w:rsid w:val="001D6408"/>
    <w:rsid w:val="00206458"/>
    <w:rsid w:val="0021712A"/>
    <w:rsid w:val="0022386D"/>
    <w:rsid w:val="002D5EAD"/>
    <w:rsid w:val="00365233"/>
    <w:rsid w:val="00370275"/>
    <w:rsid w:val="003A6C6D"/>
    <w:rsid w:val="003E32BD"/>
    <w:rsid w:val="00430544"/>
    <w:rsid w:val="004646D0"/>
    <w:rsid w:val="0049415E"/>
    <w:rsid w:val="004A3F79"/>
    <w:rsid w:val="004A78E3"/>
    <w:rsid w:val="004E0577"/>
    <w:rsid w:val="00517552"/>
    <w:rsid w:val="00571604"/>
    <w:rsid w:val="00576B74"/>
    <w:rsid w:val="0058248F"/>
    <w:rsid w:val="005C22B8"/>
    <w:rsid w:val="00614D42"/>
    <w:rsid w:val="0064385A"/>
    <w:rsid w:val="0065291C"/>
    <w:rsid w:val="00663A02"/>
    <w:rsid w:val="006D61B7"/>
    <w:rsid w:val="006F34A4"/>
    <w:rsid w:val="00730DA0"/>
    <w:rsid w:val="00733983"/>
    <w:rsid w:val="00756E94"/>
    <w:rsid w:val="008D4858"/>
    <w:rsid w:val="00907949"/>
    <w:rsid w:val="00915527"/>
    <w:rsid w:val="00923E59"/>
    <w:rsid w:val="009309DE"/>
    <w:rsid w:val="00937DCA"/>
    <w:rsid w:val="00951786"/>
    <w:rsid w:val="00961D85"/>
    <w:rsid w:val="0099399C"/>
    <w:rsid w:val="009B2674"/>
    <w:rsid w:val="009C129F"/>
    <w:rsid w:val="009C330E"/>
    <w:rsid w:val="00A00596"/>
    <w:rsid w:val="00A03EE5"/>
    <w:rsid w:val="00A17304"/>
    <w:rsid w:val="00A42A69"/>
    <w:rsid w:val="00A65EA0"/>
    <w:rsid w:val="00A70A85"/>
    <w:rsid w:val="00A73EBC"/>
    <w:rsid w:val="00AB5502"/>
    <w:rsid w:val="00AC3563"/>
    <w:rsid w:val="00AC3810"/>
    <w:rsid w:val="00AE38AC"/>
    <w:rsid w:val="00B17A8E"/>
    <w:rsid w:val="00B50A51"/>
    <w:rsid w:val="00BB2BCC"/>
    <w:rsid w:val="00C457CE"/>
    <w:rsid w:val="00C96688"/>
    <w:rsid w:val="00CC31C4"/>
    <w:rsid w:val="00CE6638"/>
    <w:rsid w:val="00CF1764"/>
    <w:rsid w:val="00CF3E40"/>
    <w:rsid w:val="00CF7E4A"/>
    <w:rsid w:val="00D1747A"/>
    <w:rsid w:val="00D64B14"/>
    <w:rsid w:val="00DB692B"/>
    <w:rsid w:val="00DC008F"/>
    <w:rsid w:val="00DD7347"/>
    <w:rsid w:val="00E27DBC"/>
    <w:rsid w:val="00E354EB"/>
    <w:rsid w:val="00E43C32"/>
    <w:rsid w:val="00E6607C"/>
    <w:rsid w:val="00E952E2"/>
    <w:rsid w:val="00EF6EDC"/>
    <w:rsid w:val="00F06D05"/>
    <w:rsid w:val="00F076B7"/>
    <w:rsid w:val="00F25D7C"/>
    <w:rsid w:val="00F32373"/>
    <w:rsid w:val="00F72C8C"/>
    <w:rsid w:val="00F74CA7"/>
    <w:rsid w:val="00F84B65"/>
    <w:rsid w:val="00FD2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BE2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37DCA"/>
    <w:rPr>
      <w:color w:val="0563C1" w:themeColor="hyperlink"/>
      <w:u w:val="single"/>
    </w:rPr>
  </w:style>
  <w:style w:type="paragraph" w:styleId="a5">
    <w:name w:val="header"/>
    <w:basedOn w:val="a"/>
    <w:link w:val="a6"/>
    <w:uiPriority w:val="99"/>
    <w:unhideWhenUsed/>
    <w:rsid w:val="00E354EB"/>
    <w:pPr>
      <w:tabs>
        <w:tab w:val="center" w:pos="4252"/>
        <w:tab w:val="right" w:pos="8504"/>
      </w:tabs>
      <w:snapToGrid w:val="0"/>
    </w:pPr>
  </w:style>
  <w:style w:type="character" w:customStyle="1" w:styleId="a6">
    <w:name w:val="ヘッダー (文字)"/>
    <w:basedOn w:val="a0"/>
    <w:link w:val="a5"/>
    <w:uiPriority w:val="99"/>
    <w:rsid w:val="00E354EB"/>
  </w:style>
  <w:style w:type="paragraph" w:styleId="a7">
    <w:name w:val="footer"/>
    <w:basedOn w:val="a"/>
    <w:link w:val="a8"/>
    <w:uiPriority w:val="99"/>
    <w:unhideWhenUsed/>
    <w:rsid w:val="00E354EB"/>
    <w:pPr>
      <w:tabs>
        <w:tab w:val="center" w:pos="4252"/>
        <w:tab w:val="right" w:pos="8504"/>
      </w:tabs>
      <w:snapToGrid w:val="0"/>
    </w:pPr>
  </w:style>
  <w:style w:type="character" w:customStyle="1" w:styleId="a8">
    <w:name w:val="フッター (文字)"/>
    <w:basedOn w:val="a0"/>
    <w:link w:val="a7"/>
    <w:uiPriority w:val="99"/>
    <w:rsid w:val="00E35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87B3B-4304-4A0A-9C7A-477E41E48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2025-08-19T06:56:00Z</dcterms:created>
  <dcterms:modified xsi:type="dcterms:W3CDTF">2025-08-19T06:56:00Z</dcterms:modified>
</cp:coreProperties>
</file>