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48A6AD4B" w:rsidR="00961D85" w:rsidRPr="00580723" w:rsidRDefault="00961D85">
      <w:pPr>
        <w:rPr>
          <w:szCs w:val="21"/>
        </w:rPr>
      </w:pPr>
      <w:r w:rsidRPr="00580723">
        <w:rPr>
          <w:rFonts w:hint="eastAsia"/>
          <w:szCs w:val="21"/>
        </w:rPr>
        <w:t>第</w:t>
      </w:r>
      <w:r w:rsidR="00CA1641" w:rsidRPr="00580723">
        <w:rPr>
          <w:rFonts w:hint="eastAsia"/>
          <w:szCs w:val="21"/>
        </w:rPr>
        <w:t>３</w:t>
      </w:r>
      <w:r w:rsidRPr="00580723">
        <w:rPr>
          <w:szCs w:val="21"/>
        </w:rPr>
        <w:t>回大阪IR（統合型リゾート）説明会　アンケートによる質問について</w:t>
      </w:r>
    </w:p>
    <w:p w14:paraId="13A6795F" w14:textId="77777777" w:rsidR="000411BF" w:rsidRDefault="000411BF"/>
    <w:p w14:paraId="748AEC1A" w14:textId="4B228050" w:rsidR="00961D85" w:rsidRDefault="00961D85" w:rsidP="00961D85">
      <w:pPr>
        <w:ind w:firstLineChars="100" w:firstLine="210"/>
      </w:pPr>
      <w:r>
        <w:rPr>
          <w:rFonts w:hint="eastAsia"/>
        </w:rPr>
        <w:t xml:space="preserve">●受付件数　</w:t>
      </w:r>
      <w:r w:rsidR="0065291C">
        <w:rPr>
          <w:rFonts w:hint="eastAsia"/>
        </w:rPr>
        <w:t>10</w:t>
      </w:r>
      <w:r w:rsidRPr="00961D85">
        <w:rPr>
          <w:rFonts w:hint="eastAsia"/>
        </w:rPr>
        <w:t>件</w:t>
      </w:r>
    </w:p>
    <w:tbl>
      <w:tblPr>
        <w:tblStyle w:val="a3"/>
        <w:tblW w:w="15446" w:type="dxa"/>
        <w:tblLook w:val="04A0" w:firstRow="1" w:lastRow="0" w:firstColumn="1" w:lastColumn="0" w:noHBand="0" w:noVBand="1"/>
      </w:tblPr>
      <w:tblGrid>
        <w:gridCol w:w="562"/>
        <w:gridCol w:w="6379"/>
        <w:gridCol w:w="8505"/>
      </w:tblGrid>
      <w:tr w:rsidR="00961D85" w14:paraId="61F16231" w14:textId="77777777" w:rsidTr="00CE630F">
        <w:trPr>
          <w:trHeight w:val="324"/>
        </w:trPr>
        <w:tc>
          <w:tcPr>
            <w:tcW w:w="562" w:type="dxa"/>
          </w:tcPr>
          <w:p w14:paraId="1090A34D" w14:textId="77777777" w:rsidR="00961D85" w:rsidRPr="00937DCA" w:rsidRDefault="00961D85">
            <w:pPr>
              <w:rPr>
                <w:sz w:val="20"/>
                <w:szCs w:val="20"/>
              </w:rPr>
            </w:pPr>
          </w:p>
        </w:tc>
        <w:tc>
          <w:tcPr>
            <w:tcW w:w="6379" w:type="dxa"/>
          </w:tcPr>
          <w:p w14:paraId="17D56C36" w14:textId="77777777" w:rsidR="00961D85" w:rsidRPr="00937DCA" w:rsidRDefault="00961D85" w:rsidP="00961D85">
            <w:pPr>
              <w:jc w:val="center"/>
              <w:rPr>
                <w:szCs w:val="21"/>
              </w:rPr>
            </w:pPr>
            <w:r w:rsidRPr="00937DCA">
              <w:rPr>
                <w:rFonts w:hint="eastAsia"/>
                <w:szCs w:val="21"/>
              </w:rPr>
              <w:t>質問</w:t>
            </w:r>
          </w:p>
        </w:tc>
        <w:tc>
          <w:tcPr>
            <w:tcW w:w="8505" w:type="dxa"/>
          </w:tcPr>
          <w:p w14:paraId="71A4FFAC" w14:textId="77777777" w:rsidR="00961D85" w:rsidRPr="00937DCA" w:rsidRDefault="00961D85" w:rsidP="00961D85">
            <w:pPr>
              <w:jc w:val="center"/>
              <w:rPr>
                <w:szCs w:val="21"/>
              </w:rPr>
            </w:pPr>
            <w:r w:rsidRPr="00937DCA">
              <w:rPr>
                <w:rFonts w:hint="eastAsia"/>
                <w:szCs w:val="21"/>
              </w:rPr>
              <w:t>回答</w:t>
            </w:r>
          </w:p>
        </w:tc>
      </w:tr>
      <w:tr w:rsidR="00CE630F" w14:paraId="550507BE" w14:textId="77777777" w:rsidTr="00CE630F">
        <w:trPr>
          <w:trHeight w:val="1113"/>
        </w:trPr>
        <w:tc>
          <w:tcPr>
            <w:tcW w:w="562" w:type="dxa"/>
          </w:tcPr>
          <w:p w14:paraId="78A2BF37" w14:textId="380A46BC" w:rsidR="00CE630F" w:rsidRPr="00937DCA" w:rsidRDefault="00CE630F" w:rsidP="000411BF">
            <w:pPr>
              <w:jc w:val="center"/>
              <w:rPr>
                <w:sz w:val="20"/>
                <w:szCs w:val="20"/>
              </w:rPr>
            </w:pPr>
            <w:r>
              <w:rPr>
                <w:rFonts w:hint="eastAsia"/>
                <w:sz w:val="20"/>
                <w:szCs w:val="20"/>
              </w:rPr>
              <w:t>1</w:t>
            </w:r>
          </w:p>
        </w:tc>
        <w:tc>
          <w:tcPr>
            <w:tcW w:w="6379" w:type="dxa"/>
          </w:tcPr>
          <w:p w14:paraId="0AF92A43" w14:textId="77777777" w:rsidR="00CE630F" w:rsidRPr="00CE630F" w:rsidRDefault="00CE630F" w:rsidP="00CE630F">
            <w:pPr>
              <w:rPr>
                <w:sz w:val="20"/>
                <w:szCs w:val="20"/>
              </w:rPr>
            </w:pPr>
            <w:r w:rsidRPr="00CE630F">
              <w:rPr>
                <w:sz w:val="20"/>
                <w:szCs w:val="20"/>
              </w:rPr>
              <w:t>IR事業に係るリスクで最も重要なのは、ギャンブル依存症になった本人とその家族の被害・不幸と、それによる納税者の減少、さらにその方々の医療や生活保障対策に税金が投入されることだと思うが、その責任はだれが負うのか。</w:t>
            </w:r>
          </w:p>
          <w:p w14:paraId="168E9353" w14:textId="13D702D1" w:rsidR="00CE630F" w:rsidRPr="00937DCA" w:rsidRDefault="00CE630F" w:rsidP="00CE630F">
            <w:pPr>
              <w:rPr>
                <w:sz w:val="20"/>
                <w:szCs w:val="20"/>
              </w:rPr>
            </w:pPr>
            <w:r w:rsidRPr="00CE630F">
              <w:rPr>
                <w:rFonts w:hint="eastAsia"/>
                <w:sz w:val="20"/>
                <w:szCs w:val="20"/>
              </w:rPr>
              <w:t>事業を計画するにあたり、外国ですでに現れている様々なリスクに対して、どのようなリサーチ、検証をしたのか具体的に示してほしい。</w:t>
            </w:r>
          </w:p>
        </w:tc>
        <w:tc>
          <w:tcPr>
            <w:tcW w:w="8505" w:type="dxa"/>
            <w:vMerge w:val="restart"/>
          </w:tcPr>
          <w:p w14:paraId="41F09B57" w14:textId="284CA679" w:rsidR="004916C1" w:rsidRPr="004916C1" w:rsidRDefault="004916C1" w:rsidP="004916C1">
            <w:pPr>
              <w:ind w:firstLineChars="100" w:firstLine="200"/>
              <w:rPr>
                <w:sz w:val="20"/>
                <w:szCs w:val="20"/>
              </w:rPr>
            </w:pPr>
            <w:r w:rsidRPr="004916C1">
              <w:rPr>
                <w:rFonts w:hint="eastAsia"/>
                <w:sz w:val="20"/>
                <w:szCs w:val="20"/>
              </w:rPr>
              <w:t>国が行った調査報告書では、「社会的コストの範囲、定量化については、各文献で様々な差異があり、確</w:t>
            </w:r>
            <w:r w:rsidR="009F398A">
              <w:rPr>
                <w:rFonts w:hint="eastAsia"/>
                <w:sz w:val="20"/>
                <w:szCs w:val="20"/>
              </w:rPr>
              <w:t>立</w:t>
            </w:r>
            <w:r w:rsidRPr="004916C1">
              <w:rPr>
                <w:rFonts w:hint="eastAsia"/>
                <w:sz w:val="20"/>
                <w:szCs w:val="20"/>
              </w:rPr>
              <w:t>されたモデルが存在するとはいいがたい」とされています。</w:t>
            </w:r>
          </w:p>
          <w:p w14:paraId="46841F30" w14:textId="72552602" w:rsidR="004916C1" w:rsidRPr="004916C1" w:rsidRDefault="004916C1" w:rsidP="004916C1">
            <w:pPr>
              <w:ind w:firstLineChars="100" w:firstLine="200"/>
              <w:rPr>
                <w:sz w:val="20"/>
                <w:szCs w:val="20"/>
              </w:rPr>
            </w:pPr>
            <w:r w:rsidRPr="004916C1">
              <w:rPr>
                <w:rFonts w:hint="eastAsia"/>
                <w:sz w:val="20"/>
                <w:szCs w:val="20"/>
              </w:rPr>
              <w:t>こういったことから、カジノの設置を原因とする個々の事象を正確に把握し、損失として計上すべき費用を明示することは、非常に困難なものと考えています。</w:t>
            </w:r>
          </w:p>
          <w:p w14:paraId="55AD5252" w14:textId="47A01575" w:rsidR="004916C1" w:rsidRPr="004916C1" w:rsidRDefault="004916C1" w:rsidP="004916C1">
            <w:pPr>
              <w:ind w:firstLineChars="100" w:firstLine="200"/>
              <w:rPr>
                <w:sz w:val="20"/>
                <w:szCs w:val="20"/>
              </w:rPr>
            </w:pPr>
            <w:r w:rsidRPr="004916C1">
              <w:rPr>
                <w:rFonts w:hint="eastAsia"/>
                <w:sz w:val="20"/>
                <w:szCs w:val="20"/>
              </w:rPr>
              <w:t>一方で、シンガポールでは、カジノの導入をきっかけに、国を挙げて依存症対策に取り組んだことで、カジノの設置前後で、ギャンブル等依存が疑われる者の割合が減っているという事実があります。</w:t>
            </w:r>
          </w:p>
          <w:p w14:paraId="76B691D1" w14:textId="11EEF578" w:rsidR="00CE630F" w:rsidRPr="00937DCA" w:rsidRDefault="004916C1" w:rsidP="004916C1">
            <w:pPr>
              <w:ind w:firstLineChars="100" w:firstLine="200"/>
              <w:rPr>
                <w:sz w:val="20"/>
                <w:szCs w:val="20"/>
              </w:rPr>
            </w:pPr>
            <w:r w:rsidRPr="004916C1">
              <w:rPr>
                <w:rFonts w:hint="eastAsia"/>
                <w:sz w:val="20"/>
                <w:szCs w:val="20"/>
              </w:rPr>
              <w:t>大阪府市としては、世界の先進事例に加え、大阪独自の対策をミックスした総合的かつシームレスな取組を区域整備計画に取りまとめました。また、区域認定後は、ギャンブル等依存が疑われる者等の割合の調査を毎年行い、調査結果を一つの指標としながら、既存のギャンブルに起因するものも含めて、依存症対策に正面から取組み、その数値の低減をめざして、万全の対策を講じてまいります。</w:t>
            </w:r>
          </w:p>
        </w:tc>
      </w:tr>
      <w:tr w:rsidR="00CE630F" w14:paraId="29B86DFC" w14:textId="77777777" w:rsidTr="00CE630F">
        <w:trPr>
          <w:trHeight w:val="1113"/>
        </w:trPr>
        <w:tc>
          <w:tcPr>
            <w:tcW w:w="562" w:type="dxa"/>
          </w:tcPr>
          <w:p w14:paraId="5498D147" w14:textId="00AB619F" w:rsidR="00CE630F" w:rsidRDefault="00CE630F" w:rsidP="000411BF">
            <w:pPr>
              <w:jc w:val="center"/>
              <w:rPr>
                <w:sz w:val="20"/>
                <w:szCs w:val="20"/>
              </w:rPr>
            </w:pPr>
            <w:r>
              <w:rPr>
                <w:rFonts w:hint="eastAsia"/>
                <w:sz w:val="20"/>
                <w:szCs w:val="20"/>
              </w:rPr>
              <w:t>2</w:t>
            </w:r>
          </w:p>
        </w:tc>
        <w:tc>
          <w:tcPr>
            <w:tcW w:w="6379" w:type="dxa"/>
          </w:tcPr>
          <w:p w14:paraId="05A179C5" w14:textId="5789E616" w:rsidR="00CE630F" w:rsidRPr="00937DCA" w:rsidRDefault="00CE630F">
            <w:pPr>
              <w:rPr>
                <w:sz w:val="20"/>
                <w:szCs w:val="20"/>
              </w:rPr>
            </w:pPr>
            <w:r w:rsidRPr="00CE630F">
              <w:rPr>
                <w:rFonts w:hint="eastAsia"/>
                <w:sz w:val="20"/>
                <w:szCs w:val="20"/>
              </w:rPr>
              <w:t>「</w:t>
            </w:r>
            <w:r w:rsidRPr="00CE630F">
              <w:rPr>
                <w:sz w:val="20"/>
                <w:szCs w:val="20"/>
              </w:rPr>
              <w:t>IR事業に係るリスク」の最大の事は、ギャンブル依存症による本人・家族の被害及び納税者が減り、かえってその方々の治療・生活保障にかかる税金の投入が必要になるが、その事についてはリスクと考えていないのか。</w:t>
            </w:r>
          </w:p>
        </w:tc>
        <w:tc>
          <w:tcPr>
            <w:tcW w:w="8505" w:type="dxa"/>
            <w:vMerge/>
          </w:tcPr>
          <w:p w14:paraId="1EC94067" w14:textId="77777777" w:rsidR="00CE630F" w:rsidRPr="00923E59" w:rsidRDefault="00CE630F">
            <w:pPr>
              <w:rPr>
                <w:sz w:val="20"/>
                <w:szCs w:val="20"/>
              </w:rPr>
            </w:pPr>
          </w:p>
        </w:tc>
      </w:tr>
      <w:tr w:rsidR="009309DE" w14:paraId="312AAD8E" w14:textId="77777777" w:rsidTr="00CE630F">
        <w:trPr>
          <w:trHeight w:val="1113"/>
        </w:trPr>
        <w:tc>
          <w:tcPr>
            <w:tcW w:w="562" w:type="dxa"/>
          </w:tcPr>
          <w:p w14:paraId="7BC3B143" w14:textId="7365537B" w:rsidR="009309DE" w:rsidRDefault="009309DE" w:rsidP="000411BF">
            <w:pPr>
              <w:jc w:val="center"/>
              <w:rPr>
                <w:sz w:val="20"/>
                <w:szCs w:val="20"/>
              </w:rPr>
            </w:pPr>
            <w:r>
              <w:rPr>
                <w:rFonts w:hint="eastAsia"/>
                <w:sz w:val="20"/>
                <w:szCs w:val="20"/>
              </w:rPr>
              <w:t>3</w:t>
            </w:r>
          </w:p>
        </w:tc>
        <w:tc>
          <w:tcPr>
            <w:tcW w:w="6379" w:type="dxa"/>
          </w:tcPr>
          <w:p w14:paraId="1D745D2A" w14:textId="5D46E6C7" w:rsidR="009309DE" w:rsidRPr="00937DCA" w:rsidRDefault="00CE630F" w:rsidP="009309DE">
            <w:pPr>
              <w:rPr>
                <w:sz w:val="20"/>
                <w:szCs w:val="20"/>
              </w:rPr>
            </w:pPr>
            <w:r w:rsidRPr="00CE630F">
              <w:rPr>
                <w:rFonts w:hint="eastAsia"/>
                <w:sz w:val="20"/>
                <w:szCs w:val="20"/>
              </w:rPr>
              <w:t>バクチは胴元しか儲かりません。</w:t>
            </w:r>
            <w:r w:rsidRPr="00CE630F">
              <w:rPr>
                <w:sz w:val="20"/>
                <w:szCs w:val="20"/>
              </w:rPr>
              <w:t>MGMは外資。いろいろ莫大な税金投入してまで外資に儲けさせるためにバクチという治安が悪くなり、国民が被害に遭い、貧困化する。しかも犯罪横行する事しかないのが、全世界の実情を知りながら誰も得しない。国民が国が滅びるだけの事業を何故誘致するのか。マネーロンダリングという世界から利用されるだけの明らかな犯罪に対し、どうくい止める方法があるのか。</w:t>
            </w:r>
          </w:p>
        </w:tc>
        <w:tc>
          <w:tcPr>
            <w:tcW w:w="8505" w:type="dxa"/>
          </w:tcPr>
          <w:p w14:paraId="16345829" w14:textId="056B5A1B" w:rsidR="004916C1" w:rsidRPr="004916C1" w:rsidRDefault="004916C1" w:rsidP="004916C1">
            <w:pPr>
              <w:ind w:firstLineChars="100" w:firstLine="200"/>
              <w:rPr>
                <w:sz w:val="20"/>
                <w:szCs w:val="20"/>
              </w:rPr>
            </w:pPr>
            <w:r w:rsidRPr="004916C1">
              <w:rPr>
                <w:rFonts w:hint="eastAsia"/>
                <w:sz w:val="20"/>
                <w:szCs w:val="20"/>
              </w:rPr>
              <w:t>国の資料によると、</w:t>
            </w:r>
            <w:r w:rsidRPr="004916C1">
              <w:rPr>
                <w:sz w:val="20"/>
                <w:szCs w:val="20"/>
              </w:rPr>
              <w:t>2010年に、２つの</w:t>
            </w:r>
            <w:r w:rsidRPr="004916C1">
              <w:rPr>
                <w:rFonts w:hint="eastAsia"/>
                <w:sz w:val="20"/>
                <w:szCs w:val="20"/>
              </w:rPr>
              <w:t>⼤規模なＩＲが設置されたシンガポールでは、外国人旅行者数が増加しているものの、開業前後において、⼈⼝</w:t>
            </w:r>
            <w:r w:rsidRPr="004916C1">
              <w:rPr>
                <w:sz w:val="20"/>
                <w:szCs w:val="20"/>
              </w:rPr>
              <w:t>10万</w:t>
            </w:r>
            <w:r w:rsidRPr="004916C1">
              <w:rPr>
                <w:rFonts w:hint="eastAsia"/>
                <w:sz w:val="20"/>
                <w:szCs w:val="20"/>
              </w:rPr>
              <w:t>⼈当たりの犯罪認知率に⼤きな変化は⾒られず、また、犯罪類型に着⽬しても、体感治安の悪化につながるような、殺⼈、強姦、強盗、住居侵⼊、窃盗などの犯罪について、⼤きな変化は⾒られません。</w:t>
            </w:r>
          </w:p>
          <w:p w14:paraId="7126C7AD" w14:textId="74083A4B" w:rsidR="004916C1" w:rsidRPr="004916C1" w:rsidRDefault="004916C1" w:rsidP="004916C1">
            <w:pPr>
              <w:ind w:firstLineChars="100" w:firstLine="200"/>
              <w:rPr>
                <w:sz w:val="20"/>
                <w:szCs w:val="20"/>
              </w:rPr>
            </w:pPr>
            <w:r w:rsidRPr="004916C1">
              <w:rPr>
                <w:rFonts w:hint="eastAsia"/>
                <w:sz w:val="20"/>
                <w:szCs w:val="20"/>
              </w:rPr>
              <w:t>また、マネー・ローンダリング対策として、</w:t>
            </w:r>
            <w:r w:rsidR="00D04426">
              <w:rPr>
                <w:rFonts w:hint="eastAsia"/>
                <w:sz w:val="20"/>
                <w:szCs w:val="20"/>
              </w:rPr>
              <w:t>犯罪収益移転防止法</w:t>
            </w:r>
            <w:r w:rsidRPr="004916C1">
              <w:rPr>
                <w:rFonts w:hint="eastAsia"/>
                <w:sz w:val="20"/>
                <w:szCs w:val="20"/>
              </w:rPr>
              <w:t>による規制に加え、ＩＲ整備法によるカジノ独自の規制も上乗され、万全の対策をとることとしています。</w:t>
            </w:r>
          </w:p>
          <w:p w14:paraId="77C72D2F" w14:textId="173F984E" w:rsidR="004916C1" w:rsidRPr="004916C1" w:rsidRDefault="004916C1" w:rsidP="004916C1">
            <w:pPr>
              <w:ind w:firstLineChars="100" w:firstLine="200"/>
              <w:rPr>
                <w:sz w:val="20"/>
                <w:szCs w:val="20"/>
              </w:rPr>
            </w:pPr>
            <w:r w:rsidRPr="004916C1">
              <w:rPr>
                <w:rFonts w:hint="eastAsia"/>
                <w:sz w:val="20"/>
                <w:szCs w:val="20"/>
              </w:rPr>
              <w:t>具体的には、カジノ事業者に対し、犯罪収益移転防止規程の作成や巡回・監視カメラによる監視のほか、顧客との間で行う</w:t>
            </w:r>
            <w:r w:rsidRPr="004916C1">
              <w:rPr>
                <w:sz w:val="20"/>
                <w:szCs w:val="20"/>
              </w:rPr>
              <w:t>100万円超の現金取引や疑わしい取引等についてカジノ管理委員会への届出を義務付けています。</w:t>
            </w:r>
          </w:p>
          <w:p w14:paraId="1426D79F" w14:textId="7DC29AD6" w:rsidR="009309DE" w:rsidRPr="00923E59" w:rsidRDefault="004916C1" w:rsidP="004916C1">
            <w:pPr>
              <w:ind w:firstLineChars="100" w:firstLine="200"/>
              <w:rPr>
                <w:sz w:val="20"/>
                <w:szCs w:val="20"/>
              </w:rPr>
            </w:pPr>
            <w:r w:rsidRPr="004916C1">
              <w:rPr>
                <w:rFonts w:hint="eastAsia"/>
                <w:sz w:val="20"/>
                <w:szCs w:val="20"/>
              </w:rPr>
              <w:t>大阪府・市においても、大阪ＩＲの実現に向けて、ＩＲ事業者や大阪府警察、その他関係機関等と緊密に連携を図りながら、マネー・ローンダリング等の治安・地域風俗環境対策に取り組んでいきます。</w:t>
            </w:r>
          </w:p>
        </w:tc>
      </w:tr>
      <w:tr w:rsidR="009309DE" w14:paraId="34422EAC" w14:textId="77777777" w:rsidTr="00CE630F">
        <w:trPr>
          <w:trHeight w:val="1113"/>
        </w:trPr>
        <w:tc>
          <w:tcPr>
            <w:tcW w:w="562" w:type="dxa"/>
          </w:tcPr>
          <w:p w14:paraId="72685637" w14:textId="6D836ADF" w:rsidR="009309DE" w:rsidRDefault="009309DE" w:rsidP="000411BF">
            <w:pPr>
              <w:jc w:val="center"/>
              <w:rPr>
                <w:sz w:val="20"/>
                <w:szCs w:val="20"/>
              </w:rPr>
            </w:pPr>
            <w:r>
              <w:rPr>
                <w:rFonts w:hint="eastAsia"/>
                <w:sz w:val="20"/>
                <w:szCs w:val="20"/>
              </w:rPr>
              <w:lastRenderedPageBreak/>
              <w:t>4</w:t>
            </w:r>
          </w:p>
        </w:tc>
        <w:tc>
          <w:tcPr>
            <w:tcW w:w="6379" w:type="dxa"/>
          </w:tcPr>
          <w:p w14:paraId="27C06A5A" w14:textId="205C5615" w:rsidR="009309DE" w:rsidRPr="00937DCA" w:rsidRDefault="00CE630F" w:rsidP="009309DE">
            <w:pPr>
              <w:rPr>
                <w:sz w:val="20"/>
                <w:szCs w:val="20"/>
              </w:rPr>
            </w:pPr>
            <w:r w:rsidRPr="00CE630F">
              <w:rPr>
                <w:rFonts w:hint="eastAsia"/>
                <w:sz w:val="20"/>
                <w:szCs w:val="20"/>
              </w:rPr>
              <w:t>収容</w:t>
            </w:r>
            <w:r w:rsidRPr="00CE630F">
              <w:rPr>
                <w:sz w:val="20"/>
                <w:szCs w:val="20"/>
              </w:rPr>
              <w:t>2000万人とあるが、以前2800万人と言っていたのがなぜ減少したか。</w:t>
            </w:r>
          </w:p>
        </w:tc>
        <w:tc>
          <w:tcPr>
            <w:tcW w:w="8505" w:type="dxa"/>
          </w:tcPr>
          <w:p w14:paraId="41AB6D4B" w14:textId="77777777" w:rsidR="004916C1" w:rsidRPr="004916C1" w:rsidRDefault="004916C1" w:rsidP="004916C1">
            <w:pPr>
              <w:rPr>
                <w:sz w:val="20"/>
                <w:szCs w:val="20"/>
              </w:rPr>
            </w:pPr>
            <w:r w:rsidRPr="004916C1">
              <w:rPr>
                <w:rFonts w:hint="eastAsia"/>
                <w:sz w:val="20"/>
                <w:szCs w:val="20"/>
              </w:rPr>
              <w:t xml:space="preserve">　大阪</w:t>
            </w:r>
            <w:r w:rsidRPr="004916C1">
              <w:rPr>
                <w:sz w:val="20"/>
                <w:szCs w:val="20"/>
              </w:rPr>
              <w:t>IR事業では、IRの立地により、年間2,000万人の来訪者を見込んでいます。</w:t>
            </w:r>
          </w:p>
          <w:p w14:paraId="1BBCC79A" w14:textId="688CA4FE" w:rsidR="009309DE" w:rsidRPr="00923E59" w:rsidRDefault="004916C1" w:rsidP="004916C1">
            <w:pPr>
              <w:rPr>
                <w:sz w:val="20"/>
                <w:szCs w:val="20"/>
              </w:rPr>
            </w:pPr>
            <w:r w:rsidRPr="004916C1">
              <w:rPr>
                <w:rFonts w:hint="eastAsia"/>
                <w:sz w:val="20"/>
                <w:szCs w:val="20"/>
              </w:rPr>
              <w:t xml:space="preserve">　また、</w:t>
            </w:r>
            <w:r w:rsidRPr="004916C1">
              <w:rPr>
                <w:sz w:val="20"/>
                <w:szCs w:val="20"/>
              </w:rPr>
              <w:t>2019年に策定した「大阪IR基本構想」では、年間1,500万人の来訪者数を想定していました。</w:t>
            </w:r>
          </w:p>
        </w:tc>
      </w:tr>
      <w:tr w:rsidR="009309DE" w14:paraId="1320AC47" w14:textId="77777777" w:rsidTr="00CE630F">
        <w:trPr>
          <w:trHeight w:val="1113"/>
        </w:trPr>
        <w:tc>
          <w:tcPr>
            <w:tcW w:w="562" w:type="dxa"/>
          </w:tcPr>
          <w:p w14:paraId="460BF6FB" w14:textId="5573926C" w:rsidR="009309DE" w:rsidRDefault="009309DE" w:rsidP="000411BF">
            <w:pPr>
              <w:jc w:val="center"/>
              <w:rPr>
                <w:sz w:val="20"/>
                <w:szCs w:val="20"/>
              </w:rPr>
            </w:pPr>
            <w:r>
              <w:rPr>
                <w:rFonts w:hint="eastAsia"/>
                <w:sz w:val="20"/>
                <w:szCs w:val="20"/>
              </w:rPr>
              <w:t>5</w:t>
            </w:r>
          </w:p>
        </w:tc>
        <w:tc>
          <w:tcPr>
            <w:tcW w:w="6379" w:type="dxa"/>
          </w:tcPr>
          <w:p w14:paraId="540EDAB7" w14:textId="39C42DEF" w:rsidR="009309DE" w:rsidRPr="00937DCA" w:rsidRDefault="00CE630F">
            <w:pPr>
              <w:rPr>
                <w:sz w:val="20"/>
                <w:szCs w:val="20"/>
              </w:rPr>
            </w:pPr>
            <w:r w:rsidRPr="00CE630F">
              <w:rPr>
                <w:rFonts w:hint="eastAsia"/>
                <w:sz w:val="20"/>
                <w:szCs w:val="20"/>
              </w:rPr>
              <w:t>実施協定が締結されてからの意見はどのように反映されるのですか。</w:t>
            </w:r>
          </w:p>
        </w:tc>
        <w:tc>
          <w:tcPr>
            <w:tcW w:w="8505" w:type="dxa"/>
          </w:tcPr>
          <w:p w14:paraId="58E98F06" w14:textId="5ECF47EB" w:rsidR="009309DE" w:rsidRPr="00923E59" w:rsidRDefault="004916C1" w:rsidP="00CA1641">
            <w:pPr>
              <w:rPr>
                <w:sz w:val="20"/>
                <w:szCs w:val="20"/>
              </w:rPr>
            </w:pPr>
            <w:r w:rsidRPr="004916C1">
              <w:rPr>
                <w:rFonts w:hint="eastAsia"/>
                <w:sz w:val="20"/>
                <w:szCs w:val="20"/>
              </w:rPr>
              <w:t>実施協定については、これまで実施方針や戦略会議等において、その骨格となる部分を明らかにしてきており、令和</w:t>
            </w:r>
            <w:r w:rsidRPr="004916C1">
              <w:rPr>
                <w:sz w:val="20"/>
                <w:szCs w:val="20"/>
              </w:rPr>
              <w:t>5年9月の副首都推進本部会議及び戦略会議においてその骨子案を確認・公表したうえで、国からの認可を受け、IR事業者と協定を締結したところです。ＩＲの実現に向けては、府民・市民の理解を深めていくことが重要であると認識しており、今後も、情報発信の内容の充実を図りながら効果的・効率的な広報を実施し、より多くの府民・市民の理解が深まるよう取り組んでいきます。</w:t>
            </w:r>
          </w:p>
        </w:tc>
      </w:tr>
      <w:tr w:rsidR="009309DE" w14:paraId="6EDA9CBC" w14:textId="77777777" w:rsidTr="00CE630F">
        <w:trPr>
          <w:trHeight w:val="1113"/>
        </w:trPr>
        <w:tc>
          <w:tcPr>
            <w:tcW w:w="562" w:type="dxa"/>
          </w:tcPr>
          <w:p w14:paraId="6CA1C191" w14:textId="3B3D890E" w:rsidR="009309DE" w:rsidRDefault="009309DE" w:rsidP="000411BF">
            <w:pPr>
              <w:jc w:val="center"/>
              <w:rPr>
                <w:sz w:val="20"/>
                <w:szCs w:val="20"/>
              </w:rPr>
            </w:pPr>
            <w:r>
              <w:rPr>
                <w:rFonts w:hint="eastAsia"/>
                <w:sz w:val="20"/>
                <w:szCs w:val="20"/>
              </w:rPr>
              <w:t>6</w:t>
            </w:r>
          </w:p>
        </w:tc>
        <w:tc>
          <w:tcPr>
            <w:tcW w:w="6379" w:type="dxa"/>
          </w:tcPr>
          <w:p w14:paraId="148BD70F" w14:textId="2F487785" w:rsidR="009309DE" w:rsidRPr="00937DCA" w:rsidRDefault="00CE630F">
            <w:pPr>
              <w:rPr>
                <w:sz w:val="20"/>
                <w:szCs w:val="20"/>
              </w:rPr>
            </w:pPr>
            <w:r w:rsidRPr="00CE630F">
              <w:rPr>
                <w:rFonts w:hint="eastAsia"/>
                <w:sz w:val="20"/>
                <w:szCs w:val="20"/>
              </w:rPr>
              <w:t>事業者と府市がやり取りした資料はいつ公開されるのですか。</w:t>
            </w:r>
          </w:p>
        </w:tc>
        <w:tc>
          <w:tcPr>
            <w:tcW w:w="8505" w:type="dxa"/>
          </w:tcPr>
          <w:p w14:paraId="53C605D5" w14:textId="0A6247F7" w:rsidR="009309DE" w:rsidRPr="00923E59" w:rsidRDefault="004916C1" w:rsidP="00CA1641">
            <w:pPr>
              <w:rPr>
                <w:sz w:val="20"/>
                <w:szCs w:val="20"/>
              </w:rPr>
            </w:pPr>
            <w:r w:rsidRPr="004916C1">
              <w:rPr>
                <w:rFonts w:hint="eastAsia"/>
                <w:sz w:val="20"/>
                <w:szCs w:val="20"/>
              </w:rPr>
              <w:t>事業者との協議録については、公表の予定はありません。</w:t>
            </w:r>
          </w:p>
        </w:tc>
      </w:tr>
      <w:tr w:rsidR="009309DE" w14:paraId="438AD5D9" w14:textId="77777777" w:rsidTr="00CE630F">
        <w:trPr>
          <w:trHeight w:val="1113"/>
        </w:trPr>
        <w:tc>
          <w:tcPr>
            <w:tcW w:w="562" w:type="dxa"/>
          </w:tcPr>
          <w:p w14:paraId="1C46B035" w14:textId="70F303F4" w:rsidR="009309DE" w:rsidRDefault="009309DE" w:rsidP="000411BF">
            <w:pPr>
              <w:jc w:val="center"/>
              <w:rPr>
                <w:sz w:val="20"/>
                <w:szCs w:val="20"/>
              </w:rPr>
            </w:pPr>
            <w:r>
              <w:rPr>
                <w:rFonts w:hint="eastAsia"/>
                <w:sz w:val="20"/>
                <w:szCs w:val="20"/>
              </w:rPr>
              <w:t>7</w:t>
            </w:r>
          </w:p>
        </w:tc>
        <w:tc>
          <w:tcPr>
            <w:tcW w:w="6379" w:type="dxa"/>
          </w:tcPr>
          <w:p w14:paraId="5EE2A463" w14:textId="0CDCE318" w:rsidR="009309DE" w:rsidRPr="009309DE" w:rsidRDefault="00CE630F">
            <w:pPr>
              <w:rPr>
                <w:sz w:val="20"/>
                <w:szCs w:val="20"/>
              </w:rPr>
            </w:pPr>
            <w:r w:rsidRPr="00CE630F">
              <w:rPr>
                <w:rFonts w:hint="eastAsia"/>
                <w:sz w:val="20"/>
                <w:szCs w:val="20"/>
              </w:rPr>
              <w:t>事業前提条件の内容は、どのような経緯・理由で決められたのか。</w:t>
            </w:r>
          </w:p>
        </w:tc>
        <w:tc>
          <w:tcPr>
            <w:tcW w:w="8505" w:type="dxa"/>
          </w:tcPr>
          <w:p w14:paraId="18C31884" w14:textId="77777777" w:rsidR="004916C1" w:rsidRPr="004916C1" w:rsidRDefault="004916C1" w:rsidP="004916C1">
            <w:pPr>
              <w:ind w:firstLineChars="100" w:firstLine="200"/>
              <w:rPr>
                <w:sz w:val="20"/>
                <w:szCs w:val="20"/>
              </w:rPr>
            </w:pPr>
            <w:r w:rsidRPr="004916C1">
              <w:rPr>
                <w:sz w:val="20"/>
                <w:szCs w:val="20"/>
              </w:rPr>
              <w:t>IRは日本にこれまでにない事業であり、投資規模等を踏まえると、その実現に向けては、当然、投資環境が整っていることが必要ですが、現時点では、</w:t>
            </w:r>
          </w:p>
          <w:p w14:paraId="0F904C9C" w14:textId="77777777" w:rsidR="004916C1" w:rsidRPr="004916C1" w:rsidRDefault="004916C1" w:rsidP="004916C1">
            <w:pPr>
              <w:rPr>
                <w:sz w:val="20"/>
                <w:szCs w:val="20"/>
              </w:rPr>
            </w:pPr>
            <w:r w:rsidRPr="004916C1">
              <w:rPr>
                <w:rFonts w:hint="eastAsia"/>
                <w:sz w:val="20"/>
                <w:szCs w:val="20"/>
              </w:rPr>
              <w:t>・国の制度設計は、</w:t>
            </w:r>
            <w:r w:rsidRPr="004916C1">
              <w:rPr>
                <w:sz w:val="20"/>
                <w:szCs w:val="20"/>
              </w:rPr>
              <w:t>IR税制の法制化やカジノ管理委員会規則等が制定されたものの、いずれも具体的な取扱い等が明確になっていない状況</w:t>
            </w:r>
          </w:p>
          <w:p w14:paraId="2DD7A92E" w14:textId="77777777" w:rsidR="004916C1" w:rsidRPr="004916C1" w:rsidRDefault="004916C1" w:rsidP="004916C1">
            <w:pPr>
              <w:rPr>
                <w:sz w:val="20"/>
                <w:szCs w:val="20"/>
              </w:rPr>
            </w:pPr>
            <w:r w:rsidRPr="004916C1">
              <w:rPr>
                <w:rFonts w:hint="eastAsia"/>
                <w:sz w:val="20"/>
                <w:szCs w:val="20"/>
              </w:rPr>
              <w:t>・夢洲特有の課題は、地盤に係る各種調査・詳細分析が実施され、今後、具体的な設計作業等が進められていく状況</w:t>
            </w:r>
          </w:p>
          <w:p w14:paraId="45821F81" w14:textId="77777777" w:rsidR="004916C1" w:rsidRPr="004916C1" w:rsidRDefault="004916C1" w:rsidP="004916C1">
            <w:pPr>
              <w:rPr>
                <w:sz w:val="20"/>
                <w:szCs w:val="20"/>
              </w:rPr>
            </w:pPr>
            <w:r w:rsidRPr="004916C1">
              <w:rPr>
                <w:rFonts w:hint="eastAsia"/>
                <w:sz w:val="20"/>
                <w:szCs w:val="20"/>
              </w:rPr>
              <w:t>・観光需要は、回復傾向にはあるものの、現時点では、国内外の観光需要の従前水準までの回復には至っていない状況</w:t>
            </w:r>
          </w:p>
          <w:p w14:paraId="2BFF70E1" w14:textId="77777777" w:rsidR="004916C1" w:rsidRPr="004916C1" w:rsidRDefault="004916C1" w:rsidP="004916C1">
            <w:pPr>
              <w:rPr>
                <w:sz w:val="20"/>
                <w:szCs w:val="20"/>
              </w:rPr>
            </w:pPr>
            <w:r w:rsidRPr="004916C1">
              <w:rPr>
                <w:rFonts w:hint="eastAsia"/>
                <w:sz w:val="20"/>
                <w:szCs w:val="20"/>
              </w:rPr>
              <w:t>です。</w:t>
            </w:r>
          </w:p>
          <w:p w14:paraId="019A397D" w14:textId="77777777" w:rsidR="004916C1" w:rsidRPr="004916C1" w:rsidRDefault="004916C1" w:rsidP="004916C1">
            <w:pPr>
              <w:ind w:firstLineChars="100" w:firstLine="200"/>
              <w:rPr>
                <w:sz w:val="20"/>
                <w:szCs w:val="20"/>
              </w:rPr>
            </w:pPr>
            <w:r w:rsidRPr="004916C1">
              <w:rPr>
                <w:rFonts w:hint="eastAsia"/>
                <w:sz w:val="20"/>
                <w:szCs w:val="20"/>
              </w:rPr>
              <w:t>そういった状況を踏まえ、基本協定に定める事業者の解除権について、引き続き実施協定においても盛り込むこととしたものです。</w:t>
            </w:r>
          </w:p>
          <w:p w14:paraId="37C96094" w14:textId="149C2A68" w:rsidR="009309DE" w:rsidRPr="009309DE" w:rsidRDefault="004916C1" w:rsidP="004916C1">
            <w:pPr>
              <w:ind w:firstLineChars="100" w:firstLine="200"/>
              <w:rPr>
                <w:sz w:val="20"/>
                <w:szCs w:val="20"/>
              </w:rPr>
            </w:pPr>
            <w:r w:rsidRPr="004916C1">
              <w:rPr>
                <w:rFonts w:hint="eastAsia"/>
                <w:sz w:val="20"/>
                <w:szCs w:val="20"/>
              </w:rPr>
              <w:t>事業前提条件については、税務上の取り扱いやカジノ管理委員会規則の国際競争力・国際標準の確保、資金調達における融資実行の合理的見込み、土地・土壌に関する市における適切な措置の実施等、観光需要の回復見込みなどを条件としており、行使期限を</w:t>
            </w:r>
            <w:r w:rsidRPr="004916C1">
              <w:rPr>
                <w:sz w:val="20"/>
                <w:szCs w:val="20"/>
              </w:rPr>
              <w:t>2026年９月末までとする事業者の解除権を設定しています。</w:t>
            </w:r>
          </w:p>
        </w:tc>
      </w:tr>
      <w:tr w:rsidR="009309DE" w14:paraId="64CAEB58" w14:textId="77777777" w:rsidTr="00CE630F">
        <w:trPr>
          <w:trHeight w:val="1113"/>
        </w:trPr>
        <w:tc>
          <w:tcPr>
            <w:tcW w:w="562" w:type="dxa"/>
          </w:tcPr>
          <w:p w14:paraId="4DE35ECA" w14:textId="78824F9F" w:rsidR="009309DE" w:rsidRDefault="009309DE" w:rsidP="000411BF">
            <w:pPr>
              <w:jc w:val="center"/>
              <w:rPr>
                <w:sz w:val="20"/>
                <w:szCs w:val="20"/>
              </w:rPr>
            </w:pPr>
            <w:r>
              <w:rPr>
                <w:rFonts w:hint="eastAsia"/>
                <w:sz w:val="20"/>
                <w:szCs w:val="20"/>
              </w:rPr>
              <w:lastRenderedPageBreak/>
              <w:t>8</w:t>
            </w:r>
          </w:p>
        </w:tc>
        <w:tc>
          <w:tcPr>
            <w:tcW w:w="6379" w:type="dxa"/>
          </w:tcPr>
          <w:p w14:paraId="26B842AD" w14:textId="07820725" w:rsidR="009309DE" w:rsidRPr="009309DE" w:rsidRDefault="00CE630F">
            <w:pPr>
              <w:rPr>
                <w:sz w:val="20"/>
                <w:szCs w:val="20"/>
              </w:rPr>
            </w:pPr>
            <w:r w:rsidRPr="00CE630F">
              <w:rPr>
                <w:rFonts w:hint="eastAsia"/>
                <w:sz w:val="20"/>
                <w:szCs w:val="20"/>
              </w:rPr>
              <w:t>ずぶずぶの土地に大きな建物が本当に建つのか、一体いくら税金が投入されるのか。万博は、プレハブしか建てられない状況ではないか。</w:t>
            </w:r>
          </w:p>
        </w:tc>
        <w:tc>
          <w:tcPr>
            <w:tcW w:w="8505" w:type="dxa"/>
          </w:tcPr>
          <w:p w14:paraId="417340F0" w14:textId="753F4332" w:rsidR="004916C1" w:rsidRPr="004916C1" w:rsidRDefault="004916C1" w:rsidP="004916C1">
            <w:pPr>
              <w:ind w:firstLineChars="100" w:firstLine="200"/>
              <w:rPr>
                <w:sz w:val="20"/>
                <w:szCs w:val="20"/>
              </w:rPr>
            </w:pPr>
            <w:r w:rsidRPr="004916C1">
              <w:rPr>
                <w:rFonts w:hint="eastAsia"/>
                <w:sz w:val="20"/>
                <w:szCs w:val="20"/>
              </w:rPr>
              <w:t>夢洲特有の軟弱地盤により長期に地盤沈下が生じることが見込まれておりますが、ＩＲ施設に必要となる地盤沈下対策につきましては、建物建設時及び開業後の対応ともに、事業者において適切に実施するものとしております。</w:t>
            </w:r>
          </w:p>
          <w:p w14:paraId="05E2B1C8" w14:textId="1701BB98" w:rsidR="009309DE" w:rsidRPr="009309DE" w:rsidRDefault="004916C1" w:rsidP="004916C1">
            <w:pPr>
              <w:ind w:firstLineChars="100" w:firstLine="200"/>
              <w:rPr>
                <w:sz w:val="20"/>
                <w:szCs w:val="20"/>
              </w:rPr>
            </w:pPr>
            <w:r w:rsidRPr="004916C1">
              <w:rPr>
                <w:rFonts w:hint="eastAsia"/>
                <w:sz w:val="20"/>
                <w:szCs w:val="20"/>
              </w:rPr>
              <w:t>現在、事業者において、その詳細な検討を進められているところですが、地盤沈下への対応としては、建物基礎を「杭構造」とすることによる建物の不同沈下量の低減、建物重量と同等程度の地盤を掘削･排土し、地盤沈下量の軽減を図る「排土バランスの確保」による地盤沈下対策を予定しております。</w:t>
            </w:r>
          </w:p>
        </w:tc>
      </w:tr>
      <w:tr w:rsidR="009309DE" w14:paraId="3FE146C5" w14:textId="77777777" w:rsidTr="00CE630F">
        <w:trPr>
          <w:trHeight w:val="1113"/>
        </w:trPr>
        <w:tc>
          <w:tcPr>
            <w:tcW w:w="562" w:type="dxa"/>
          </w:tcPr>
          <w:p w14:paraId="6EAA437E" w14:textId="5A036A55" w:rsidR="009309DE" w:rsidRDefault="009309DE" w:rsidP="000411BF">
            <w:pPr>
              <w:jc w:val="center"/>
              <w:rPr>
                <w:sz w:val="20"/>
                <w:szCs w:val="20"/>
              </w:rPr>
            </w:pPr>
            <w:r>
              <w:rPr>
                <w:rFonts w:hint="eastAsia"/>
                <w:sz w:val="20"/>
                <w:szCs w:val="20"/>
              </w:rPr>
              <w:t>9</w:t>
            </w:r>
          </w:p>
        </w:tc>
        <w:tc>
          <w:tcPr>
            <w:tcW w:w="6379" w:type="dxa"/>
          </w:tcPr>
          <w:p w14:paraId="14EC1B02" w14:textId="38A35BDD" w:rsidR="009309DE" w:rsidRPr="009309DE" w:rsidRDefault="00CE630F" w:rsidP="009309DE">
            <w:pPr>
              <w:rPr>
                <w:sz w:val="20"/>
                <w:szCs w:val="20"/>
              </w:rPr>
            </w:pPr>
            <w:r w:rsidRPr="00CE630F">
              <w:rPr>
                <w:rFonts w:hint="eastAsia"/>
                <w:sz w:val="20"/>
                <w:szCs w:val="20"/>
              </w:rPr>
              <w:t>資料１の</w:t>
            </w:r>
            <w:r w:rsidRPr="00CE630F">
              <w:rPr>
                <w:sz w:val="20"/>
                <w:szCs w:val="20"/>
              </w:rPr>
              <w:t>16ページにある「交通環境の改善」にあるのは、万博のための整備項目もあると思いますが、国債も入っている状況で、これでは「IRのために万博を開催する」ということになりませんか。万が一、万博が中止または大失敗になったときには、本来の費用負担すべき事業者が負担することになるのですか。</w:t>
            </w:r>
          </w:p>
        </w:tc>
        <w:tc>
          <w:tcPr>
            <w:tcW w:w="8505" w:type="dxa"/>
          </w:tcPr>
          <w:p w14:paraId="40D4D44C" w14:textId="6B973BB5" w:rsidR="009309DE" w:rsidRPr="009309DE" w:rsidRDefault="004916C1" w:rsidP="004916C1">
            <w:pPr>
              <w:ind w:firstLineChars="100" w:firstLine="200"/>
              <w:rPr>
                <w:sz w:val="20"/>
                <w:szCs w:val="20"/>
              </w:rPr>
            </w:pPr>
            <w:r w:rsidRPr="004916C1">
              <w:rPr>
                <w:rFonts w:hint="eastAsia"/>
                <w:sz w:val="20"/>
                <w:szCs w:val="20"/>
              </w:rPr>
              <w:t>夢洲においては、「夢洲まちづくり構想」や「夢洲まちづくり基本方針」に基づき、新たな国際観光拠点の形成に向けて取り組んでいるところであり、大阪市では、交通環境の改善のためのインフラ整備を行っています。ＩＲ事業者においては大阪市が実施するインフラ整備に要する費用の一部として、</w:t>
            </w:r>
            <w:r w:rsidRPr="004916C1">
              <w:rPr>
                <w:sz w:val="20"/>
                <w:szCs w:val="20"/>
              </w:rPr>
              <w:t>202億5千万円を負担することとしています。</w:t>
            </w:r>
          </w:p>
        </w:tc>
      </w:tr>
      <w:tr w:rsidR="009309DE" w14:paraId="13C80E54" w14:textId="77777777" w:rsidTr="00CE630F">
        <w:trPr>
          <w:trHeight w:val="1113"/>
        </w:trPr>
        <w:tc>
          <w:tcPr>
            <w:tcW w:w="562" w:type="dxa"/>
          </w:tcPr>
          <w:p w14:paraId="6F0BBDDB" w14:textId="17835FB7" w:rsidR="009309DE" w:rsidRDefault="009309DE" w:rsidP="000411BF">
            <w:pPr>
              <w:jc w:val="center"/>
              <w:rPr>
                <w:sz w:val="20"/>
                <w:szCs w:val="20"/>
              </w:rPr>
            </w:pPr>
            <w:r>
              <w:rPr>
                <w:rFonts w:hint="eastAsia"/>
                <w:sz w:val="20"/>
                <w:szCs w:val="20"/>
              </w:rPr>
              <w:t>10</w:t>
            </w:r>
          </w:p>
        </w:tc>
        <w:tc>
          <w:tcPr>
            <w:tcW w:w="6379" w:type="dxa"/>
          </w:tcPr>
          <w:p w14:paraId="307F6EB3" w14:textId="37EA2917" w:rsidR="009309DE" w:rsidRPr="009309DE" w:rsidRDefault="00CE630F">
            <w:pPr>
              <w:rPr>
                <w:sz w:val="20"/>
                <w:szCs w:val="20"/>
              </w:rPr>
            </w:pPr>
            <w:r w:rsidRPr="00CE630F">
              <w:rPr>
                <w:rFonts w:hint="eastAsia"/>
                <w:sz w:val="20"/>
                <w:szCs w:val="20"/>
              </w:rPr>
              <w:t>夢洲へのアクセスについておうかがいしたいのですが、鉄道北ルートの計画についての具体的な進捗はどうなっているのか、行政としてどう関与していくのかについて教えて頂きたいと思います。</w:t>
            </w:r>
          </w:p>
        </w:tc>
        <w:tc>
          <w:tcPr>
            <w:tcW w:w="8505" w:type="dxa"/>
          </w:tcPr>
          <w:p w14:paraId="23C6917C" w14:textId="28F5F299" w:rsidR="009309DE" w:rsidRPr="009309DE" w:rsidRDefault="004916C1" w:rsidP="004916C1">
            <w:pPr>
              <w:ind w:firstLineChars="100" w:firstLine="200"/>
              <w:rPr>
                <w:sz w:val="20"/>
                <w:szCs w:val="20"/>
              </w:rPr>
            </w:pPr>
            <w:r w:rsidRPr="004916C1">
              <w:rPr>
                <w:rFonts w:hint="eastAsia"/>
                <w:sz w:val="20"/>
                <w:szCs w:val="20"/>
              </w:rPr>
              <w:t>鉄道の北ルートについては、夢洲の段階的な土地利用の状況に応じた鉄道整備を検討することとしています。</w:t>
            </w:r>
          </w:p>
        </w:tc>
      </w:tr>
    </w:tbl>
    <w:p w14:paraId="3289DFD6" w14:textId="77777777" w:rsidR="00961D85" w:rsidRDefault="00961D85"/>
    <w:sectPr w:rsidR="00961D85" w:rsidSect="000411B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759A" w14:textId="77777777" w:rsidR="00F6747D" w:rsidRDefault="00F6747D" w:rsidP="00E354EB">
      <w:r>
        <w:separator/>
      </w:r>
    </w:p>
  </w:endnote>
  <w:endnote w:type="continuationSeparator" w:id="0">
    <w:p w14:paraId="09A3DD62" w14:textId="77777777" w:rsidR="00F6747D" w:rsidRDefault="00F6747D"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B378" w14:textId="77777777" w:rsidR="00F6747D" w:rsidRDefault="00F6747D" w:rsidP="00E354EB">
      <w:r>
        <w:separator/>
      </w:r>
    </w:p>
  </w:footnote>
  <w:footnote w:type="continuationSeparator" w:id="0">
    <w:p w14:paraId="3088E7C2" w14:textId="77777777" w:rsidR="00F6747D" w:rsidRDefault="00F6747D" w:rsidP="00E35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6CF1"/>
    <w:rsid w:val="0002236A"/>
    <w:rsid w:val="000411BF"/>
    <w:rsid w:val="003079C4"/>
    <w:rsid w:val="004916C1"/>
    <w:rsid w:val="0049415E"/>
    <w:rsid w:val="00576B74"/>
    <w:rsid w:val="00580723"/>
    <w:rsid w:val="005C22B8"/>
    <w:rsid w:val="00614D42"/>
    <w:rsid w:val="0064385A"/>
    <w:rsid w:val="0065291C"/>
    <w:rsid w:val="006D61B7"/>
    <w:rsid w:val="008D4858"/>
    <w:rsid w:val="00923E59"/>
    <w:rsid w:val="009309DE"/>
    <w:rsid w:val="00937DCA"/>
    <w:rsid w:val="00961D85"/>
    <w:rsid w:val="009F398A"/>
    <w:rsid w:val="00A00596"/>
    <w:rsid w:val="00A70A85"/>
    <w:rsid w:val="00AE38AC"/>
    <w:rsid w:val="00B47B10"/>
    <w:rsid w:val="00CA1641"/>
    <w:rsid w:val="00CE630F"/>
    <w:rsid w:val="00CF7E4A"/>
    <w:rsid w:val="00D04426"/>
    <w:rsid w:val="00DA6668"/>
    <w:rsid w:val="00E354EB"/>
    <w:rsid w:val="00E37D4A"/>
    <w:rsid w:val="00F25D7C"/>
    <w:rsid w:val="00F6747D"/>
    <w:rsid w:val="00FD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2025-08-19T06:25:00Z</dcterms:created>
  <dcterms:modified xsi:type="dcterms:W3CDTF">2025-08-19T06:25:00Z</dcterms:modified>
</cp:coreProperties>
</file>