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5283" w14:textId="77777777" w:rsidR="00961D85" w:rsidRPr="00937DCA" w:rsidRDefault="00961D85">
      <w:pPr>
        <w:rPr>
          <w:sz w:val="22"/>
        </w:rPr>
      </w:pPr>
      <w:r w:rsidRPr="00937DCA">
        <w:rPr>
          <w:rFonts w:hint="eastAsia"/>
          <w:sz w:val="22"/>
        </w:rPr>
        <w:t>第</w:t>
      </w:r>
      <w:r w:rsidRPr="00937DCA">
        <w:rPr>
          <w:sz w:val="22"/>
        </w:rPr>
        <w:t>1回大阪IR（統合型リゾート）説明会　アンケートによる質問について</w:t>
      </w:r>
    </w:p>
    <w:p w14:paraId="23DB3FAA" w14:textId="77777777" w:rsidR="000411BF" w:rsidRDefault="000411BF"/>
    <w:p w14:paraId="2D261F98" w14:textId="77777777" w:rsidR="00961D85" w:rsidRDefault="00961D85" w:rsidP="00961D85">
      <w:pPr>
        <w:ind w:firstLineChars="100" w:firstLine="210"/>
      </w:pPr>
      <w:r>
        <w:rPr>
          <w:rFonts w:hint="eastAsia"/>
        </w:rPr>
        <w:t>●受付件数　25</w:t>
      </w:r>
      <w:r w:rsidRPr="00961D85">
        <w:rPr>
          <w:rFonts w:hint="eastAsia"/>
        </w:rPr>
        <w:t>件</w:t>
      </w:r>
    </w:p>
    <w:tbl>
      <w:tblPr>
        <w:tblStyle w:val="a3"/>
        <w:tblW w:w="15446" w:type="dxa"/>
        <w:tblLook w:val="04A0" w:firstRow="1" w:lastRow="0" w:firstColumn="1" w:lastColumn="0" w:noHBand="0" w:noVBand="1"/>
      </w:tblPr>
      <w:tblGrid>
        <w:gridCol w:w="562"/>
        <w:gridCol w:w="6521"/>
        <w:gridCol w:w="8363"/>
      </w:tblGrid>
      <w:tr w:rsidR="00961D85" w14:paraId="613C2A66" w14:textId="77777777" w:rsidTr="00937DCA">
        <w:trPr>
          <w:trHeight w:val="324"/>
        </w:trPr>
        <w:tc>
          <w:tcPr>
            <w:tcW w:w="562" w:type="dxa"/>
          </w:tcPr>
          <w:p w14:paraId="2A96E4F5" w14:textId="77777777" w:rsidR="00961D85" w:rsidRPr="00937DCA" w:rsidRDefault="00961D85">
            <w:pPr>
              <w:rPr>
                <w:sz w:val="20"/>
                <w:szCs w:val="20"/>
              </w:rPr>
            </w:pPr>
          </w:p>
        </w:tc>
        <w:tc>
          <w:tcPr>
            <w:tcW w:w="6521" w:type="dxa"/>
          </w:tcPr>
          <w:p w14:paraId="79DA6391" w14:textId="77777777" w:rsidR="00961D85" w:rsidRPr="00937DCA" w:rsidRDefault="00961D85" w:rsidP="00961D85">
            <w:pPr>
              <w:jc w:val="center"/>
              <w:rPr>
                <w:szCs w:val="21"/>
              </w:rPr>
            </w:pPr>
            <w:r w:rsidRPr="00937DCA">
              <w:rPr>
                <w:rFonts w:hint="eastAsia"/>
                <w:szCs w:val="21"/>
              </w:rPr>
              <w:t>質問</w:t>
            </w:r>
          </w:p>
        </w:tc>
        <w:tc>
          <w:tcPr>
            <w:tcW w:w="8363" w:type="dxa"/>
          </w:tcPr>
          <w:p w14:paraId="4A2AA657" w14:textId="77777777" w:rsidR="00961D85" w:rsidRPr="00937DCA" w:rsidRDefault="00961D85" w:rsidP="00961D85">
            <w:pPr>
              <w:jc w:val="center"/>
              <w:rPr>
                <w:szCs w:val="21"/>
              </w:rPr>
            </w:pPr>
            <w:r w:rsidRPr="00937DCA">
              <w:rPr>
                <w:rFonts w:hint="eastAsia"/>
                <w:szCs w:val="21"/>
              </w:rPr>
              <w:t>回答</w:t>
            </w:r>
          </w:p>
        </w:tc>
      </w:tr>
      <w:tr w:rsidR="000411BF" w14:paraId="697BEDDB" w14:textId="77777777" w:rsidTr="00A70A85">
        <w:trPr>
          <w:trHeight w:val="1582"/>
        </w:trPr>
        <w:tc>
          <w:tcPr>
            <w:tcW w:w="562" w:type="dxa"/>
          </w:tcPr>
          <w:p w14:paraId="5C33803E" w14:textId="77777777" w:rsidR="000411BF" w:rsidRPr="00937DCA" w:rsidRDefault="000411BF" w:rsidP="000411BF">
            <w:pPr>
              <w:jc w:val="center"/>
              <w:rPr>
                <w:sz w:val="20"/>
                <w:szCs w:val="20"/>
              </w:rPr>
            </w:pPr>
            <w:r w:rsidRPr="00937DCA">
              <w:rPr>
                <w:rFonts w:hint="eastAsia"/>
                <w:sz w:val="20"/>
                <w:szCs w:val="20"/>
              </w:rPr>
              <w:t>1</w:t>
            </w:r>
          </w:p>
        </w:tc>
        <w:tc>
          <w:tcPr>
            <w:tcW w:w="6521" w:type="dxa"/>
          </w:tcPr>
          <w:p w14:paraId="3ECBA7A9" w14:textId="77777777" w:rsidR="000411BF" w:rsidRPr="00937DCA" w:rsidRDefault="000411BF">
            <w:pPr>
              <w:rPr>
                <w:sz w:val="20"/>
                <w:szCs w:val="20"/>
              </w:rPr>
            </w:pPr>
            <w:r w:rsidRPr="00937DCA">
              <w:rPr>
                <w:sz w:val="20"/>
                <w:szCs w:val="20"/>
              </w:rPr>
              <w:t>7つの付帯条件について、具体的簡潔な説明と対策を知りたい</w:t>
            </w:r>
          </w:p>
        </w:tc>
        <w:tc>
          <w:tcPr>
            <w:tcW w:w="8363" w:type="dxa"/>
            <w:vMerge w:val="restart"/>
          </w:tcPr>
          <w:p w14:paraId="25EBCFC5" w14:textId="77777777" w:rsidR="00923E59" w:rsidRPr="00923E59" w:rsidRDefault="00923E59" w:rsidP="00923E59">
            <w:pPr>
              <w:rPr>
                <w:sz w:val="20"/>
                <w:szCs w:val="20"/>
              </w:rPr>
            </w:pPr>
            <w:r w:rsidRPr="00923E59">
              <w:rPr>
                <w:rFonts w:hint="eastAsia"/>
                <w:sz w:val="20"/>
                <w:szCs w:val="20"/>
              </w:rPr>
              <w:t xml:space="preserve">　認定に際して付された条件等については、今後、事業者と連携、協議・調整しながら必要な対応を検討していきます。</w:t>
            </w:r>
          </w:p>
          <w:p w14:paraId="628E7615" w14:textId="77777777" w:rsidR="00923E59" w:rsidRPr="00923E59" w:rsidRDefault="00923E59" w:rsidP="00923E59">
            <w:pPr>
              <w:rPr>
                <w:sz w:val="20"/>
                <w:szCs w:val="20"/>
              </w:rPr>
            </w:pPr>
            <w:r w:rsidRPr="00923E59">
              <w:rPr>
                <w:rFonts w:hint="eastAsia"/>
                <w:sz w:val="20"/>
                <w:szCs w:val="20"/>
              </w:rPr>
              <w:t xml:space="preserve">　具体的には、開業に向けての計画のブラッシュアップ、今後の継続的な取組みの実施、さらには、開業以降の取組みにおいて適切に対応していくことが重要であると考えており、事業者と公民連携して取り組んでいきます。</w:t>
            </w:r>
          </w:p>
          <w:p w14:paraId="0E54E257" w14:textId="77777777" w:rsidR="000411BF" w:rsidRPr="00937DCA" w:rsidRDefault="00923E59" w:rsidP="00923E59">
            <w:pPr>
              <w:rPr>
                <w:sz w:val="20"/>
                <w:szCs w:val="20"/>
              </w:rPr>
            </w:pPr>
            <w:r w:rsidRPr="00923E59">
              <w:rPr>
                <w:rFonts w:hint="eastAsia"/>
                <w:sz w:val="20"/>
                <w:szCs w:val="20"/>
              </w:rPr>
              <w:t xml:space="preserve">　条件の確認等については、</w:t>
            </w:r>
            <w:r w:rsidRPr="00923E59">
              <w:rPr>
                <w:sz w:val="20"/>
                <w:szCs w:val="20"/>
              </w:rPr>
              <w:t>IR整備法等において、国が毎年度、区域整備計画の実施の状況について評価を行うこととされており、この実施状況評価等において確認されていくものと認識しています。</w:t>
            </w:r>
          </w:p>
        </w:tc>
      </w:tr>
      <w:tr w:rsidR="000411BF" w14:paraId="56181A04" w14:textId="77777777" w:rsidTr="00A70A85">
        <w:trPr>
          <w:trHeight w:val="1690"/>
        </w:trPr>
        <w:tc>
          <w:tcPr>
            <w:tcW w:w="562" w:type="dxa"/>
          </w:tcPr>
          <w:p w14:paraId="5260EAFC" w14:textId="77777777" w:rsidR="000411BF" w:rsidRPr="00937DCA" w:rsidRDefault="000411BF" w:rsidP="000411BF">
            <w:pPr>
              <w:jc w:val="center"/>
              <w:rPr>
                <w:sz w:val="20"/>
                <w:szCs w:val="20"/>
              </w:rPr>
            </w:pPr>
            <w:r w:rsidRPr="00937DCA">
              <w:rPr>
                <w:rFonts w:hint="eastAsia"/>
                <w:sz w:val="20"/>
                <w:szCs w:val="20"/>
              </w:rPr>
              <w:t>2</w:t>
            </w:r>
          </w:p>
        </w:tc>
        <w:tc>
          <w:tcPr>
            <w:tcW w:w="6521" w:type="dxa"/>
          </w:tcPr>
          <w:p w14:paraId="6B23AC1F" w14:textId="77777777" w:rsidR="000411BF" w:rsidRPr="00937DCA" w:rsidRDefault="000411BF">
            <w:pPr>
              <w:rPr>
                <w:sz w:val="20"/>
                <w:szCs w:val="20"/>
              </w:rPr>
            </w:pPr>
            <w:r w:rsidRPr="00937DCA">
              <w:rPr>
                <w:rFonts w:hint="eastAsia"/>
                <w:sz w:val="20"/>
                <w:szCs w:val="20"/>
              </w:rPr>
              <w:t>「</w:t>
            </w:r>
            <w:r w:rsidR="0064385A">
              <w:rPr>
                <w:rFonts w:hint="eastAsia"/>
                <w:sz w:val="20"/>
                <w:szCs w:val="20"/>
              </w:rPr>
              <w:t>７</w:t>
            </w:r>
            <w:r w:rsidRPr="00937DCA">
              <w:rPr>
                <w:sz w:val="20"/>
                <w:szCs w:val="20"/>
              </w:rPr>
              <w:t>つの条件（課題）」について、具体的にどのような対策を「いつ」「誰が」「どのように」講じるのか</w:t>
            </w:r>
          </w:p>
        </w:tc>
        <w:tc>
          <w:tcPr>
            <w:tcW w:w="8363" w:type="dxa"/>
            <w:vMerge/>
          </w:tcPr>
          <w:p w14:paraId="528F14A7" w14:textId="77777777" w:rsidR="000411BF" w:rsidRPr="00937DCA" w:rsidRDefault="000411BF">
            <w:pPr>
              <w:rPr>
                <w:sz w:val="20"/>
                <w:szCs w:val="20"/>
              </w:rPr>
            </w:pPr>
          </w:p>
        </w:tc>
      </w:tr>
      <w:tr w:rsidR="00961D85" w14:paraId="0207830C" w14:textId="77777777" w:rsidTr="00A70A85">
        <w:trPr>
          <w:trHeight w:val="1113"/>
        </w:trPr>
        <w:tc>
          <w:tcPr>
            <w:tcW w:w="562" w:type="dxa"/>
          </w:tcPr>
          <w:p w14:paraId="75AAF300" w14:textId="77777777" w:rsidR="00961D85" w:rsidRPr="00937DCA" w:rsidRDefault="000411BF" w:rsidP="000411BF">
            <w:pPr>
              <w:jc w:val="center"/>
              <w:rPr>
                <w:sz w:val="20"/>
                <w:szCs w:val="20"/>
              </w:rPr>
            </w:pPr>
            <w:r w:rsidRPr="00937DCA">
              <w:rPr>
                <w:rFonts w:hint="eastAsia"/>
                <w:sz w:val="20"/>
                <w:szCs w:val="20"/>
              </w:rPr>
              <w:t>3</w:t>
            </w:r>
          </w:p>
        </w:tc>
        <w:tc>
          <w:tcPr>
            <w:tcW w:w="6521" w:type="dxa"/>
          </w:tcPr>
          <w:p w14:paraId="3A394841" w14:textId="77777777" w:rsidR="00961D85" w:rsidRPr="00937DCA" w:rsidRDefault="000411BF">
            <w:pPr>
              <w:rPr>
                <w:sz w:val="20"/>
                <w:szCs w:val="20"/>
              </w:rPr>
            </w:pPr>
            <w:r w:rsidRPr="00937DCA">
              <w:rPr>
                <w:rFonts w:hint="eastAsia"/>
                <w:sz w:val="20"/>
                <w:szCs w:val="20"/>
              </w:rPr>
              <w:t>「</w:t>
            </w:r>
            <w:r w:rsidR="0064385A">
              <w:rPr>
                <w:rFonts w:hint="eastAsia"/>
                <w:sz w:val="20"/>
                <w:szCs w:val="20"/>
              </w:rPr>
              <w:t>７</w:t>
            </w:r>
            <w:r w:rsidRPr="00937DCA">
              <w:rPr>
                <w:sz w:val="20"/>
                <w:szCs w:val="20"/>
              </w:rPr>
              <w:t>つの条件（課題）」について、各項目について明確に次回の説明会でプリントを配布し、大阪府・市のWEBサイトで公開すべきです</w:t>
            </w:r>
          </w:p>
        </w:tc>
        <w:tc>
          <w:tcPr>
            <w:tcW w:w="8363" w:type="dxa"/>
          </w:tcPr>
          <w:p w14:paraId="4295A5D4" w14:textId="77777777" w:rsidR="00961D85" w:rsidRPr="00937DCA" w:rsidRDefault="00923E59">
            <w:pPr>
              <w:rPr>
                <w:sz w:val="20"/>
                <w:szCs w:val="20"/>
              </w:rPr>
            </w:pPr>
            <w:r w:rsidRPr="00923E59">
              <w:rPr>
                <w:rFonts w:hint="eastAsia"/>
                <w:sz w:val="20"/>
                <w:szCs w:val="20"/>
              </w:rPr>
              <w:t xml:space="preserve">　次回の説明会での資料配布については、今後、検討します。</w:t>
            </w:r>
          </w:p>
        </w:tc>
      </w:tr>
      <w:tr w:rsidR="000411BF" w14:paraId="7373928F" w14:textId="77777777" w:rsidTr="00A70A85">
        <w:trPr>
          <w:trHeight w:val="1790"/>
        </w:trPr>
        <w:tc>
          <w:tcPr>
            <w:tcW w:w="562" w:type="dxa"/>
          </w:tcPr>
          <w:p w14:paraId="753B0C58" w14:textId="77777777" w:rsidR="000411BF" w:rsidRPr="00937DCA" w:rsidRDefault="000411BF" w:rsidP="000411BF">
            <w:pPr>
              <w:jc w:val="center"/>
              <w:rPr>
                <w:sz w:val="20"/>
                <w:szCs w:val="20"/>
              </w:rPr>
            </w:pPr>
            <w:r w:rsidRPr="00937DCA">
              <w:rPr>
                <w:rFonts w:hint="eastAsia"/>
                <w:sz w:val="20"/>
                <w:szCs w:val="20"/>
              </w:rPr>
              <w:t>4</w:t>
            </w:r>
          </w:p>
        </w:tc>
        <w:tc>
          <w:tcPr>
            <w:tcW w:w="6521" w:type="dxa"/>
          </w:tcPr>
          <w:p w14:paraId="75557385" w14:textId="77777777" w:rsidR="000411BF" w:rsidRPr="00937DCA" w:rsidRDefault="000411BF">
            <w:pPr>
              <w:rPr>
                <w:sz w:val="20"/>
                <w:szCs w:val="20"/>
              </w:rPr>
            </w:pPr>
            <w:r w:rsidRPr="00937DCA">
              <w:rPr>
                <w:rFonts w:hint="eastAsia"/>
                <w:sz w:val="20"/>
                <w:szCs w:val="20"/>
              </w:rPr>
              <w:t>大阪市の使った材料が、地盤沈下の原因だとどのように判断するのか？決定権は誰にある</w:t>
            </w:r>
          </w:p>
        </w:tc>
        <w:tc>
          <w:tcPr>
            <w:tcW w:w="8363" w:type="dxa"/>
            <w:vMerge w:val="restart"/>
          </w:tcPr>
          <w:p w14:paraId="6A3DA748" w14:textId="77777777" w:rsidR="00923E59" w:rsidRPr="00923E59" w:rsidRDefault="00923E59" w:rsidP="00923E59">
            <w:pPr>
              <w:rPr>
                <w:sz w:val="20"/>
                <w:szCs w:val="20"/>
              </w:rPr>
            </w:pPr>
            <w:r w:rsidRPr="00923E59">
              <w:rPr>
                <w:rFonts w:hint="eastAsia"/>
                <w:sz w:val="20"/>
                <w:szCs w:val="20"/>
              </w:rPr>
              <w:t xml:space="preserve">　本市が使用した埋立材の原因により、通常の想定を著しく上回る大規模な地盤沈下や陥没が生じた場合を除いて、市が負担しないこととしています。</w:t>
            </w:r>
          </w:p>
          <w:p w14:paraId="5A4759A2" w14:textId="77777777" w:rsidR="00923E59" w:rsidRPr="00923E59" w:rsidRDefault="00923E59" w:rsidP="00923E59">
            <w:pPr>
              <w:rPr>
                <w:sz w:val="20"/>
                <w:szCs w:val="20"/>
              </w:rPr>
            </w:pPr>
            <w:r w:rsidRPr="00923E59">
              <w:rPr>
                <w:rFonts w:hint="eastAsia"/>
                <w:sz w:val="20"/>
                <w:szCs w:val="20"/>
              </w:rPr>
              <w:t xml:space="preserve">　現時点では、具体的な判断基準を一概に申し上げることは難しい面もあるが、埋め立て工事施工上の不備や瑕疵等による陥没や大規模沈下など、通常の想定を著しく上回るような状況が生じた場合のことであり、現時点において、そのような事象は生じている状況ではなく、埋め立て工事施工上の不備や瑕疵はないものと認識しています。</w:t>
            </w:r>
          </w:p>
          <w:p w14:paraId="7E468BF1" w14:textId="77777777" w:rsidR="000411BF" w:rsidRPr="00937DCA" w:rsidRDefault="00923E59" w:rsidP="00923E59">
            <w:pPr>
              <w:rPr>
                <w:sz w:val="20"/>
                <w:szCs w:val="20"/>
              </w:rPr>
            </w:pPr>
            <w:r w:rsidRPr="00923E59">
              <w:rPr>
                <w:rFonts w:hint="eastAsia"/>
                <w:sz w:val="20"/>
                <w:szCs w:val="20"/>
              </w:rPr>
              <w:t xml:space="preserve">　なお、夢洲・咲洲・舞洲といった周辺</w:t>
            </w:r>
            <w:r w:rsidR="00FD2F70">
              <w:rPr>
                <w:rFonts w:hint="eastAsia"/>
                <w:sz w:val="20"/>
                <w:szCs w:val="20"/>
              </w:rPr>
              <w:t>埋立地において、そのような事象が生じた事例は把握しておらず、I</w:t>
            </w:r>
            <w:r w:rsidR="00FD2F70">
              <w:rPr>
                <w:sz w:val="20"/>
                <w:szCs w:val="20"/>
              </w:rPr>
              <w:t>R</w:t>
            </w:r>
            <w:r w:rsidRPr="00923E59">
              <w:rPr>
                <w:rFonts w:hint="eastAsia"/>
                <w:sz w:val="20"/>
                <w:szCs w:val="20"/>
              </w:rPr>
              <w:t>用地においても、そういった事態が生じる可能性は極めて低いものと認識しています。</w:t>
            </w:r>
          </w:p>
        </w:tc>
      </w:tr>
      <w:tr w:rsidR="000411BF" w14:paraId="62893F53" w14:textId="77777777" w:rsidTr="00A70A85">
        <w:trPr>
          <w:trHeight w:val="2068"/>
        </w:trPr>
        <w:tc>
          <w:tcPr>
            <w:tcW w:w="562" w:type="dxa"/>
          </w:tcPr>
          <w:p w14:paraId="33CA7B73" w14:textId="77777777" w:rsidR="000411BF" w:rsidRPr="00937DCA" w:rsidRDefault="000411BF" w:rsidP="000411BF">
            <w:pPr>
              <w:jc w:val="center"/>
              <w:rPr>
                <w:sz w:val="20"/>
                <w:szCs w:val="20"/>
              </w:rPr>
            </w:pPr>
            <w:r w:rsidRPr="00937DCA">
              <w:rPr>
                <w:rFonts w:hint="eastAsia"/>
                <w:sz w:val="20"/>
                <w:szCs w:val="20"/>
              </w:rPr>
              <w:t>5</w:t>
            </w:r>
          </w:p>
        </w:tc>
        <w:tc>
          <w:tcPr>
            <w:tcW w:w="6521" w:type="dxa"/>
          </w:tcPr>
          <w:p w14:paraId="79EEBC39" w14:textId="77777777" w:rsidR="000411BF" w:rsidRPr="00937DCA" w:rsidRDefault="000411BF">
            <w:pPr>
              <w:rPr>
                <w:sz w:val="20"/>
                <w:szCs w:val="20"/>
              </w:rPr>
            </w:pPr>
            <w:r w:rsidRPr="00937DCA">
              <w:rPr>
                <w:rFonts w:hint="eastAsia"/>
                <w:sz w:val="20"/>
                <w:szCs w:val="20"/>
              </w:rPr>
              <w:t>埋め立て材を原因とした問題がほぼ起きない（地盤沈下）と言える科学的根拠を求める。</w:t>
            </w:r>
          </w:p>
        </w:tc>
        <w:tc>
          <w:tcPr>
            <w:tcW w:w="8363" w:type="dxa"/>
            <w:vMerge/>
          </w:tcPr>
          <w:p w14:paraId="56B7C18E" w14:textId="77777777" w:rsidR="000411BF" w:rsidRPr="00937DCA" w:rsidRDefault="000411BF">
            <w:pPr>
              <w:rPr>
                <w:sz w:val="20"/>
                <w:szCs w:val="20"/>
              </w:rPr>
            </w:pPr>
          </w:p>
        </w:tc>
      </w:tr>
      <w:tr w:rsidR="00961D85" w14:paraId="5628391D" w14:textId="77777777" w:rsidTr="008D4858">
        <w:trPr>
          <w:trHeight w:val="1415"/>
        </w:trPr>
        <w:tc>
          <w:tcPr>
            <w:tcW w:w="562" w:type="dxa"/>
          </w:tcPr>
          <w:p w14:paraId="464F2BB8" w14:textId="77777777" w:rsidR="00961D85" w:rsidRPr="00937DCA" w:rsidRDefault="000411BF" w:rsidP="000411BF">
            <w:pPr>
              <w:jc w:val="center"/>
              <w:rPr>
                <w:sz w:val="20"/>
                <w:szCs w:val="20"/>
              </w:rPr>
            </w:pPr>
            <w:r w:rsidRPr="00937DCA">
              <w:rPr>
                <w:rFonts w:hint="eastAsia"/>
                <w:sz w:val="20"/>
                <w:szCs w:val="20"/>
              </w:rPr>
              <w:lastRenderedPageBreak/>
              <w:t>6</w:t>
            </w:r>
          </w:p>
        </w:tc>
        <w:tc>
          <w:tcPr>
            <w:tcW w:w="6521" w:type="dxa"/>
          </w:tcPr>
          <w:p w14:paraId="664D0024" w14:textId="77777777" w:rsidR="00961D85" w:rsidRPr="00937DCA" w:rsidRDefault="000411BF">
            <w:pPr>
              <w:rPr>
                <w:sz w:val="20"/>
                <w:szCs w:val="20"/>
              </w:rPr>
            </w:pPr>
            <w:r w:rsidRPr="00937DCA">
              <w:rPr>
                <w:rFonts w:hint="eastAsia"/>
                <w:sz w:val="20"/>
                <w:szCs w:val="20"/>
              </w:rPr>
              <w:t>地盤沈下の想定は、「</w:t>
            </w:r>
            <w:r w:rsidRPr="00937DCA">
              <w:rPr>
                <w:sz w:val="20"/>
                <w:szCs w:val="20"/>
              </w:rPr>
              <w:t>50年間で2m以上」なのか。</w:t>
            </w:r>
          </w:p>
        </w:tc>
        <w:tc>
          <w:tcPr>
            <w:tcW w:w="8363" w:type="dxa"/>
          </w:tcPr>
          <w:p w14:paraId="330B5E2A" w14:textId="77777777" w:rsidR="00961D85" w:rsidRPr="00937DCA" w:rsidRDefault="00FD2F70">
            <w:pPr>
              <w:rPr>
                <w:sz w:val="20"/>
                <w:szCs w:val="20"/>
              </w:rPr>
            </w:pPr>
            <w:r>
              <w:rPr>
                <w:rFonts w:hint="eastAsia"/>
                <w:sz w:val="20"/>
                <w:szCs w:val="20"/>
              </w:rPr>
              <w:t xml:space="preserve">　I</w:t>
            </w:r>
            <w:r>
              <w:rPr>
                <w:sz w:val="20"/>
                <w:szCs w:val="20"/>
              </w:rPr>
              <w:t>R</w:t>
            </w:r>
            <w:r w:rsidR="00923E59" w:rsidRPr="00923E59">
              <w:rPr>
                <w:rFonts w:hint="eastAsia"/>
                <w:sz w:val="20"/>
                <w:szCs w:val="20"/>
              </w:rPr>
              <w:t>区域の現状地盤高さは、大阪湾における最低潮位を表す</w:t>
            </w:r>
            <w:r w:rsidR="00923E59" w:rsidRPr="00923E59">
              <w:rPr>
                <w:sz w:val="20"/>
                <w:szCs w:val="20"/>
              </w:rPr>
              <w:t>O.P.ゼロメートルを基準として、O.P.+11ｍ程度で、地盤沈下を見込んだ50年後の地盤高さはO.P.+９ｍ程度であると推定しています。</w:t>
            </w:r>
          </w:p>
        </w:tc>
      </w:tr>
      <w:tr w:rsidR="00961D85" w14:paraId="3BEF1DAE" w14:textId="77777777" w:rsidTr="008D4858">
        <w:trPr>
          <w:trHeight w:val="2257"/>
        </w:trPr>
        <w:tc>
          <w:tcPr>
            <w:tcW w:w="562" w:type="dxa"/>
          </w:tcPr>
          <w:p w14:paraId="6023EECA" w14:textId="77777777" w:rsidR="00961D85" w:rsidRPr="00937DCA" w:rsidRDefault="000411BF" w:rsidP="000411BF">
            <w:pPr>
              <w:jc w:val="center"/>
              <w:rPr>
                <w:sz w:val="20"/>
                <w:szCs w:val="20"/>
              </w:rPr>
            </w:pPr>
            <w:r w:rsidRPr="00937DCA">
              <w:rPr>
                <w:rFonts w:hint="eastAsia"/>
                <w:sz w:val="20"/>
                <w:szCs w:val="20"/>
              </w:rPr>
              <w:t>7</w:t>
            </w:r>
          </w:p>
        </w:tc>
        <w:tc>
          <w:tcPr>
            <w:tcW w:w="6521" w:type="dxa"/>
          </w:tcPr>
          <w:p w14:paraId="5D8CB2BE" w14:textId="77777777" w:rsidR="00961D85" w:rsidRPr="00937DCA" w:rsidRDefault="000411BF">
            <w:pPr>
              <w:rPr>
                <w:sz w:val="20"/>
                <w:szCs w:val="20"/>
              </w:rPr>
            </w:pPr>
            <w:r w:rsidRPr="00937DCA">
              <w:rPr>
                <w:rFonts w:hint="eastAsia"/>
                <w:sz w:val="20"/>
                <w:szCs w:val="20"/>
              </w:rPr>
              <w:t>土壌汚染について、何㎡何</w:t>
            </w:r>
            <w:r w:rsidRPr="00937DCA">
              <w:rPr>
                <w:sz w:val="20"/>
                <w:szCs w:val="20"/>
              </w:rPr>
              <w:t>mの掘り起こしをしてフェニックス処分場へ送るのか。</w:t>
            </w:r>
          </w:p>
        </w:tc>
        <w:tc>
          <w:tcPr>
            <w:tcW w:w="8363" w:type="dxa"/>
          </w:tcPr>
          <w:p w14:paraId="79B20A6C" w14:textId="77777777" w:rsidR="00923E59" w:rsidRPr="00923E59" w:rsidRDefault="00923E59" w:rsidP="00923E59">
            <w:pPr>
              <w:rPr>
                <w:sz w:val="20"/>
                <w:szCs w:val="20"/>
              </w:rPr>
            </w:pPr>
            <w:r w:rsidRPr="00923E59">
              <w:rPr>
                <w:rFonts w:hint="eastAsia"/>
                <w:sz w:val="20"/>
                <w:szCs w:val="20"/>
              </w:rPr>
              <w:t xml:space="preserve">　</w:t>
            </w:r>
            <w:r w:rsidRPr="00923E59">
              <w:rPr>
                <w:sz w:val="20"/>
                <w:szCs w:val="20"/>
              </w:rPr>
              <w:t>IRにおける工事で発生する土壌（残土）については、夢洲内の埋立材等として再利用を図ることになっているが、万博開催期間等に発生する残土は、夢洲内での埋立材等として再利用に制限がかかることから、汚染土壌処理業許可施設（埋立処理施設）へ搬出して処分する計画も検討しています。</w:t>
            </w:r>
          </w:p>
          <w:p w14:paraId="3E46C48D" w14:textId="77777777" w:rsidR="00961D85" w:rsidRPr="00937DCA" w:rsidRDefault="00923E59" w:rsidP="00923E59">
            <w:pPr>
              <w:rPr>
                <w:sz w:val="20"/>
                <w:szCs w:val="20"/>
              </w:rPr>
            </w:pPr>
            <w:r w:rsidRPr="00923E59">
              <w:rPr>
                <w:rFonts w:hint="eastAsia"/>
                <w:sz w:val="20"/>
                <w:szCs w:val="20"/>
              </w:rPr>
              <w:t xml:space="preserve">　なお、埋立処理施設への搬出量については、今後の工事工程等により精査されるものです。</w:t>
            </w:r>
          </w:p>
        </w:tc>
      </w:tr>
      <w:tr w:rsidR="00961D85" w14:paraId="32C5FD28" w14:textId="77777777" w:rsidTr="008D4858">
        <w:trPr>
          <w:trHeight w:val="1822"/>
        </w:trPr>
        <w:tc>
          <w:tcPr>
            <w:tcW w:w="562" w:type="dxa"/>
          </w:tcPr>
          <w:p w14:paraId="5F52687D" w14:textId="77777777" w:rsidR="00961D85" w:rsidRPr="00937DCA" w:rsidRDefault="000411BF" w:rsidP="000411BF">
            <w:pPr>
              <w:jc w:val="center"/>
              <w:rPr>
                <w:sz w:val="20"/>
                <w:szCs w:val="20"/>
              </w:rPr>
            </w:pPr>
            <w:r w:rsidRPr="00937DCA">
              <w:rPr>
                <w:rFonts w:hint="eastAsia"/>
                <w:sz w:val="20"/>
                <w:szCs w:val="20"/>
              </w:rPr>
              <w:t>8</w:t>
            </w:r>
          </w:p>
        </w:tc>
        <w:tc>
          <w:tcPr>
            <w:tcW w:w="6521" w:type="dxa"/>
          </w:tcPr>
          <w:p w14:paraId="777F59CD" w14:textId="77777777" w:rsidR="00961D85" w:rsidRPr="00937DCA" w:rsidRDefault="00937DCA">
            <w:pPr>
              <w:rPr>
                <w:sz w:val="20"/>
                <w:szCs w:val="20"/>
              </w:rPr>
            </w:pPr>
            <w:r w:rsidRPr="00937DCA">
              <w:rPr>
                <w:rFonts w:hint="eastAsia"/>
                <w:sz w:val="20"/>
                <w:szCs w:val="20"/>
              </w:rPr>
              <w:t>談合疑惑の賃料は。</w:t>
            </w:r>
          </w:p>
        </w:tc>
        <w:tc>
          <w:tcPr>
            <w:tcW w:w="8363" w:type="dxa"/>
          </w:tcPr>
          <w:p w14:paraId="6BA4F7DE" w14:textId="77777777" w:rsidR="00961D85" w:rsidRPr="00937DCA" w:rsidRDefault="00FD2F70">
            <w:pPr>
              <w:rPr>
                <w:sz w:val="20"/>
                <w:szCs w:val="20"/>
              </w:rPr>
            </w:pPr>
            <w:r>
              <w:rPr>
                <w:rFonts w:hint="eastAsia"/>
                <w:sz w:val="20"/>
                <w:szCs w:val="20"/>
              </w:rPr>
              <w:t xml:space="preserve">　I</w:t>
            </w:r>
            <w:r>
              <w:rPr>
                <w:sz w:val="20"/>
                <w:szCs w:val="20"/>
              </w:rPr>
              <w:t>R</w:t>
            </w:r>
            <w:r w:rsidR="00923E59" w:rsidRPr="00923E59">
              <w:rPr>
                <w:rFonts w:hint="eastAsia"/>
                <w:sz w:val="20"/>
                <w:szCs w:val="20"/>
              </w:rPr>
              <w:t>事業用地の賃料については、土地を所管する大阪港湾局が不動産鑑定業者に鑑定を依頼し、専門家である不動産鑑定業者が、それぞれ責任を持って、適正に評価したものであり、その後、本市不動産評価審議会における審議・承認を経た上で戦略会議において、妥当と認められたものです。</w:t>
            </w:r>
          </w:p>
        </w:tc>
      </w:tr>
      <w:tr w:rsidR="00961D85" w14:paraId="2ADEAC56" w14:textId="77777777" w:rsidTr="008D4858">
        <w:trPr>
          <w:trHeight w:val="1422"/>
        </w:trPr>
        <w:tc>
          <w:tcPr>
            <w:tcW w:w="562" w:type="dxa"/>
          </w:tcPr>
          <w:p w14:paraId="708DA498" w14:textId="77777777" w:rsidR="00961D85" w:rsidRPr="00937DCA" w:rsidRDefault="000411BF" w:rsidP="000411BF">
            <w:pPr>
              <w:jc w:val="center"/>
              <w:rPr>
                <w:sz w:val="20"/>
                <w:szCs w:val="20"/>
              </w:rPr>
            </w:pPr>
            <w:r w:rsidRPr="00937DCA">
              <w:rPr>
                <w:rFonts w:hint="eastAsia"/>
                <w:sz w:val="20"/>
                <w:szCs w:val="20"/>
              </w:rPr>
              <w:t>9</w:t>
            </w:r>
          </w:p>
        </w:tc>
        <w:tc>
          <w:tcPr>
            <w:tcW w:w="6521" w:type="dxa"/>
          </w:tcPr>
          <w:p w14:paraId="04F05CD9" w14:textId="77777777" w:rsidR="00961D85" w:rsidRPr="00937DCA" w:rsidRDefault="00937DCA">
            <w:pPr>
              <w:rPr>
                <w:sz w:val="20"/>
                <w:szCs w:val="20"/>
              </w:rPr>
            </w:pPr>
            <w:r w:rsidRPr="00937DCA">
              <w:rPr>
                <w:rFonts w:hint="eastAsia"/>
                <w:sz w:val="20"/>
                <w:szCs w:val="20"/>
              </w:rPr>
              <w:t>ギャンブル依存症の取組みは、カジノ以外のギャンブル依存症者についても対象としているのでしょうか。</w:t>
            </w:r>
          </w:p>
        </w:tc>
        <w:tc>
          <w:tcPr>
            <w:tcW w:w="8363" w:type="dxa"/>
          </w:tcPr>
          <w:p w14:paraId="1426AD9A" w14:textId="77777777" w:rsidR="00961D85" w:rsidRPr="00937DCA" w:rsidRDefault="00FD2F70">
            <w:pPr>
              <w:rPr>
                <w:sz w:val="20"/>
                <w:szCs w:val="20"/>
              </w:rPr>
            </w:pPr>
            <w:r>
              <w:rPr>
                <w:rFonts w:hint="eastAsia"/>
                <w:sz w:val="20"/>
                <w:szCs w:val="20"/>
              </w:rPr>
              <w:t xml:space="preserve">　大阪府・市としては、I</w:t>
            </w:r>
            <w:r>
              <w:rPr>
                <w:sz w:val="20"/>
                <w:szCs w:val="20"/>
              </w:rPr>
              <w:t>R</w:t>
            </w:r>
            <w:r w:rsidR="00923E59" w:rsidRPr="00923E59">
              <w:rPr>
                <w:rFonts w:hint="eastAsia"/>
                <w:sz w:val="20"/>
                <w:szCs w:val="20"/>
              </w:rPr>
              <w:t>の実現に向けては、カジノの設置に伴うものだけではなく、既存のギャンブル等に起因するものも含めて、ギャンブル等依存症問題に正面から取り組み、万全の対策を講じていきます。</w:t>
            </w:r>
          </w:p>
        </w:tc>
      </w:tr>
      <w:tr w:rsidR="00961D85" w14:paraId="11A9B775" w14:textId="77777777" w:rsidTr="00937DCA">
        <w:trPr>
          <w:trHeight w:val="3007"/>
        </w:trPr>
        <w:tc>
          <w:tcPr>
            <w:tcW w:w="562" w:type="dxa"/>
          </w:tcPr>
          <w:p w14:paraId="3B862C58"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0</w:t>
            </w:r>
          </w:p>
        </w:tc>
        <w:tc>
          <w:tcPr>
            <w:tcW w:w="6521" w:type="dxa"/>
          </w:tcPr>
          <w:p w14:paraId="2560024A" w14:textId="77777777" w:rsidR="00937DCA" w:rsidRPr="00937DCA" w:rsidRDefault="00937DCA" w:rsidP="00937DCA">
            <w:pPr>
              <w:rPr>
                <w:sz w:val="20"/>
                <w:szCs w:val="20"/>
              </w:rPr>
            </w:pPr>
            <w:r w:rsidRPr="00937DCA">
              <w:rPr>
                <w:rFonts w:hint="eastAsia"/>
                <w:sz w:val="20"/>
                <w:szCs w:val="20"/>
              </w:rPr>
              <w:t>トップランナーの依存症対策というが中身がない。言葉を並べているだけ。早期発見というだけ。</w:t>
            </w:r>
          </w:p>
          <w:p w14:paraId="6F448DF2" w14:textId="77777777" w:rsidR="00937DCA" w:rsidRPr="00937DCA" w:rsidRDefault="00937DCA" w:rsidP="00937DCA">
            <w:pPr>
              <w:rPr>
                <w:sz w:val="20"/>
                <w:szCs w:val="20"/>
              </w:rPr>
            </w:pPr>
            <w:r w:rsidRPr="00937DCA">
              <w:rPr>
                <w:sz w:val="20"/>
                <w:szCs w:val="20"/>
              </w:rPr>
              <w:t>6400台ものスロットマシーンをおく自体が依存症を生んでいる。</w:t>
            </w:r>
          </w:p>
          <w:p w14:paraId="34067E8B" w14:textId="77777777" w:rsidR="00937DCA" w:rsidRPr="00937DCA" w:rsidRDefault="00937DCA" w:rsidP="00937DCA">
            <w:pPr>
              <w:rPr>
                <w:sz w:val="20"/>
                <w:szCs w:val="20"/>
              </w:rPr>
            </w:pPr>
            <w:r w:rsidRPr="00937DCA">
              <w:rPr>
                <w:rFonts w:hint="eastAsia"/>
                <w:sz w:val="20"/>
                <w:szCs w:val="20"/>
              </w:rPr>
              <w:t>依存症対策はワンストップの支援拠点一つ作るだけでなく、多くの取組みが必要。</w:t>
            </w:r>
          </w:p>
          <w:p w14:paraId="78315743" w14:textId="77777777" w:rsidR="00961D85" w:rsidRPr="00937DCA" w:rsidRDefault="00937DCA" w:rsidP="00937DCA">
            <w:pPr>
              <w:rPr>
                <w:sz w:val="20"/>
                <w:szCs w:val="20"/>
              </w:rPr>
            </w:pPr>
            <w:r w:rsidRPr="00937DCA">
              <w:rPr>
                <w:rFonts w:hint="eastAsia"/>
                <w:sz w:val="20"/>
                <w:szCs w:val="20"/>
              </w:rPr>
              <w:t>苦しみに繋がる依存症を増やさないと儲けはこない→最大の予防はカジノつくらないこと。</w:t>
            </w:r>
          </w:p>
        </w:tc>
        <w:tc>
          <w:tcPr>
            <w:tcW w:w="8363" w:type="dxa"/>
          </w:tcPr>
          <w:p w14:paraId="17ED8B18" w14:textId="77777777" w:rsidR="00923E59" w:rsidRPr="00923E59" w:rsidRDefault="00923E59" w:rsidP="00923E59">
            <w:pPr>
              <w:rPr>
                <w:sz w:val="20"/>
                <w:szCs w:val="20"/>
              </w:rPr>
            </w:pPr>
            <w:r w:rsidRPr="00923E59">
              <w:rPr>
                <w:rFonts w:hint="eastAsia"/>
                <w:sz w:val="20"/>
                <w:szCs w:val="20"/>
              </w:rPr>
              <w:t xml:space="preserve">　大阪府・市としては、大阪の更なる成長に</w:t>
            </w:r>
            <w:r w:rsidRPr="00923E59">
              <w:rPr>
                <w:sz w:val="20"/>
                <w:szCs w:val="20"/>
              </w:rPr>
              <w:t>IRは必要と考えており、依存症などの懸念事項対策について万全の対策を講じたうえで、IRの実現をめざしています。</w:t>
            </w:r>
          </w:p>
          <w:p w14:paraId="0EFDE4F9" w14:textId="77777777" w:rsidR="00923E59" w:rsidRPr="00923E59" w:rsidRDefault="00923E59" w:rsidP="00923E59">
            <w:pPr>
              <w:rPr>
                <w:sz w:val="20"/>
                <w:szCs w:val="20"/>
              </w:rPr>
            </w:pPr>
            <w:r w:rsidRPr="00923E59">
              <w:rPr>
                <w:rFonts w:hint="eastAsia"/>
                <w:sz w:val="20"/>
                <w:szCs w:val="20"/>
              </w:rPr>
              <w:t xml:space="preserve">　</w:t>
            </w:r>
            <w:r w:rsidRPr="00923E59">
              <w:rPr>
                <w:sz w:val="20"/>
                <w:szCs w:val="20"/>
              </w:rPr>
              <w:t xml:space="preserve"> IR事業者は、IR整備法の世界最高水準のカジノ規制を遵守したうえで、ＭＧＭ社の海外での知見とノウハウを駆使して依存防止策に取り組みます。</w:t>
            </w:r>
          </w:p>
          <w:p w14:paraId="3D45E259" w14:textId="77777777" w:rsidR="00923E59" w:rsidRPr="00923E59" w:rsidRDefault="00923E59" w:rsidP="00923E59">
            <w:pPr>
              <w:rPr>
                <w:sz w:val="20"/>
                <w:szCs w:val="20"/>
              </w:rPr>
            </w:pPr>
            <w:r w:rsidRPr="00923E59">
              <w:rPr>
                <w:rFonts w:hint="eastAsia"/>
                <w:sz w:val="20"/>
                <w:szCs w:val="20"/>
              </w:rPr>
              <w:t xml:space="preserve">　また、大阪府・市として、新たに設置する「（仮称）大阪依存症センター」を中心として、予防から相談、治療、回復支援まで総合的な対策に取り組んでいきます。</w:t>
            </w:r>
          </w:p>
          <w:p w14:paraId="3D094B85" w14:textId="77777777" w:rsidR="008D4858" w:rsidRDefault="00FD2F70" w:rsidP="00923E59">
            <w:pPr>
              <w:rPr>
                <w:sz w:val="20"/>
                <w:szCs w:val="20"/>
              </w:rPr>
            </w:pPr>
            <w:r>
              <w:rPr>
                <w:rFonts w:hint="eastAsia"/>
                <w:sz w:val="20"/>
                <w:szCs w:val="20"/>
              </w:rPr>
              <w:t xml:space="preserve">　ギャンブル等依存症については、しっかりと対策をとることで、I</w:t>
            </w:r>
            <w:r>
              <w:rPr>
                <w:sz w:val="20"/>
                <w:szCs w:val="20"/>
              </w:rPr>
              <w:t>R</w:t>
            </w:r>
            <w:r w:rsidR="00923E59" w:rsidRPr="00923E59">
              <w:rPr>
                <w:rFonts w:hint="eastAsia"/>
                <w:sz w:val="20"/>
                <w:szCs w:val="20"/>
              </w:rPr>
              <w:t>を契機に、既存のギャンブルに起因する依存症も含めて、減らしていくことを目標に取り組んでいきます。</w:t>
            </w:r>
          </w:p>
          <w:p w14:paraId="28A30955" w14:textId="77777777" w:rsidR="00923E59" w:rsidRPr="00937DCA" w:rsidRDefault="00923E59" w:rsidP="00923E59">
            <w:pPr>
              <w:rPr>
                <w:sz w:val="20"/>
                <w:szCs w:val="20"/>
              </w:rPr>
            </w:pPr>
          </w:p>
        </w:tc>
      </w:tr>
      <w:tr w:rsidR="00961D85" w14:paraId="220FCC76" w14:textId="77777777" w:rsidTr="008D4858">
        <w:trPr>
          <w:trHeight w:val="2974"/>
        </w:trPr>
        <w:tc>
          <w:tcPr>
            <w:tcW w:w="562" w:type="dxa"/>
          </w:tcPr>
          <w:p w14:paraId="36EFB21C" w14:textId="77777777" w:rsidR="00961D85" w:rsidRPr="00937DCA" w:rsidRDefault="000411BF" w:rsidP="000411BF">
            <w:pPr>
              <w:jc w:val="center"/>
              <w:rPr>
                <w:sz w:val="20"/>
                <w:szCs w:val="20"/>
              </w:rPr>
            </w:pPr>
            <w:r w:rsidRPr="00937DCA">
              <w:rPr>
                <w:rFonts w:hint="eastAsia"/>
                <w:sz w:val="20"/>
                <w:szCs w:val="20"/>
              </w:rPr>
              <w:lastRenderedPageBreak/>
              <w:t>1</w:t>
            </w:r>
            <w:r w:rsidRPr="00937DCA">
              <w:rPr>
                <w:sz w:val="20"/>
                <w:szCs w:val="20"/>
              </w:rPr>
              <w:t>1</w:t>
            </w:r>
          </w:p>
        </w:tc>
        <w:tc>
          <w:tcPr>
            <w:tcW w:w="6521" w:type="dxa"/>
          </w:tcPr>
          <w:p w14:paraId="2490B543" w14:textId="77777777" w:rsidR="00937DCA" w:rsidRPr="00937DCA" w:rsidRDefault="00937DCA" w:rsidP="00937DCA">
            <w:pPr>
              <w:rPr>
                <w:sz w:val="20"/>
                <w:szCs w:val="20"/>
              </w:rPr>
            </w:pPr>
            <w:r w:rsidRPr="00937DCA">
              <w:rPr>
                <w:sz w:val="20"/>
                <w:szCs w:val="20"/>
              </w:rPr>
              <w:t>IRのカジノでギャンブル依存症になった場合、これはもう国、大阪府、大阪市の行政による「未必の故意の犯罪」でありますから、国、大阪府、大阪市は当事者に対し損害賠償責任を負うのです。</w:t>
            </w:r>
          </w:p>
          <w:p w14:paraId="5E86A40E" w14:textId="77777777" w:rsidR="00961D85" w:rsidRPr="00937DCA" w:rsidRDefault="00937DCA" w:rsidP="00937DCA">
            <w:pPr>
              <w:rPr>
                <w:sz w:val="20"/>
                <w:szCs w:val="20"/>
              </w:rPr>
            </w:pPr>
            <w:r w:rsidRPr="00937DCA">
              <w:rPr>
                <w:rFonts w:hint="eastAsia"/>
                <w:sz w:val="20"/>
                <w:szCs w:val="20"/>
              </w:rPr>
              <w:t>そもそも、賭博、開帳は犯罪であり違法行為でありますから、行政が推進していること自体が最悪の罪悪である。担当局のご見解をご回答ください。</w:t>
            </w:r>
          </w:p>
        </w:tc>
        <w:tc>
          <w:tcPr>
            <w:tcW w:w="8363" w:type="dxa"/>
          </w:tcPr>
          <w:p w14:paraId="6E508952" w14:textId="77777777" w:rsidR="00923E59" w:rsidRPr="00923E59" w:rsidRDefault="00FD2F70" w:rsidP="00923E59">
            <w:pPr>
              <w:rPr>
                <w:sz w:val="20"/>
                <w:szCs w:val="20"/>
              </w:rPr>
            </w:pPr>
            <w:r>
              <w:rPr>
                <w:rFonts w:hint="eastAsia"/>
                <w:sz w:val="20"/>
                <w:szCs w:val="20"/>
              </w:rPr>
              <w:t xml:space="preserve">　I</w:t>
            </w:r>
            <w:r>
              <w:rPr>
                <w:sz w:val="20"/>
                <w:szCs w:val="20"/>
              </w:rPr>
              <w:t>R</w:t>
            </w:r>
            <w:r w:rsidR="00923E59" w:rsidRPr="00923E59">
              <w:rPr>
                <w:rFonts w:hint="eastAsia"/>
                <w:sz w:val="20"/>
                <w:szCs w:val="20"/>
              </w:rPr>
              <w:t>のカジノについては、国での法制化の議論の中で、違法性が阻却されるため考慮すべき要件として、目的の公益性、収益の扱い、運営主体の廉潔性、副次的被害の防止が適切になされるかなど８つの観点があげられ議論されてきました。</w:t>
            </w:r>
          </w:p>
          <w:p w14:paraId="22B0FFA2" w14:textId="77777777" w:rsidR="00923E59" w:rsidRPr="00923E59" w:rsidRDefault="00923E59" w:rsidP="00923E59">
            <w:pPr>
              <w:rPr>
                <w:sz w:val="20"/>
                <w:szCs w:val="20"/>
              </w:rPr>
            </w:pPr>
            <w:r w:rsidRPr="00923E59">
              <w:rPr>
                <w:rFonts w:hint="eastAsia"/>
                <w:sz w:val="20"/>
                <w:szCs w:val="20"/>
              </w:rPr>
              <w:t xml:space="preserve">　</w:t>
            </w:r>
            <w:r w:rsidR="00FD2F70">
              <w:rPr>
                <w:sz w:val="20"/>
                <w:szCs w:val="20"/>
              </w:rPr>
              <w:t>IR</w:t>
            </w:r>
            <w:r w:rsidRPr="00923E59">
              <w:rPr>
                <w:sz w:val="20"/>
                <w:szCs w:val="20"/>
              </w:rPr>
              <w:t>整備法では、これらの観点を踏まえた制度設計がなされており、全体として、刑法の賭博に関する法制との整合性が図られているというのが国の見解です。</w:t>
            </w:r>
          </w:p>
          <w:p w14:paraId="7B4BB29B" w14:textId="77777777" w:rsidR="00961D85" w:rsidRPr="00937DCA" w:rsidRDefault="00923E59" w:rsidP="00923E59">
            <w:pPr>
              <w:rPr>
                <w:sz w:val="20"/>
                <w:szCs w:val="20"/>
              </w:rPr>
            </w:pPr>
            <w:r w:rsidRPr="00923E59">
              <w:rPr>
                <w:sz w:val="20"/>
                <w:szCs w:val="20"/>
              </w:rPr>
              <w:t xml:space="preserve"> </w:t>
            </w:r>
            <w:r w:rsidR="00FD2F70">
              <w:rPr>
                <w:sz w:val="20"/>
                <w:szCs w:val="20"/>
              </w:rPr>
              <w:t>大阪府・市としても、この</w:t>
            </w:r>
            <w:r w:rsidR="00FD2F70">
              <w:rPr>
                <w:rFonts w:hint="eastAsia"/>
                <w:sz w:val="20"/>
                <w:szCs w:val="20"/>
              </w:rPr>
              <w:t>I</w:t>
            </w:r>
            <w:r w:rsidR="00FD2F70">
              <w:rPr>
                <w:sz w:val="20"/>
                <w:szCs w:val="20"/>
              </w:rPr>
              <w:t>R整備法に則ってカジノを含む</w:t>
            </w:r>
            <w:r w:rsidR="00FD2F70">
              <w:rPr>
                <w:rFonts w:hint="eastAsia"/>
                <w:sz w:val="20"/>
                <w:szCs w:val="20"/>
              </w:rPr>
              <w:t>I</w:t>
            </w:r>
            <w:r w:rsidR="00FD2F70">
              <w:rPr>
                <w:sz w:val="20"/>
                <w:szCs w:val="20"/>
              </w:rPr>
              <w:t>R</w:t>
            </w:r>
            <w:r w:rsidRPr="00923E59">
              <w:rPr>
                <w:sz w:val="20"/>
                <w:szCs w:val="20"/>
              </w:rPr>
              <w:t>を設置するものになります。</w:t>
            </w:r>
          </w:p>
        </w:tc>
      </w:tr>
      <w:tr w:rsidR="00961D85" w14:paraId="40E15D45" w14:textId="77777777" w:rsidTr="008D4858">
        <w:trPr>
          <w:trHeight w:val="3951"/>
        </w:trPr>
        <w:tc>
          <w:tcPr>
            <w:tcW w:w="562" w:type="dxa"/>
          </w:tcPr>
          <w:p w14:paraId="532390ED"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2</w:t>
            </w:r>
          </w:p>
        </w:tc>
        <w:tc>
          <w:tcPr>
            <w:tcW w:w="6521" w:type="dxa"/>
          </w:tcPr>
          <w:p w14:paraId="167BA792" w14:textId="77777777" w:rsidR="00961D85" w:rsidRPr="00937DCA" w:rsidRDefault="00937DCA">
            <w:pPr>
              <w:rPr>
                <w:sz w:val="20"/>
                <w:szCs w:val="20"/>
              </w:rPr>
            </w:pPr>
            <w:r w:rsidRPr="00937DCA">
              <w:rPr>
                <w:sz w:val="20"/>
                <w:szCs w:val="20"/>
              </w:rPr>
              <w:t>IR事業者が真剣にギャンブル依存症を防ぐ手立てを取る担保はありますか。法整備で規制すべきですが、努力義務になると対策としては弱いです。</w:t>
            </w:r>
          </w:p>
        </w:tc>
        <w:tc>
          <w:tcPr>
            <w:tcW w:w="8363" w:type="dxa"/>
          </w:tcPr>
          <w:p w14:paraId="20D84CDB" w14:textId="77777777" w:rsidR="00923E59" w:rsidRPr="00923E59" w:rsidRDefault="00FD2F70" w:rsidP="00923E59">
            <w:pPr>
              <w:rPr>
                <w:sz w:val="20"/>
                <w:szCs w:val="20"/>
              </w:rPr>
            </w:pPr>
            <w:r>
              <w:rPr>
                <w:rFonts w:hint="eastAsia"/>
                <w:sz w:val="20"/>
                <w:szCs w:val="20"/>
              </w:rPr>
              <w:t xml:space="preserve">　I</w:t>
            </w:r>
            <w:r>
              <w:rPr>
                <w:sz w:val="20"/>
                <w:szCs w:val="20"/>
              </w:rPr>
              <w:t>R</w:t>
            </w:r>
            <w:r w:rsidR="00923E59" w:rsidRPr="00923E59">
              <w:rPr>
                <w:rFonts w:hint="eastAsia"/>
                <w:sz w:val="20"/>
                <w:szCs w:val="20"/>
              </w:rPr>
              <w:t>整備法では、世界最高水準のカジノ規制が設けられ、</w:t>
            </w:r>
            <w:r w:rsidR="00923E59" w:rsidRPr="00923E59">
              <w:rPr>
                <w:sz w:val="20"/>
                <w:szCs w:val="20"/>
              </w:rPr>
              <w:t>IR事業者及び地方公共団体が依存症対策を適切に講じていくことが求められています。</w:t>
            </w:r>
          </w:p>
          <w:p w14:paraId="2509259B" w14:textId="77777777" w:rsidR="00923E59" w:rsidRPr="00923E59" w:rsidRDefault="00923E59" w:rsidP="00923E59">
            <w:pPr>
              <w:rPr>
                <w:sz w:val="20"/>
                <w:szCs w:val="20"/>
              </w:rPr>
            </w:pPr>
            <w:r w:rsidRPr="00923E59">
              <w:rPr>
                <w:rFonts w:hint="eastAsia"/>
                <w:sz w:val="20"/>
                <w:szCs w:val="20"/>
              </w:rPr>
              <w:t xml:space="preserve">　今後、区域整備計画に取りまとめた、生体認証による厳格な入場管理、社内に専門部署を設置した</w:t>
            </w:r>
            <w:r w:rsidR="00FD2F70">
              <w:rPr>
                <w:rFonts w:hint="eastAsia"/>
                <w:sz w:val="20"/>
                <w:szCs w:val="20"/>
              </w:rPr>
              <w:t>上で、顧客への啓発・従業員教育を含む包括的プログラムの導入、I</w:t>
            </w:r>
            <w:r w:rsidR="00FD2F70">
              <w:rPr>
                <w:sz w:val="20"/>
                <w:szCs w:val="20"/>
              </w:rPr>
              <w:t>R</w:t>
            </w:r>
            <w:r w:rsidRPr="00923E59">
              <w:rPr>
                <w:rFonts w:hint="eastAsia"/>
                <w:sz w:val="20"/>
                <w:szCs w:val="20"/>
              </w:rPr>
              <w:t>区域内における</w:t>
            </w:r>
            <w:r w:rsidRPr="00923E59">
              <w:rPr>
                <w:sz w:val="20"/>
                <w:szCs w:val="20"/>
              </w:rPr>
              <w:t>24時間・365日利用可能な相談体制の構築、訓練されたスタッフによる視認とICT技術を活用した問題あるギャンブル行動の早期発見、本人申告による</w:t>
            </w:r>
            <w:r w:rsidR="00FD2F70">
              <w:rPr>
                <w:sz w:val="20"/>
                <w:szCs w:val="20"/>
              </w:rPr>
              <w:t>賭け金額や滞在時間の上限設定を可能にするプログラムの導入など</w:t>
            </w:r>
            <w:r w:rsidR="00FD2F70">
              <w:rPr>
                <w:rFonts w:hint="eastAsia"/>
                <w:sz w:val="20"/>
                <w:szCs w:val="20"/>
              </w:rPr>
              <w:t>I</w:t>
            </w:r>
            <w:r w:rsidR="00FD2F70">
              <w:rPr>
                <w:sz w:val="20"/>
                <w:szCs w:val="20"/>
              </w:rPr>
              <w:t>R</w:t>
            </w:r>
            <w:r w:rsidRPr="00923E59">
              <w:rPr>
                <w:sz w:val="20"/>
                <w:szCs w:val="20"/>
              </w:rPr>
              <w:t>事業者が実施する対策について、具体的な運用など詳細の検討を進めていくことになります。</w:t>
            </w:r>
          </w:p>
          <w:p w14:paraId="6AF4800D" w14:textId="77777777" w:rsidR="00961D85" w:rsidRPr="00937DCA" w:rsidRDefault="00923E59" w:rsidP="00923E59">
            <w:pPr>
              <w:rPr>
                <w:sz w:val="20"/>
                <w:szCs w:val="20"/>
              </w:rPr>
            </w:pPr>
            <w:r w:rsidRPr="00923E59">
              <w:rPr>
                <w:rFonts w:hint="eastAsia"/>
                <w:sz w:val="20"/>
                <w:szCs w:val="20"/>
              </w:rPr>
              <w:t xml:space="preserve">　大阪府・市と</w:t>
            </w:r>
            <w:r w:rsidRPr="00923E59">
              <w:rPr>
                <w:sz w:val="20"/>
                <w:szCs w:val="20"/>
              </w:rPr>
              <w:t>IR事業者は互いに緊密な連携協力を行い、ギャンブル等依存症対策について、万全の対策を講じてまいります。</w:t>
            </w:r>
          </w:p>
        </w:tc>
      </w:tr>
      <w:tr w:rsidR="00961D85" w14:paraId="64C5FBF3" w14:textId="77777777" w:rsidTr="008D4858">
        <w:trPr>
          <w:trHeight w:val="1130"/>
        </w:trPr>
        <w:tc>
          <w:tcPr>
            <w:tcW w:w="562" w:type="dxa"/>
          </w:tcPr>
          <w:p w14:paraId="20C4054C"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3</w:t>
            </w:r>
          </w:p>
        </w:tc>
        <w:tc>
          <w:tcPr>
            <w:tcW w:w="6521" w:type="dxa"/>
          </w:tcPr>
          <w:p w14:paraId="1B0BF74C" w14:textId="77777777" w:rsidR="00961D85" w:rsidRPr="00937DCA" w:rsidRDefault="00937DCA">
            <w:pPr>
              <w:rPr>
                <w:sz w:val="20"/>
                <w:szCs w:val="20"/>
              </w:rPr>
            </w:pPr>
            <w:r w:rsidRPr="00937DCA">
              <w:rPr>
                <w:rFonts w:hint="eastAsia"/>
                <w:sz w:val="20"/>
                <w:szCs w:val="20"/>
              </w:rPr>
              <w:t>カジノ施設への入場制限（</w:t>
            </w:r>
            <w:r w:rsidRPr="00937DCA">
              <w:rPr>
                <w:sz w:val="20"/>
                <w:szCs w:val="20"/>
              </w:rPr>
              <w:t>28日10回はかなりのヘビーユーザー）の科学的根拠は？これで依存症はおきないとできるのか。</w:t>
            </w:r>
          </w:p>
        </w:tc>
        <w:tc>
          <w:tcPr>
            <w:tcW w:w="8363" w:type="dxa"/>
          </w:tcPr>
          <w:p w14:paraId="351AEB69" w14:textId="77777777" w:rsidR="00961D85" w:rsidRPr="00937DCA" w:rsidRDefault="00923E59">
            <w:pPr>
              <w:rPr>
                <w:sz w:val="20"/>
                <w:szCs w:val="20"/>
              </w:rPr>
            </w:pPr>
            <w:r w:rsidRPr="00923E59">
              <w:rPr>
                <w:rFonts w:hint="eastAsia"/>
                <w:sz w:val="20"/>
                <w:szCs w:val="20"/>
              </w:rPr>
              <w:t xml:space="preserve">　入場回数制限については、</w:t>
            </w:r>
            <w:r w:rsidRPr="00923E59">
              <w:rPr>
                <w:sz w:val="20"/>
                <w:szCs w:val="20"/>
              </w:rPr>
              <w:t>IR整備法第六十九条第四号、第五号において規定されています。同法律については、国において国会等で議論のうえ、定められています。</w:t>
            </w:r>
          </w:p>
        </w:tc>
      </w:tr>
      <w:tr w:rsidR="00961D85" w14:paraId="27AA8339" w14:textId="77777777" w:rsidTr="008D4858">
        <w:trPr>
          <w:trHeight w:val="1411"/>
        </w:trPr>
        <w:tc>
          <w:tcPr>
            <w:tcW w:w="562" w:type="dxa"/>
          </w:tcPr>
          <w:p w14:paraId="1A5F8D32"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4</w:t>
            </w:r>
          </w:p>
        </w:tc>
        <w:tc>
          <w:tcPr>
            <w:tcW w:w="6521" w:type="dxa"/>
          </w:tcPr>
          <w:p w14:paraId="5EB86A90" w14:textId="77777777" w:rsidR="00961D85" w:rsidRPr="00937DCA" w:rsidRDefault="00937DCA">
            <w:pPr>
              <w:rPr>
                <w:sz w:val="20"/>
                <w:szCs w:val="20"/>
              </w:rPr>
            </w:pPr>
            <w:r w:rsidRPr="00937DCA">
              <w:rPr>
                <w:sz w:val="20"/>
                <w:szCs w:val="20"/>
              </w:rPr>
              <w:t>4月の国の認定から本日まで、双方向の対話の場が全く設定されなかったのはなぜか。</w:t>
            </w:r>
          </w:p>
        </w:tc>
        <w:tc>
          <w:tcPr>
            <w:tcW w:w="8363" w:type="dxa"/>
          </w:tcPr>
          <w:p w14:paraId="63DD0761" w14:textId="77777777" w:rsidR="008D4858" w:rsidRDefault="00923E59">
            <w:pPr>
              <w:rPr>
                <w:sz w:val="20"/>
                <w:szCs w:val="20"/>
              </w:rPr>
            </w:pPr>
            <w:r w:rsidRPr="00923E59">
              <w:rPr>
                <w:rFonts w:hint="eastAsia"/>
                <w:sz w:val="20"/>
                <w:szCs w:val="20"/>
              </w:rPr>
              <w:t xml:space="preserve">　</w:t>
            </w:r>
            <w:r w:rsidRPr="00923E59">
              <w:rPr>
                <w:sz w:val="20"/>
                <w:szCs w:val="20"/>
              </w:rPr>
              <w:t>IRの実現に向けて、府民の理解を深めていくため、これまでいただいたご意見も踏まえ、発信内容や手法を検討し、本年度は、区域整備計画の説明と質疑応答に特化した「説明会」を開催することとし、第1回を8月17日に開催したところです。</w:t>
            </w:r>
          </w:p>
          <w:p w14:paraId="3170F1C0" w14:textId="77777777" w:rsidR="00923E59" w:rsidRDefault="00923E59">
            <w:pPr>
              <w:rPr>
                <w:sz w:val="20"/>
                <w:szCs w:val="20"/>
              </w:rPr>
            </w:pPr>
          </w:p>
          <w:p w14:paraId="54F72099" w14:textId="77777777" w:rsidR="008D4858" w:rsidRPr="00937DCA" w:rsidRDefault="008D4858">
            <w:pPr>
              <w:rPr>
                <w:sz w:val="20"/>
                <w:szCs w:val="20"/>
              </w:rPr>
            </w:pPr>
          </w:p>
        </w:tc>
      </w:tr>
      <w:tr w:rsidR="00961D85" w14:paraId="70A74FC4" w14:textId="77777777" w:rsidTr="00576B74">
        <w:trPr>
          <w:trHeight w:val="1266"/>
        </w:trPr>
        <w:tc>
          <w:tcPr>
            <w:tcW w:w="562" w:type="dxa"/>
          </w:tcPr>
          <w:p w14:paraId="5378DBED" w14:textId="77777777" w:rsidR="00961D85" w:rsidRPr="00937DCA" w:rsidRDefault="000411BF" w:rsidP="000411BF">
            <w:pPr>
              <w:jc w:val="center"/>
              <w:rPr>
                <w:sz w:val="20"/>
                <w:szCs w:val="20"/>
              </w:rPr>
            </w:pPr>
            <w:r w:rsidRPr="00937DCA">
              <w:rPr>
                <w:rFonts w:hint="eastAsia"/>
                <w:sz w:val="20"/>
                <w:szCs w:val="20"/>
              </w:rPr>
              <w:lastRenderedPageBreak/>
              <w:t>1</w:t>
            </w:r>
            <w:r w:rsidRPr="00937DCA">
              <w:rPr>
                <w:sz w:val="20"/>
                <w:szCs w:val="20"/>
              </w:rPr>
              <w:t>5</w:t>
            </w:r>
          </w:p>
        </w:tc>
        <w:tc>
          <w:tcPr>
            <w:tcW w:w="6521" w:type="dxa"/>
          </w:tcPr>
          <w:p w14:paraId="5E99F21B" w14:textId="77777777" w:rsidR="00961D85" w:rsidRPr="00937DCA" w:rsidRDefault="00937DCA">
            <w:pPr>
              <w:rPr>
                <w:sz w:val="20"/>
                <w:szCs w:val="20"/>
              </w:rPr>
            </w:pPr>
            <w:r w:rsidRPr="00937DCA">
              <w:rPr>
                <w:rFonts w:hint="eastAsia"/>
                <w:sz w:val="20"/>
                <w:szCs w:val="20"/>
              </w:rPr>
              <w:t>説明会の日程を明示してほしい</w:t>
            </w:r>
          </w:p>
        </w:tc>
        <w:tc>
          <w:tcPr>
            <w:tcW w:w="8363" w:type="dxa"/>
          </w:tcPr>
          <w:p w14:paraId="52E9DBEF" w14:textId="77777777" w:rsidR="00961D85" w:rsidRPr="00937DCA" w:rsidRDefault="00923E59">
            <w:pPr>
              <w:rPr>
                <w:sz w:val="20"/>
                <w:szCs w:val="20"/>
              </w:rPr>
            </w:pPr>
            <w:r w:rsidRPr="00923E59">
              <w:rPr>
                <w:rFonts w:hint="eastAsia"/>
                <w:sz w:val="20"/>
                <w:szCs w:val="20"/>
              </w:rPr>
              <w:t xml:space="preserve">　本年度中に、府内の各地域において、説明会を複数回開催する予定です。日程、場所等については現在検討中であり、今後、</w:t>
            </w:r>
            <w:r w:rsidRPr="00923E59">
              <w:rPr>
                <w:sz w:val="20"/>
                <w:szCs w:val="20"/>
              </w:rPr>
              <w:t>IR推進局のホームページ等で公表してまいります。</w:t>
            </w:r>
          </w:p>
        </w:tc>
      </w:tr>
      <w:tr w:rsidR="00961D85" w14:paraId="6CEC603B" w14:textId="77777777" w:rsidTr="00576B74">
        <w:trPr>
          <w:trHeight w:val="1687"/>
        </w:trPr>
        <w:tc>
          <w:tcPr>
            <w:tcW w:w="562" w:type="dxa"/>
          </w:tcPr>
          <w:p w14:paraId="5DABFA47"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6</w:t>
            </w:r>
          </w:p>
        </w:tc>
        <w:tc>
          <w:tcPr>
            <w:tcW w:w="6521" w:type="dxa"/>
          </w:tcPr>
          <w:p w14:paraId="29AD5B2C" w14:textId="77777777" w:rsidR="00961D85" w:rsidRPr="00937DCA" w:rsidRDefault="00937DCA">
            <w:pPr>
              <w:rPr>
                <w:sz w:val="20"/>
                <w:szCs w:val="20"/>
              </w:rPr>
            </w:pPr>
            <w:r w:rsidRPr="00937DCA">
              <w:rPr>
                <w:rFonts w:hint="eastAsia"/>
                <w:sz w:val="20"/>
                <w:szCs w:val="20"/>
              </w:rPr>
              <w:t>必ずインターネットで全て公開していただけますか。</w:t>
            </w:r>
          </w:p>
        </w:tc>
        <w:tc>
          <w:tcPr>
            <w:tcW w:w="8363" w:type="dxa"/>
          </w:tcPr>
          <w:p w14:paraId="7A8F779B" w14:textId="77777777" w:rsidR="00961D85" w:rsidRPr="00937DCA" w:rsidRDefault="00923E59">
            <w:pPr>
              <w:rPr>
                <w:sz w:val="20"/>
                <w:szCs w:val="20"/>
              </w:rPr>
            </w:pPr>
            <w:r w:rsidRPr="00923E59">
              <w:rPr>
                <w:rFonts w:hint="eastAsia"/>
                <w:sz w:val="20"/>
                <w:szCs w:val="20"/>
              </w:rPr>
              <w:t xml:space="preserve">　説明会の配付資料や当日の説明要旨、質疑応答の要旨、また、時間の関係で当日お答えできなかったご質問への回答についても、</w:t>
            </w:r>
            <w:r w:rsidRPr="00923E59">
              <w:rPr>
                <w:sz w:val="20"/>
                <w:szCs w:val="20"/>
              </w:rPr>
              <w:t>IR推進局のホームページ上に掲載することとしております。</w:t>
            </w:r>
          </w:p>
        </w:tc>
      </w:tr>
      <w:tr w:rsidR="00961D85" w14:paraId="01ABC0F3" w14:textId="77777777" w:rsidTr="00576B74">
        <w:trPr>
          <w:trHeight w:val="2264"/>
        </w:trPr>
        <w:tc>
          <w:tcPr>
            <w:tcW w:w="562" w:type="dxa"/>
          </w:tcPr>
          <w:p w14:paraId="43349911"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7</w:t>
            </w:r>
          </w:p>
        </w:tc>
        <w:tc>
          <w:tcPr>
            <w:tcW w:w="6521" w:type="dxa"/>
          </w:tcPr>
          <w:p w14:paraId="53E0EEBA" w14:textId="77777777" w:rsidR="00961D85" w:rsidRPr="00937DCA" w:rsidRDefault="00937DCA">
            <w:pPr>
              <w:rPr>
                <w:sz w:val="20"/>
                <w:szCs w:val="20"/>
              </w:rPr>
            </w:pPr>
            <w:r w:rsidRPr="00937DCA">
              <w:rPr>
                <w:sz w:val="20"/>
                <w:szCs w:val="20"/>
              </w:rPr>
              <w:t>IR来訪者・国内：約1400万人/年のうち、大阪府・市内からくる人をどれだけ想定しているのかをはっきりさせてほしい。（IRにいくという大阪人はほとんどいません。）</w:t>
            </w:r>
          </w:p>
        </w:tc>
        <w:tc>
          <w:tcPr>
            <w:tcW w:w="8363" w:type="dxa"/>
          </w:tcPr>
          <w:p w14:paraId="77332F55" w14:textId="77777777" w:rsidR="00961D85" w:rsidRPr="00937DCA" w:rsidRDefault="00923E59">
            <w:pPr>
              <w:rPr>
                <w:sz w:val="20"/>
                <w:szCs w:val="20"/>
              </w:rPr>
            </w:pPr>
            <w:r w:rsidRPr="00923E59">
              <w:rPr>
                <w:rFonts w:hint="eastAsia"/>
                <w:sz w:val="20"/>
                <w:szCs w:val="20"/>
              </w:rPr>
              <w:t xml:space="preserve">　</w:t>
            </w:r>
            <w:r w:rsidRPr="00923E59">
              <w:rPr>
                <w:sz w:val="20"/>
                <w:szCs w:val="20"/>
              </w:rPr>
              <w:t>IR</w:t>
            </w:r>
            <w:r w:rsidR="00FD2F70">
              <w:rPr>
                <w:sz w:val="20"/>
                <w:szCs w:val="20"/>
              </w:rPr>
              <w:t>区域への来訪者数については、</w:t>
            </w:r>
            <w:r w:rsidR="00FD2F70">
              <w:rPr>
                <w:rFonts w:hint="eastAsia"/>
                <w:sz w:val="20"/>
                <w:szCs w:val="20"/>
              </w:rPr>
              <w:t>I</w:t>
            </w:r>
            <w:r w:rsidR="00FD2F70">
              <w:rPr>
                <w:sz w:val="20"/>
                <w:szCs w:val="20"/>
              </w:rPr>
              <w:t>R事業者において、人口統計や訪日外客統計等の統計情報及び既存</w:t>
            </w:r>
            <w:r w:rsidR="00FD2F70">
              <w:rPr>
                <w:rFonts w:hint="eastAsia"/>
                <w:sz w:val="20"/>
                <w:szCs w:val="20"/>
              </w:rPr>
              <w:t>I</w:t>
            </w:r>
            <w:r w:rsidR="00FD2F70">
              <w:rPr>
                <w:sz w:val="20"/>
                <w:szCs w:val="20"/>
              </w:rPr>
              <w:t>R</w:t>
            </w:r>
            <w:r w:rsidRPr="00923E59">
              <w:rPr>
                <w:sz w:val="20"/>
                <w:szCs w:val="20"/>
              </w:rPr>
              <w:t>施設での実績・知見を踏まえて、国内旅行者（日帰り）、国内旅行者（宿泊）、訪日外国人旅行者別に推計されています。また、区域整備計画の【評価基準17】において、推計の考え方・方法等を記載しています。</w:t>
            </w:r>
          </w:p>
        </w:tc>
      </w:tr>
      <w:tr w:rsidR="00961D85" w14:paraId="7DE20D25" w14:textId="77777777" w:rsidTr="008D4858">
        <w:trPr>
          <w:trHeight w:val="4509"/>
        </w:trPr>
        <w:tc>
          <w:tcPr>
            <w:tcW w:w="562" w:type="dxa"/>
          </w:tcPr>
          <w:p w14:paraId="3515E180" w14:textId="77777777" w:rsidR="00961D85" w:rsidRPr="00937DCA" w:rsidRDefault="000411BF" w:rsidP="000411BF">
            <w:pPr>
              <w:jc w:val="center"/>
              <w:rPr>
                <w:sz w:val="20"/>
                <w:szCs w:val="20"/>
              </w:rPr>
            </w:pPr>
            <w:r w:rsidRPr="00937DCA">
              <w:rPr>
                <w:rFonts w:hint="eastAsia"/>
                <w:sz w:val="20"/>
                <w:szCs w:val="20"/>
              </w:rPr>
              <w:t>1</w:t>
            </w:r>
            <w:r w:rsidRPr="00937DCA">
              <w:rPr>
                <w:sz w:val="20"/>
                <w:szCs w:val="20"/>
              </w:rPr>
              <w:t>8</w:t>
            </w:r>
          </w:p>
        </w:tc>
        <w:tc>
          <w:tcPr>
            <w:tcW w:w="6521" w:type="dxa"/>
          </w:tcPr>
          <w:p w14:paraId="2378C053" w14:textId="77777777" w:rsidR="00961D85" w:rsidRPr="00937DCA" w:rsidRDefault="00937DCA">
            <w:pPr>
              <w:rPr>
                <w:sz w:val="20"/>
                <w:szCs w:val="20"/>
              </w:rPr>
            </w:pPr>
            <w:r w:rsidRPr="00937DCA">
              <w:rPr>
                <w:rFonts w:hint="eastAsia"/>
                <w:sz w:val="20"/>
                <w:szCs w:val="20"/>
              </w:rPr>
              <w:t>アクセス整備について、</w:t>
            </w:r>
            <w:r w:rsidRPr="00937DCA">
              <w:rPr>
                <w:sz w:val="20"/>
                <w:szCs w:val="20"/>
              </w:rPr>
              <w:t>43号線の渋滞対策はされるのか？北港通や咲洲への交差点など、今でも大混雑しており、大阪の物流への影響を試算しているのか。</w:t>
            </w:r>
          </w:p>
        </w:tc>
        <w:tc>
          <w:tcPr>
            <w:tcW w:w="8363" w:type="dxa"/>
          </w:tcPr>
          <w:p w14:paraId="6A76EBF1" w14:textId="77777777" w:rsidR="00923E59" w:rsidRPr="00923E59" w:rsidRDefault="00FD2F70" w:rsidP="00923E59">
            <w:pPr>
              <w:rPr>
                <w:sz w:val="20"/>
                <w:szCs w:val="20"/>
              </w:rPr>
            </w:pPr>
            <w:r>
              <w:rPr>
                <w:sz w:val="20"/>
                <w:szCs w:val="20"/>
              </w:rPr>
              <w:t xml:space="preserve"> </w:t>
            </w:r>
            <w:r w:rsidR="00923E59" w:rsidRPr="00923E59">
              <w:rPr>
                <w:sz w:val="20"/>
                <w:szCs w:val="20"/>
              </w:rPr>
              <w:t xml:space="preserve"> </w:t>
            </w:r>
            <w:r>
              <w:rPr>
                <w:sz w:val="20"/>
                <w:szCs w:val="20"/>
              </w:rPr>
              <w:t>IR</w:t>
            </w:r>
            <w:r w:rsidR="00923E59" w:rsidRPr="00923E59">
              <w:rPr>
                <w:sz w:val="20"/>
                <w:szCs w:val="20"/>
              </w:rPr>
              <w:t>事業を含む、夢洲全体のまちづくりにおける交通アクセスについては、鉄道網の整備も含めた交通負荷の分散により周辺道路網などに与える影響の軽減を図るとともに、幹線道路の拡幅や高架道路の整備などによる観光関連の動線と物流関連の動線との分離により、円滑な交通アクセスの確保に努めていくこととしています。</w:t>
            </w:r>
          </w:p>
          <w:p w14:paraId="6F467ACD" w14:textId="77777777" w:rsidR="00961D85" w:rsidRPr="00937DCA" w:rsidRDefault="00923E59" w:rsidP="00923E59">
            <w:pPr>
              <w:rPr>
                <w:sz w:val="20"/>
                <w:szCs w:val="20"/>
              </w:rPr>
            </w:pPr>
            <w:r w:rsidRPr="00923E59">
              <w:rPr>
                <w:sz w:val="20"/>
                <w:szCs w:val="20"/>
              </w:rPr>
              <w:t xml:space="preserve"> </w:t>
            </w:r>
            <w:r w:rsidR="00FD2F70">
              <w:rPr>
                <w:sz w:val="20"/>
                <w:szCs w:val="20"/>
              </w:rPr>
              <w:t>今後、</w:t>
            </w:r>
            <w:r w:rsidR="00FD2F70">
              <w:rPr>
                <w:rFonts w:hint="eastAsia"/>
                <w:sz w:val="20"/>
                <w:szCs w:val="20"/>
              </w:rPr>
              <w:t>I</w:t>
            </w:r>
            <w:r w:rsidR="00FD2F70">
              <w:rPr>
                <w:sz w:val="20"/>
                <w:szCs w:val="20"/>
              </w:rPr>
              <w:t>R</w:t>
            </w:r>
            <w:r w:rsidRPr="00923E59">
              <w:rPr>
                <w:sz w:val="20"/>
                <w:szCs w:val="20"/>
              </w:rPr>
              <w:t>開業に向けては、周辺道路への影響についても検証を行い、事業者をはじめとして、道路管理者など、各関係先と協議や調整を行いながら、必要に応じて交通対策等を検討していくこととしています。</w:t>
            </w:r>
          </w:p>
        </w:tc>
      </w:tr>
      <w:tr w:rsidR="00961D85" w14:paraId="6FB1FE0A" w14:textId="77777777" w:rsidTr="008D4858">
        <w:trPr>
          <w:trHeight w:val="6093"/>
        </w:trPr>
        <w:tc>
          <w:tcPr>
            <w:tcW w:w="562" w:type="dxa"/>
          </w:tcPr>
          <w:p w14:paraId="641F3C40" w14:textId="77777777" w:rsidR="00961D85" w:rsidRPr="00937DCA" w:rsidRDefault="000411BF" w:rsidP="000411BF">
            <w:pPr>
              <w:jc w:val="center"/>
              <w:rPr>
                <w:sz w:val="20"/>
                <w:szCs w:val="20"/>
              </w:rPr>
            </w:pPr>
            <w:r w:rsidRPr="00937DCA">
              <w:rPr>
                <w:rFonts w:hint="eastAsia"/>
                <w:sz w:val="20"/>
                <w:szCs w:val="20"/>
              </w:rPr>
              <w:lastRenderedPageBreak/>
              <w:t>1</w:t>
            </w:r>
            <w:r w:rsidRPr="00937DCA">
              <w:rPr>
                <w:sz w:val="20"/>
                <w:szCs w:val="20"/>
              </w:rPr>
              <w:t>9</w:t>
            </w:r>
          </w:p>
        </w:tc>
        <w:tc>
          <w:tcPr>
            <w:tcW w:w="6521" w:type="dxa"/>
          </w:tcPr>
          <w:p w14:paraId="1D574E2D" w14:textId="77777777" w:rsidR="00961D85" w:rsidRPr="00937DCA" w:rsidRDefault="00937DCA">
            <w:pPr>
              <w:rPr>
                <w:sz w:val="20"/>
                <w:szCs w:val="20"/>
              </w:rPr>
            </w:pPr>
            <w:r w:rsidRPr="00937DCA">
              <w:rPr>
                <w:rFonts w:hint="eastAsia"/>
                <w:sz w:val="20"/>
                <w:szCs w:val="20"/>
              </w:rPr>
              <w:t>想定外の事がおこるのが災害です。何かあった時、誰がどう責任を取るのですか。</w:t>
            </w:r>
          </w:p>
        </w:tc>
        <w:tc>
          <w:tcPr>
            <w:tcW w:w="8363" w:type="dxa"/>
          </w:tcPr>
          <w:p w14:paraId="395ECF8B" w14:textId="77777777" w:rsidR="00923E59" w:rsidRPr="00923E59" w:rsidRDefault="0002236A" w:rsidP="00923E59">
            <w:pPr>
              <w:rPr>
                <w:sz w:val="20"/>
                <w:szCs w:val="20"/>
              </w:rPr>
            </w:pPr>
            <w:r>
              <w:rPr>
                <w:rFonts w:hint="eastAsia"/>
                <w:sz w:val="20"/>
                <w:szCs w:val="20"/>
              </w:rPr>
              <w:t xml:space="preserve">　I</w:t>
            </w:r>
            <w:r>
              <w:rPr>
                <w:sz w:val="20"/>
                <w:szCs w:val="20"/>
              </w:rPr>
              <w:t>R</w:t>
            </w:r>
            <w:r w:rsidR="00923E59" w:rsidRPr="00923E59">
              <w:rPr>
                <w:rFonts w:hint="eastAsia"/>
                <w:sz w:val="20"/>
                <w:szCs w:val="20"/>
              </w:rPr>
              <w:t>区域の現状地盤高さは、大阪湾における最低潮位を表す</w:t>
            </w:r>
            <w:r w:rsidR="00923E59" w:rsidRPr="00923E59">
              <w:rPr>
                <w:sz w:val="20"/>
                <w:szCs w:val="20"/>
              </w:rPr>
              <w:t>O.P.</w:t>
            </w:r>
            <w:r>
              <w:rPr>
                <w:sz w:val="20"/>
                <w:szCs w:val="20"/>
              </w:rPr>
              <w:t>ゼロメートルを基準として、</w:t>
            </w:r>
            <w:r w:rsidR="00923E59" w:rsidRPr="00923E59">
              <w:rPr>
                <w:sz w:val="20"/>
                <w:szCs w:val="20"/>
              </w:rPr>
              <w:t>O.P.+11ｍ程度で、地盤沈下を見込んだ50年後でも、地盤高さはO.P.+９ｍ程度であると推定しており、満潮時の南海トラフ巨大地震における夢洲周辺での津波予測高さO.P.+5.4mや高潮時の潮位O.P.+7.3mに対しても、十分な地盤高さを確保しています。このほか、南側護岸では、過去最大規模の台風を想定した越波対策として、法面保護及び胸壁設置を実施しています。</w:t>
            </w:r>
          </w:p>
          <w:p w14:paraId="054CCE02" w14:textId="77777777" w:rsidR="00923E59" w:rsidRPr="00923E59" w:rsidRDefault="00923E59" w:rsidP="00923E59">
            <w:pPr>
              <w:rPr>
                <w:sz w:val="20"/>
                <w:szCs w:val="20"/>
              </w:rPr>
            </w:pPr>
            <w:r w:rsidRPr="00923E59">
              <w:rPr>
                <w:rFonts w:hint="eastAsia"/>
                <w:sz w:val="20"/>
                <w:szCs w:val="20"/>
              </w:rPr>
              <w:t xml:space="preserve">　また、夢洲へのアクセスルートとなる夢舞大橋、夢咲トンネルをはじめ、此花大橋や咲洲トンネルなど耐震改良済みであり、南海トラフ巨大地震に対しては十分、安全性が確保されています。　　　　　　　　　　　　　　　　　　　　　　　　　　　　　　　　　　　　　　　　　　　　　　　</w:t>
            </w:r>
          </w:p>
          <w:p w14:paraId="6E87D347" w14:textId="77777777" w:rsidR="00923E59" w:rsidRPr="00923E59" w:rsidRDefault="0002236A" w:rsidP="00923E59">
            <w:pPr>
              <w:rPr>
                <w:sz w:val="20"/>
                <w:szCs w:val="20"/>
              </w:rPr>
            </w:pPr>
            <w:r>
              <w:rPr>
                <w:rFonts w:hint="eastAsia"/>
                <w:sz w:val="20"/>
                <w:szCs w:val="20"/>
              </w:rPr>
              <w:t xml:space="preserve">　一方、I</w:t>
            </w:r>
            <w:r>
              <w:rPr>
                <w:sz w:val="20"/>
                <w:szCs w:val="20"/>
              </w:rPr>
              <w:t>R</w:t>
            </w:r>
            <w:r w:rsidR="00923E59" w:rsidRPr="00923E59">
              <w:rPr>
                <w:rFonts w:hint="eastAsia"/>
                <w:sz w:val="20"/>
                <w:szCs w:val="20"/>
              </w:rPr>
              <w:t>事業者の具体的な対策については、ＢＣＰ（事業継続計画）における重要施設と位置づける施設には、高い耐震性能を確保するほか、想定外の津波や高潮に備えた建築設計とし、主要施設の床レベルについて、想定される津波を上回る高さに設定することとしています。</w:t>
            </w:r>
          </w:p>
          <w:p w14:paraId="6BC13F9B" w14:textId="77777777" w:rsidR="00961D85" w:rsidRPr="00937DCA" w:rsidRDefault="0002236A" w:rsidP="00923E59">
            <w:pPr>
              <w:rPr>
                <w:sz w:val="20"/>
                <w:szCs w:val="20"/>
              </w:rPr>
            </w:pPr>
            <w:r>
              <w:rPr>
                <w:rFonts w:hint="eastAsia"/>
                <w:sz w:val="20"/>
                <w:szCs w:val="20"/>
              </w:rPr>
              <w:t xml:space="preserve">　災害時のソフト対策として、大阪府・市とI</w:t>
            </w:r>
            <w:r>
              <w:rPr>
                <w:sz w:val="20"/>
                <w:szCs w:val="20"/>
              </w:rPr>
              <w:t>R</w:t>
            </w:r>
            <w:r w:rsidR="00923E59" w:rsidRPr="00923E59">
              <w:rPr>
                <w:rFonts w:hint="eastAsia"/>
                <w:sz w:val="20"/>
                <w:szCs w:val="20"/>
              </w:rPr>
              <w:t>事業者が連携し、ＳＮＳ</w:t>
            </w:r>
            <w:r>
              <w:rPr>
                <w:rFonts w:hint="eastAsia"/>
                <w:sz w:val="20"/>
                <w:szCs w:val="20"/>
              </w:rPr>
              <w:t>や防災行政無線等を活用した来訪者への情報発信を行うとともに、I</w:t>
            </w:r>
            <w:r>
              <w:rPr>
                <w:sz w:val="20"/>
                <w:szCs w:val="20"/>
              </w:rPr>
              <w:t>R</w:t>
            </w:r>
            <w:r w:rsidR="00923E59" w:rsidRPr="00923E59">
              <w:rPr>
                <w:rFonts w:hint="eastAsia"/>
                <w:sz w:val="20"/>
                <w:szCs w:val="20"/>
              </w:rPr>
              <w:t>事業者において、想定する帰宅困難者全員が、災害発生から３日間以上安全に過ごすための備蓄品を保管することとしています。</w:t>
            </w:r>
          </w:p>
        </w:tc>
      </w:tr>
      <w:tr w:rsidR="00961D85" w14:paraId="462F7EC3" w14:textId="77777777" w:rsidTr="008D4858">
        <w:trPr>
          <w:trHeight w:val="977"/>
        </w:trPr>
        <w:tc>
          <w:tcPr>
            <w:tcW w:w="562" w:type="dxa"/>
          </w:tcPr>
          <w:p w14:paraId="1A6BB2A8" w14:textId="77777777" w:rsidR="00961D85" w:rsidRPr="00937DCA" w:rsidRDefault="000411BF" w:rsidP="000411BF">
            <w:pPr>
              <w:jc w:val="center"/>
              <w:rPr>
                <w:sz w:val="20"/>
                <w:szCs w:val="20"/>
              </w:rPr>
            </w:pPr>
            <w:r w:rsidRPr="00937DCA">
              <w:rPr>
                <w:rFonts w:hint="eastAsia"/>
                <w:sz w:val="20"/>
                <w:szCs w:val="20"/>
              </w:rPr>
              <w:t>2</w:t>
            </w:r>
            <w:r w:rsidRPr="00937DCA">
              <w:rPr>
                <w:sz w:val="20"/>
                <w:szCs w:val="20"/>
              </w:rPr>
              <w:t>0</w:t>
            </w:r>
          </w:p>
        </w:tc>
        <w:tc>
          <w:tcPr>
            <w:tcW w:w="6521" w:type="dxa"/>
          </w:tcPr>
          <w:p w14:paraId="30B19599" w14:textId="77777777" w:rsidR="00961D85" w:rsidRPr="00937DCA" w:rsidRDefault="00937DCA">
            <w:pPr>
              <w:rPr>
                <w:sz w:val="20"/>
                <w:szCs w:val="20"/>
              </w:rPr>
            </w:pPr>
            <w:r w:rsidRPr="00937DCA">
              <w:rPr>
                <w:rFonts w:hint="eastAsia"/>
                <w:sz w:val="20"/>
                <w:szCs w:val="20"/>
              </w:rPr>
              <w:t>プロジェクトファイナンスのコミットメントレターの条件を公開してほしい。</w:t>
            </w:r>
          </w:p>
        </w:tc>
        <w:tc>
          <w:tcPr>
            <w:tcW w:w="8363" w:type="dxa"/>
          </w:tcPr>
          <w:p w14:paraId="27C4DBC3" w14:textId="77777777" w:rsidR="00961D85" w:rsidRPr="00937DCA" w:rsidRDefault="00923E59">
            <w:pPr>
              <w:rPr>
                <w:sz w:val="20"/>
                <w:szCs w:val="20"/>
              </w:rPr>
            </w:pPr>
            <w:r w:rsidRPr="00923E59">
              <w:rPr>
                <w:rFonts w:hint="eastAsia"/>
                <w:sz w:val="20"/>
                <w:szCs w:val="20"/>
              </w:rPr>
              <w:t xml:space="preserve">　コミットメントレターの内容については、法人等情報に該当するため、情報公開条例に基づき公開することはできません。</w:t>
            </w:r>
          </w:p>
        </w:tc>
      </w:tr>
      <w:tr w:rsidR="00961D85" w14:paraId="55776A42" w14:textId="77777777" w:rsidTr="008D4858">
        <w:trPr>
          <w:trHeight w:val="1686"/>
        </w:trPr>
        <w:tc>
          <w:tcPr>
            <w:tcW w:w="562" w:type="dxa"/>
          </w:tcPr>
          <w:p w14:paraId="271EDE27" w14:textId="77777777" w:rsidR="00961D85" w:rsidRPr="00937DCA" w:rsidRDefault="000411BF" w:rsidP="000411BF">
            <w:pPr>
              <w:jc w:val="center"/>
              <w:rPr>
                <w:sz w:val="20"/>
                <w:szCs w:val="20"/>
              </w:rPr>
            </w:pPr>
            <w:r w:rsidRPr="00937DCA">
              <w:rPr>
                <w:rFonts w:hint="eastAsia"/>
                <w:sz w:val="20"/>
                <w:szCs w:val="20"/>
              </w:rPr>
              <w:t>2</w:t>
            </w:r>
            <w:r w:rsidRPr="00937DCA">
              <w:rPr>
                <w:sz w:val="20"/>
                <w:szCs w:val="20"/>
              </w:rPr>
              <w:t>1</w:t>
            </w:r>
          </w:p>
        </w:tc>
        <w:tc>
          <w:tcPr>
            <w:tcW w:w="6521" w:type="dxa"/>
          </w:tcPr>
          <w:p w14:paraId="663D3371" w14:textId="77777777" w:rsidR="00961D85" w:rsidRPr="00937DCA" w:rsidRDefault="00937DCA">
            <w:pPr>
              <w:rPr>
                <w:sz w:val="20"/>
                <w:szCs w:val="20"/>
              </w:rPr>
            </w:pPr>
            <w:r w:rsidRPr="00937DCA">
              <w:rPr>
                <w:rFonts w:hint="eastAsia"/>
                <w:sz w:val="20"/>
                <w:szCs w:val="20"/>
              </w:rPr>
              <w:t>あおもり犬のパテント問題はどうなったか教えてほしい。</w:t>
            </w:r>
          </w:p>
        </w:tc>
        <w:tc>
          <w:tcPr>
            <w:tcW w:w="8363" w:type="dxa"/>
          </w:tcPr>
          <w:p w14:paraId="54EB5582" w14:textId="77777777" w:rsidR="00923E59" w:rsidRPr="00923E59" w:rsidRDefault="00937DCA" w:rsidP="00923E59">
            <w:pPr>
              <w:rPr>
                <w:sz w:val="20"/>
                <w:szCs w:val="20"/>
              </w:rPr>
            </w:pPr>
            <w:r w:rsidRPr="00937DCA">
              <w:rPr>
                <w:rFonts w:hint="eastAsia"/>
                <w:sz w:val="20"/>
                <w:szCs w:val="20"/>
              </w:rPr>
              <w:t xml:space="preserve">　</w:t>
            </w:r>
            <w:r w:rsidR="00923E59" w:rsidRPr="00923E59">
              <w:rPr>
                <w:rFonts w:hint="eastAsia"/>
                <w:sz w:val="20"/>
                <w:szCs w:val="20"/>
              </w:rPr>
              <w:t>今般、このような事案を発生させてしまったことについて、大阪府・市として事態を重く受け止め、深くお詫びします。</w:t>
            </w:r>
          </w:p>
          <w:p w14:paraId="633C45CC" w14:textId="77777777" w:rsidR="00923E59" w:rsidRDefault="00923E59" w:rsidP="00923E59">
            <w:pPr>
              <w:rPr>
                <w:sz w:val="20"/>
                <w:szCs w:val="20"/>
              </w:rPr>
            </w:pPr>
            <w:r w:rsidRPr="00923E59">
              <w:rPr>
                <w:rFonts w:hint="eastAsia"/>
                <w:sz w:val="20"/>
                <w:szCs w:val="20"/>
              </w:rPr>
              <w:t xml:space="preserve">　本事案の経過等についてはこちらをご参照ください。</w:t>
            </w:r>
          </w:p>
          <w:p w14:paraId="1A4EA0B1" w14:textId="77777777" w:rsidR="00937DCA" w:rsidRPr="00937DCA" w:rsidRDefault="004D2C57" w:rsidP="00923E59">
            <w:pPr>
              <w:rPr>
                <w:sz w:val="20"/>
                <w:szCs w:val="20"/>
              </w:rPr>
            </w:pPr>
            <w:hyperlink r:id="rId6" w:history="1">
              <w:r w:rsidR="0064385A">
                <w:rPr>
                  <w:rStyle w:val="a4"/>
                  <w:rFonts w:hint="eastAsia"/>
                  <w:sz w:val="20"/>
                  <w:szCs w:val="20"/>
                </w:rPr>
                <w:t>（大阪I</w:t>
              </w:r>
              <w:r w:rsidR="0064385A">
                <w:rPr>
                  <w:rStyle w:val="a4"/>
                  <w:sz w:val="20"/>
                  <w:szCs w:val="20"/>
                </w:rPr>
                <w:t>R</w:t>
              </w:r>
              <w:r w:rsidR="00937DCA" w:rsidRPr="00937DCA">
                <w:rPr>
                  <w:rStyle w:val="a4"/>
                  <w:rFonts w:hint="eastAsia"/>
                  <w:sz w:val="20"/>
                  <w:szCs w:val="20"/>
                </w:rPr>
                <w:t>の広報資料に含まれる著作者等からの利用許諾のない著作物について）</w:t>
              </w:r>
            </w:hyperlink>
          </w:p>
        </w:tc>
      </w:tr>
      <w:tr w:rsidR="00961D85" w14:paraId="66EBB5A6" w14:textId="77777777" w:rsidTr="00937DCA">
        <w:tc>
          <w:tcPr>
            <w:tcW w:w="562" w:type="dxa"/>
          </w:tcPr>
          <w:p w14:paraId="61345C83" w14:textId="77777777" w:rsidR="00961D85" w:rsidRPr="00937DCA" w:rsidRDefault="000411BF" w:rsidP="000411BF">
            <w:pPr>
              <w:jc w:val="center"/>
              <w:rPr>
                <w:sz w:val="20"/>
                <w:szCs w:val="20"/>
              </w:rPr>
            </w:pPr>
            <w:r w:rsidRPr="00937DCA">
              <w:rPr>
                <w:rFonts w:hint="eastAsia"/>
                <w:sz w:val="20"/>
                <w:szCs w:val="20"/>
              </w:rPr>
              <w:t>2</w:t>
            </w:r>
            <w:r w:rsidRPr="00937DCA">
              <w:rPr>
                <w:sz w:val="20"/>
                <w:szCs w:val="20"/>
              </w:rPr>
              <w:t>2</w:t>
            </w:r>
          </w:p>
        </w:tc>
        <w:tc>
          <w:tcPr>
            <w:tcW w:w="6521" w:type="dxa"/>
          </w:tcPr>
          <w:p w14:paraId="30CDF511" w14:textId="77777777" w:rsidR="008D4858" w:rsidRDefault="00937DCA">
            <w:pPr>
              <w:rPr>
                <w:sz w:val="20"/>
                <w:szCs w:val="20"/>
              </w:rPr>
            </w:pPr>
            <w:r w:rsidRPr="00937DCA">
              <w:rPr>
                <w:sz w:val="20"/>
                <w:szCs w:val="20"/>
              </w:rPr>
              <w:t>P.5大阪IR株式会社について質問。①中之島ダイビルの何号室なのか　②ホームページを教えてください　③メールアドレスを教えてください</w:t>
            </w:r>
          </w:p>
          <w:p w14:paraId="683F6118" w14:textId="77777777" w:rsidR="005C22B8" w:rsidRPr="00937DCA" w:rsidRDefault="005C22B8">
            <w:pPr>
              <w:rPr>
                <w:sz w:val="20"/>
                <w:szCs w:val="20"/>
              </w:rPr>
            </w:pPr>
          </w:p>
        </w:tc>
        <w:tc>
          <w:tcPr>
            <w:tcW w:w="8363" w:type="dxa"/>
          </w:tcPr>
          <w:p w14:paraId="627CC057" w14:textId="77777777" w:rsidR="00961D85" w:rsidRPr="00937DCA" w:rsidRDefault="0002236A">
            <w:pPr>
              <w:rPr>
                <w:sz w:val="20"/>
                <w:szCs w:val="20"/>
              </w:rPr>
            </w:pPr>
            <w:r>
              <w:rPr>
                <w:rFonts w:hint="eastAsia"/>
                <w:sz w:val="20"/>
                <w:szCs w:val="20"/>
              </w:rPr>
              <w:t xml:space="preserve">　大阪I</w:t>
            </w:r>
            <w:r>
              <w:rPr>
                <w:sz w:val="20"/>
                <w:szCs w:val="20"/>
              </w:rPr>
              <w:t>R</w:t>
            </w:r>
            <w:r w:rsidR="00923E59" w:rsidRPr="00923E59">
              <w:rPr>
                <w:rFonts w:hint="eastAsia"/>
                <w:sz w:val="20"/>
                <w:szCs w:val="20"/>
              </w:rPr>
              <w:t>株式会社について、ホームページは現在ありません。その他の情報については、公表されておりません。</w:t>
            </w:r>
          </w:p>
        </w:tc>
      </w:tr>
      <w:tr w:rsidR="00961D85" w14:paraId="7D3D1771" w14:textId="77777777" w:rsidTr="00006CF1">
        <w:trPr>
          <w:trHeight w:val="4533"/>
        </w:trPr>
        <w:tc>
          <w:tcPr>
            <w:tcW w:w="562" w:type="dxa"/>
          </w:tcPr>
          <w:p w14:paraId="7BA49EA8" w14:textId="77777777" w:rsidR="00961D85" w:rsidRPr="00937DCA" w:rsidRDefault="000411BF" w:rsidP="000411BF">
            <w:pPr>
              <w:jc w:val="center"/>
              <w:rPr>
                <w:sz w:val="20"/>
                <w:szCs w:val="20"/>
              </w:rPr>
            </w:pPr>
            <w:r w:rsidRPr="00937DCA">
              <w:rPr>
                <w:rFonts w:hint="eastAsia"/>
                <w:sz w:val="20"/>
                <w:szCs w:val="20"/>
              </w:rPr>
              <w:lastRenderedPageBreak/>
              <w:t>2</w:t>
            </w:r>
            <w:r w:rsidRPr="00937DCA">
              <w:rPr>
                <w:sz w:val="20"/>
                <w:szCs w:val="20"/>
              </w:rPr>
              <w:t>3</w:t>
            </w:r>
          </w:p>
        </w:tc>
        <w:tc>
          <w:tcPr>
            <w:tcW w:w="6521" w:type="dxa"/>
          </w:tcPr>
          <w:p w14:paraId="75678ECF" w14:textId="77777777" w:rsidR="00961D85" w:rsidRPr="00937DCA" w:rsidRDefault="00937DCA">
            <w:pPr>
              <w:rPr>
                <w:sz w:val="20"/>
                <w:szCs w:val="20"/>
              </w:rPr>
            </w:pPr>
            <w:r w:rsidRPr="00937DCA">
              <w:rPr>
                <w:rFonts w:hint="eastAsia"/>
                <w:sz w:val="20"/>
                <w:szCs w:val="20"/>
              </w:rPr>
              <w:t>損切り体制を構築すべき。</w:t>
            </w:r>
            <w:r w:rsidRPr="00937DCA">
              <w:rPr>
                <w:sz w:val="20"/>
                <w:szCs w:val="20"/>
              </w:rPr>
              <w:t>MGMリゾーツと契約が成立しなかった場合、災害で計画が破綻した場合、極論自治体に損が発生しなければ良いので、逃げ切り体制を確立してほしいが、そのような考えはありますか。</w:t>
            </w:r>
          </w:p>
        </w:tc>
        <w:tc>
          <w:tcPr>
            <w:tcW w:w="8363" w:type="dxa"/>
          </w:tcPr>
          <w:p w14:paraId="20DE9E1A" w14:textId="77777777" w:rsidR="00923E59" w:rsidRPr="00923E59" w:rsidRDefault="00923E59" w:rsidP="00923E59">
            <w:pPr>
              <w:rPr>
                <w:sz w:val="20"/>
                <w:szCs w:val="20"/>
              </w:rPr>
            </w:pPr>
            <w:r w:rsidRPr="00923E59">
              <w:rPr>
                <w:rFonts w:hint="eastAsia"/>
                <w:sz w:val="20"/>
                <w:szCs w:val="20"/>
              </w:rPr>
              <w:t xml:space="preserve">　</w:t>
            </w:r>
            <w:r w:rsidRPr="00923E59">
              <w:rPr>
                <w:sz w:val="20"/>
                <w:szCs w:val="20"/>
              </w:rPr>
              <w:t>IR事業に係るリスク（需要変動リスクを含む。）については、次の場合を除きＩＲ事業者が負うものとしております。</w:t>
            </w:r>
          </w:p>
          <w:p w14:paraId="17640B83" w14:textId="77777777" w:rsidR="00923E59" w:rsidRPr="00923E59" w:rsidRDefault="00923E59" w:rsidP="00923E59">
            <w:pPr>
              <w:rPr>
                <w:sz w:val="20"/>
                <w:szCs w:val="20"/>
              </w:rPr>
            </w:pPr>
            <w:r w:rsidRPr="00923E59">
              <w:rPr>
                <w:rFonts w:hint="eastAsia"/>
                <w:sz w:val="20"/>
                <w:szCs w:val="20"/>
              </w:rPr>
              <w:t>【不可抗力】</w:t>
            </w:r>
          </w:p>
          <w:p w14:paraId="741A5FAD" w14:textId="77777777" w:rsidR="00923E59" w:rsidRPr="00923E59" w:rsidRDefault="00923E59" w:rsidP="00923E59">
            <w:pPr>
              <w:rPr>
                <w:sz w:val="20"/>
                <w:szCs w:val="20"/>
              </w:rPr>
            </w:pPr>
            <w:r w:rsidRPr="00923E59">
              <w:rPr>
                <w:rFonts w:hint="eastAsia"/>
                <w:sz w:val="20"/>
                <w:szCs w:val="20"/>
              </w:rPr>
              <w:t>◆</w:t>
            </w:r>
            <w:r w:rsidRPr="00923E59">
              <w:rPr>
                <w:sz w:val="20"/>
                <w:szCs w:val="20"/>
              </w:rPr>
              <w:t xml:space="preserve"> </w:t>
            </w:r>
            <w:r w:rsidR="0002236A">
              <w:rPr>
                <w:rFonts w:hint="eastAsia"/>
                <w:sz w:val="20"/>
                <w:szCs w:val="20"/>
              </w:rPr>
              <w:t>I</w:t>
            </w:r>
            <w:r w:rsidR="0002236A">
              <w:rPr>
                <w:sz w:val="20"/>
                <w:szCs w:val="20"/>
              </w:rPr>
              <w:t>R</w:t>
            </w:r>
            <w:r w:rsidRPr="00923E59">
              <w:rPr>
                <w:sz w:val="20"/>
                <w:szCs w:val="20"/>
              </w:rPr>
              <w:t>事業者は、自らの費用・責任において本事業を復旧及び継続する。但し、必要な範囲で区域整備計画等を見直しできる。</w:t>
            </w:r>
          </w:p>
          <w:p w14:paraId="32D56DCE" w14:textId="77777777" w:rsidR="00923E59" w:rsidRPr="00923E59" w:rsidRDefault="00923E59" w:rsidP="00923E59">
            <w:pPr>
              <w:rPr>
                <w:sz w:val="20"/>
                <w:szCs w:val="20"/>
              </w:rPr>
            </w:pPr>
            <w:r w:rsidRPr="00923E59">
              <w:rPr>
                <w:rFonts w:hint="eastAsia"/>
                <w:sz w:val="20"/>
                <w:szCs w:val="20"/>
              </w:rPr>
              <w:t>◆</w:t>
            </w:r>
            <w:r w:rsidRPr="00923E59">
              <w:rPr>
                <w:sz w:val="20"/>
                <w:szCs w:val="20"/>
              </w:rPr>
              <w:t xml:space="preserve"> 不可抗力により履行困難となった実施協定上の義務は、実施協定の定めに従い免責する。</w:t>
            </w:r>
          </w:p>
          <w:p w14:paraId="40E23859" w14:textId="77777777" w:rsidR="00923E59" w:rsidRPr="00923E59" w:rsidRDefault="00923E59" w:rsidP="00923E59">
            <w:pPr>
              <w:rPr>
                <w:sz w:val="20"/>
                <w:szCs w:val="20"/>
              </w:rPr>
            </w:pPr>
            <w:r w:rsidRPr="00923E59">
              <w:rPr>
                <w:rFonts w:hint="eastAsia"/>
                <w:sz w:val="20"/>
                <w:szCs w:val="20"/>
              </w:rPr>
              <w:t>【法令等変更】</w:t>
            </w:r>
          </w:p>
          <w:p w14:paraId="4198973B" w14:textId="77777777" w:rsidR="00923E59" w:rsidRPr="00923E59" w:rsidRDefault="00923E59" w:rsidP="00923E59">
            <w:pPr>
              <w:rPr>
                <w:sz w:val="20"/>
                <w:szCs w:val="20"/>
              </w:rPr>
            </w:pPr>
            <w:r w:rsidRPr="00923E59">
              <w:rPr>
                <w:rFonts w:hint="eastAsia"/>
                <w:sz w:val="20"/>
                <w:szCs w:val="20"/>
              </w:rPr>
              <w:t>◆</w:t>
            </w:r>
            <w:r w:rsidRPr="00923E59">
              <w:rPr>
                <w:sz w:val="20"/>
                <w:szCs w:val="20"/>
              </w:rPr>
              <w:t xml:space="preserve"> </w:t>
            </w:r>
            <w:r w:rsidR="0002236A">
              <w:rPr>
                <w:sz w:val="20"/>
                <w:szCs w:val="20"/>
              </w:rPr>
              <w:t>法令等（大阪府又は大阪市の条例等を除く。）の変更等により</w:t>
            </w:r>
            <w:r w:rsidR="0002236A">
              <w:rPr>
                <w:rFonts w:hint="eastAsia"/>
                <w:sz w:val="20"/>
                <w:szCs w:val="20"/>
              </w:rPr>
              <w:t>I</w:t>
            </w:r>
            <w:r w:rsidR="0002236A">
              <w:rPr>
                <w:sz w:val="20"/>
                <w:szCs w:val="20"/>
              </w:rPr>
              <w:t>R事業者に損害等が生じるときは、</w:t>
            </w:r>
            <w:r w:rsidR="0002236A">
              <w:rPr>
                <w:rFonts w:hint="eastAsia"/>
                <w:sz w:val="20"/>
                <w:szCs w:val="20"/>
              </w:rPr>
              <w:t>I</w:t>
            </w:r>
            <w:r w:rsidR="0002236A">
              <w:rPr>
                <w:sz w:val="20"/>
                <w:szCs w:val="20"/>
              </w:rPr>
              <w:t>R</w:t>
            </w:r>
            <w:r w:rsidRPr="00923E59">
              <w:rPr>
                <w:sz w:val="20"/>
                <w:szCs w:val="20"/>
              </w:rPr>
              <w:t>事業者が負担する。但し、必要な範囲で区域整備計画等を見直しできる。</w:t>
            </w:r>
          </w:p>
          <w:p w14:paraId="15EE97AA" w14:textId="77777777" w:rsidR="00961D85" w:rsidRPr="00937DCA" w:rsidRDefault="00923E59" w:rsidP="00923E59">
            <w:pPr>
              <w:rPr>
                <w:sz w:val="20"/>
                <w:szCs w:val="20"/>
              </w:rPr>
            </w:pPr>
            <w:r w:rsidRPr="00923E59">
              <w:rPr>
                <w:rFonts w:hint="eastAsia"/>
                <w:sz w:val="20"/>
                <w:szCs w:val="20"/>
              </w:rPr>
              <w:t>◆</w:t>
            </w:r>
            <w:r w:rsidRPr="00923E59">
              <w:rPr>
                <w:sz w:val="20"/>
                <w:szCs w:val="20"/>
              </w:rPr>
              <w:t xml:space="preserve"> </w:t>
            </w:r>
            <w:r w:rsidR="0002236A">
              <w:rPr>
                <w:sz w:val="20"/>
                <w:szCs w:val="20"/>
              </w:rPr>
              <w:t>本事業にのみ適用され</w:t>
            </w:r>
            <w:r w:rsidR="0002236A">
              <w:rPr>
                <w:rFonts w:hint="eastAsia"/>
                <w:sz w:val="20"/>
                <w:szCs w:val="20"/>
              </w:rPr>
              <w:t>I</w:t>
            </w:r>
            <w:r w:rsidR="0002236A">
              <w:rPr>
                <w:sz w:val="20"/>
                <w:szCs w:val="20"/>
              </w:rPr>
              <w:t>R</w:t>
            </w:r>
            <w:r w:rsidRPr="00923E59">
              <w:rPr>
                <w:sz w:val="20"/>
                <w:szCs w:val="20"/>
              </w:rPr>
              <w:t>事</w:t>
            </w:r>
            <w:r w:rsidR="0002236A">
              <w:rPr>
                <w:sz w:val="20"/>
                <w:szCs w:val="20"/>
              </w:rPr>
              <w:t>業者に不当な影響を及ぼす大阪府又は大阪市の条例変更等により、</w:t>
            </w:r>
            <w:r w:rsidR="0002236A">
              <w:rPr>
                <w:rFonts w:hint="eastAsia"/>
                <w:sz w:val="20"/>
                <w:szCs w:val="20"/>
              </w:rPr>
              <w:t>I</w:t>
            </w:r>
            <w:r w:rsidR="0002236A">
              <w:rPr>
                <w:sz w:val="20"/>
                <w:szCs w:val="20"/>
              </w:rPr>
              <w:t>R</w:t>
            </w:r>
            <w:r w:rsidRPr="00923E59">
              <w:rPr>
                <w:sz w:val="20"/>
                <w:szCs w:val="20"/>
              </w:rPr>
              <w:t>事業者に損害等が生じた場合は、大阪府又は大阪市は損害等をそれぞれ補償する。</w:t>
            </w:r>
          </w:p>
        </w:tc>
      </w:tr>
      <w:tr w:rsidR="00961D85" w14:paraId="62C95D7A" w14:textId="77777777" w:rsidTr="00006CF1">
        <w:trPr>
          <w:trHeight w:val="1746"/>
        </w:trPr>
        <w:tc>
          <w:tcPr>
            <w:tcW w:w="562" w:type="dxa"/>
          </w:tcPr>
          <w:p w14:paraId="2BB93D38" w14:textId="77777777" w:rsidR="00961D85" w:rsidRPr="00937DCA" w:rsidRDefault="000411BF" w:rsidP="000411BF">
            <w:pPr>
              <w:jc w:val="center"/>
              <w:rPr>
                <w:sz w:val="20"/>
                <w:szCs w:val="20"/>
              </w:rPr>
            </w:pPr>
            <w:r w:rsidRPr="00937DCA">
              <w:rPr>
                <w:rFonts w:hint="eastAsia"/>
                <w:sz w:val="20"/>
                <w:szCs w:val="20"/>
              </w:rPr>
              <w:t>2</w:t>
            </w:r>
            <w:r w:rsidRPr="00937DCA">
              <w:rPr>
                <w:sz w:val="20"/>
                <w:szCs w:val="20"/>
              </w:rPr>
              <w:t>4</w:t>
            </w:r>
          </w:p>
        </w:tc>
        <w:tc>
          <w:tcPr>
            <w:tcW w:w="6521" w:type="dxa"/>
          </w:tcPr>
          <w:p w14:paraId="7C6E47DC" w14:textId="77777777" w:rsidR="00961D85" w:rsidRPr="00937DCA" w:rsidRDefault="00AE38AC">
            <w:pPr>
              <w:rPr>
                <w:sz w:val="20"/>
                <w:szCs w:val="20"/>
              </w:rPr>
            </w:pPr>
            <w:r w:rsidRPr="00AE38AC">
              <w:rPr>
                <w:rFonts w:hint="eastAsia"/>
                <w:sz w:val="20"/>
                <w:szCs w:val="20"/>
              </w:rPr>
              <w:t>夢洲の上下水道について、大阪市民の上下水道料金が値上げとならない担保はありますか。此花区の下水道処理のキャパシティが足りないと思います。</w:t>
            </w:r>
          </w:p>
        </w:tc>
        <w:tc>
          <w:tcPr>
            <w:tcW w:w="8363" w:type="dxa"/>
          </w:tcPr>
          <w:p w14:paraId="2DC7BDCE" w14:textId="77777777" w:rsidR="00961D85" w:rsidRPr="00937DCA" w:rsidRDefault="00923E59">
            <w:pPr>
              <w:rPr>
                <w:sz w:val="20"/>
                <w:szCs w:val="20"/>
              </w:rPr>
            </w:pPr>
            <w:r w:rsidRPr="00923E59">
              <w:rPr>
                <w:rFonts w:hint="eastAsia"/>
                <w:sz w:val="20"/>
                <w:szCs w:val="20"/>
              </w:rPr>
              <w:t xml:space="preserve">　夢洲の下水道整備については、夢洲地区で発生する汚水をポンプで送水し、舞洲を経由して此花下水処理場（機能増設を実施）で処理する計画としており、その整備に必要な費用など、上下水道インフラの整備費用については、夢洲のまちづくりの開発者である大阪港湾局</w:t>
            </w:r>
            <w:r w:rsidRPr="00923E59">
              <w:rPr>
                <w:sz w:val="20"/>
                <w:szCs w:val="20"/>
              </w:rPr>
              <w:t>(港営事業会計)で負担することとなっています。</w:t>
            </w:r>
          </w:p>
        </w:tc>
      </w:tr>
      <w:tr w:rsidR="00961D85" w14:paraId="1F33F95D" w14:textId="77777777" w:rsidTr="00006CF1">
        <w:trPr>
          <w:trHeight w:val="1773"/>
        </w:trPr>
        <w:tc>
          <w:tcPr>
            <w:tcW w:w="562" w:type="dxa"/>
          </w:tcPr>
          <w:p w14:paraId="621402C3" w14:textId="77777777" w:rsidR="00961D85" w:rsidRPr="00937DCA" w:rsidRDefault="000411BF" w:rsidP="000411BF">
            <w:pPr>
              <w:jc w:val="center"/>
              <w:rPr>
                <w:sz w:val="20"/>
                <w:szCs w:val="20"/>
              </w:rPr>
            </w:pPr>
            <w:r w:rsidRPr="00937DCA">
              <w:rPr>
                <w:rFonts w:hint="eastAsia"/>
                <w:sz w:val="20"/>
                <w:szCs w:val="20"/>
              </w:rPr>
              <w:t>2</w:t>
            </w:r>
            <w:r w:rsidRPr="00937DCA">
              <w:rPr>
                <w:sz w:val="20"/>
                <w:szCs w:val="20"/>
              </w:rPr>
              <w:t>5</w:t>
            </w:r>
          </w:p>
        </w:tc>
        <w:tc>
          <w:tcPr>
            <w:tcW w:w="6521" w:type="dxa"/>
          </w:tcPr>
          <w:p w14:paraId="34BACCD4" w14:textId="77777777" w:rsidR="00AE38AC" w:rsidRPr="00AE38AC" w:rsidRDefault="00AE38AC" w:rsidP="00AE38AC">
            <w:pPr>
              <w:rPr>
                <w:sz w:val="20"/>
                <w:szCs w:val="20"/>
              </w:rPr>
            </w:pPr>
            <w:r w:rsidRPr="00AE38AC">
              <w:rPr>
                <w:rFonts w:hint="eastAsia"/>
                <w:sz w:val="20"/>
                <w:szCs w:val="20"/>
              </w:rPr>
              <w:t>限られた人、金をどこに使うのか。</w:t>
            </w:r>
          </w:p>
          <w:p w14:paraId="7D50C09F" w14:textId="77777777" w:rsidR="00AE38AC" w:rsidRPr="00AE38AC" w:rsidRDefault="00AE38AC" w:rsidP="00AE38AC">
            <w:pPr>
              <w:rPr>
                <w:sz w:val="20"/>
                <w:szCs w:val="20"/>
              </w:rPr>
            </w:pPr>
            <w:r w:rsidRPr="00AE38AC">
              <w:rPr>
                <w:rFonts w:hint="eastAsia"/>
                <w:sz w:val="20"/>
                <w:szCs w:val="20"/>
              </w:rPr>
              <w:t>夢洲（カジノ</w:t>
            </w:r>
            <w:r w:rsidRPr="00AE38AC">
              <w:rPr>
                <w:sz w:val="20"/>
                <w:szCs w:val="20"/>
              </w:rPr>
              <w:t>IR）⇔それ以外、</w:t>
            </w:r>
          </w:p>
          <w:p w14:paraId="1DFA8B46" w14:textId="77777777" w:rsidR="00961D85" w:rsidRPr="00937DCA" w:rsidRDefault="00AE38AC" w:rsidP="00AE38AC">
            <w:pPr>
              <w:rPr>
                <w:sz w:val="20"/>
                <w:szCs w:val="20"/>
              </w:rPr>
            </w:pPr>
            <w:r w:rsidRPr="00AE38AC">
              <w:rPr>
                <w:rFonts w:hint="eastAsia"/>
                <w:sz w:val="20"/>
                <w:szCs w:val="20"/>
              </w:rPr>
              <w:t>福祉・教育・エッセンシャルワーカー⇔カジノ関係</w:t>
            </w:r>
          </w:p>
        </w:tc>
        <w:tc>
          <w:tcPr>
            <w:tcW w:w="8363" w:type="dxa"/>
          </w:tcPr>
          <w:p w14:paraId="2FBDCB7B" w14:textId="77777777" w:rsidR="00961D85" w:rsidRPr="00937DCA" w:rsidRDefault="00923E59">
            <w:pPr>
              <w:rPr>
                <w:sz w:val="20"/>
                <w:szCs w:val="20"/>
              </w:rPr>
            </w:pPr>
            <w:r w:rsidRPr="00923E59">
              <w:rPr>
                <w:rFonts w:hint="eastAsia"/>
                <w:sz w:val="20"/>
                <w:szCs w:val="20"/>
              </w:rPr>
              <w:t xml:space="preserve">　</w:t>
            </w:r>
            <w:r w:rsidRPr="00923E59">
              <w:rPr>
                <w:sz w:val="20"/>
                <w:szCs w:val="20"/>
              </w:rPr>
              <w:t>IR事業者においては、女性、シニア、障がい者等を含む多様な人材を受け入れ、活躍できる労働環境や人事制度を構築し、柔軟な働き方支援、子育て支援等、継続的な職業訓練等や働きやすい労働環境整備を通じて、就労層の拡大や就業率の向上をめざし、質の高い雇用機会を提供することとしています。</w:t>
            </w:r>
          </w:p>
        </w:tc>
      </w:tr>
    </w:tbl>
    <w:p w14:paraId="27F229CC" w14:textId="77777777"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271C" w14:textId="77777777" w:rsidR="004D2C57" w:rsidRDefault="004D2C57" w:rsidP="005045F3">
      <w:r>
        <w:separator/>
      </w:r>
    </w:p>
  </w:endnote>
  <w:endnote w:type="continuationSeparator" w:id="0">
    <w:p w14:paraId="1D7280F2" w14:textId="77777777" w:rsidR="004D2C57" w:rsidRDefault="004D2C57" w:rsidP="0050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1403" w14:textId="77777777" w:rsidR="004D2C57" w:rsidRDefault="004D2C57" w:rsidP="005045F3">
      <w:r>
        <w:separator/>
      </w:r>
    </w:p>
  </w:footnote>
  <w:footnote w:type="continuationSeparator" w:id="0">
    <w:p w14:paraId="37665C2C" w14:textId="77777777" w:rsidR="004D2C57" w:rsidRDefault="004D2C57" w:rsidP="00504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2236A"/>
    <w:rsid w:val="000411BF"/>
    <w:rsid w:val="0049415E"/>
    <w:rsid w:val="004D2C57"/>
    <w:rsid w:val="005045F3"/>
    <w:rsid w:val="00576B74"/>
    <w:rsid w:val="005C22B8"/>
    <w:rsid w:val="00614D42"/>
    <w:rsid w:val="0064385A"/>
    <w:rsid w:val="006D61B7"/>
    <w:rsid w:val="008D4858"/>
    <w:rsid w:val="00923E59"/>
    <w:rsid w:val="00937DCA"/>
    <w:rsid w:val="00961D85"/>
    <w:rsid w:val="009B5ABA"/>
    <w:rsid w:val="00A70A85"/>
    <w:rsid w:val="00AE38AC"/>
    <w:rsid w:val="00F25D7C"/>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CD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5045F3"/>
    <w:pPr>
      <w:tabs>
        <w:tab w:val="center" w:pos="4252"/>
        <w:tab w:val="right" w:pos="8504"/>
      </w:tabs>
      <w:snapToGrid w:val="0"/>
    </w:pPr>
  </w:style>
  <w:style w:type="character" w:customStyle="1" w:styleId="a6">
    <w:name w:val="ヘッダー (文字)"/>
    <w:basedOn w:val="a0"/>
    <w:link w:val="a5"/>
    <w:uiPriority w:val="99"/>
    <w:rsid w:val="005045F3"/>
  </w:style>
  <w:style w:type="paragraph" w:styleId="a7">
    <w:name w:val="footer"/>
    <w:basedOn w:val="a"/>
    <w:link w:val="a8"/>
    <w:uiPriority w:val="99"/>
    <w:unhideWhenUsed/>
    <w:rsid w:val="005045F3"/>
    <w:pPr>
      <w:tabs>
        <w:tab w:val="center" w:pos="4252"/>
        <w:tab w:val="right" w:pos="8504"/>
      </w:tabs>
      <w:snapToGrid w:val="0"/>
    </w:pPr>
  </w:style>
  <w:style w:type="character" w:customStyle="1" w:styleId="a8">
    <w:name w:val="フッター (文字)"/>
    <w:basedOn w:val="a0"/>
    <w:link w:val="a7"/>
    <w:uiPriority w:val="99"/>
    <w:rsid w:val="0050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hodo/index.php?site=fumin&amp;pageId=4881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2025-08-19T06:00:00Z</dcterms:created>
  <dcterms:modified xsi:type="dcterms:W3CDTF">2025-08-19T06:00:00Z</dcterms:modified>
</cp:coreProperties>
</file>