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154E4" w14:textId="6F82BE81" w:rsidR="008D556D" w:rsidRPr="00AB71F0" w:rsidRDefault="00291C1E" w:rsidP="008D556D">
      <w:pPr>
        <w:jc w:val="left"/>
        <w:rPr>
          <w:rFonts w:ascii="BIZ UDPゴシック" w:eastAsia="BIZ UDPゴシック" w:hAnsi="BIZ UDPゴシック"/>
          <w:sz w:val="24"/>
        </w:rPr>
      </w:pPr>
      <w:r>
        <w:rPr>
          <w:noProof/>
        </w:rPr>
        <mc:AlternateContent>
          <mc:Choice Requires="wps">
            <w:drawing>
              <wp:anchor distT="0" distB="0" distL="114300" distR="114300" simplePos="0" relativeHeight="251659264" behindDoc="0" locked="0" layoutInCell="1" allowOverlap="1" wp14:anchorId="05D35F1E" wp14:editId="52028C35">
                <wp:simplePos x="0" y="0"/>
                <wp:positionH relativeFrom="margin">
                  <wp:align>right</wp:align>
                </wp:positionH>
                <wp:positionV relativeFrom="paragraph">
                  <wp:posOffset>-857250</wp:posOffset>
                </wp:positionV>
                <wp:extent cx="837793" cy="275717"/>
                <wp:effectExtent l="0" t="0" r="25400" b="20320"/>
                <wp:wrapNone/>
                <wp:docPr id="3" name="テキスト ボックス 2"/>
                <wp:cNvGraphicFramePr/>
                <a:graphic xmlns:a="http://schemas.openxmlformats.org/drawingml/2006/main">
                  <a:graphicData uri="http://schemas.microsoft.com/office/word/2010/wordprocessingShape">
                    <wps:wsp>
                      <wps:cNvSpPr txBox="1"/>
                      <wps:spPr>
                        <a:xfrm>
                          <a:off x="0" y="0"/>
                          <a:ext cx="837793" cy="275717"/>
                        </a:xfrm>
                        <a:prstGeom prst="rect">
                          <a:avLst/>
                        </a:prstGeom>
                        <a:noFill/>
                        <a:ln w="22225">
                          <a:solidFill>
                            <a:schemeClr val="tx1"/>
                          </a:solidFill>
                        </a:ln>
                      </wps:spPr>
                      <wps:style>
                        <a:lnRef idx="0">
                          <a:scrgbClr r="0" g="0" b="0"/>
                        </a:lnRef>
                        <a:fillRef idx="0">
                          <a:scrgbClr r="0" g="0" b="0"/>
                        </a:fillRef>
                        <a:effectRef idx="0">
                          <a:scrgbClr r="0" g="0" b="0"/>
                        </a:effectRef>
                        <a:fontRef idx="minor">
                          <a:schemeClr val="tx1"/>
                        </a:fontRef>
                      </wps:style>
                      <wps:txbx>
                        <w:txbxContent>
                          <w:p w14:paraId="418C3059" w14:textId="1CE91F9E" w:rsidR="00291C1E" w:rsidRPr="00291C1E" w:rsidRDefault="00291C1E" w:rsidP="00291C1E">
                            <w:pPr>
                              <w:pStyle w:val="Web"/>
                              <w:spacing w:before="0" w:beforeAutospacing="0" w:after="0" w:afterAutospacing="0"/>
                              <w:rPr>
                                <w:rFonts w:ascii="BIZ UDPゴシック" w:eastAsia="BIZ UDPゴシック" w:hAnsi="BIZ UDPゴシック" w:cstheme="minorBidi" w:hint="eastAsia"/>
                                <w:b/>
                                <w:bCs/>
                                <w:color w:val="000000" w:themeColor="text1"/>
                                <w:sz w:val="22"/>
                                <w:szCs w:val="22"/>
                              </w:rPr>
                            </w:pPr>
                            <w:r>
                              <w:rPr>
                                <w:rFonts w:ascii="BIZ UDPゴシック" w:eastAsia="BIZ UDPゴシック" w:hAnsi="BIZ UDPゴシック" w:cstheme="minorBidi" w:hint="eastAsia"/>
                                <w:b/>
                                <w:bCs/>
                                <w:color w:val="000000" w:themeColor="text1"/>
                                <w:sz w:val="22"/>
                                <w:szCs w:val="22"/>
                              </w:rPr>
                              <w:t>参考資料</w:t>
                            </w:r>
                            <w:r>
                              <w:rPr>
                                <w:rFonts w:ascii="BIZ UDPゴシック" w:eastAsia="BIZ UDPゴシック" w:hAnsi="BIZ UDPゴシック" w:cstheme="minorBidi" w:hint="eastAsia"/>
                                <w:b/>
                                <w:bCs/>
                                <w:color w:val="000000" w:themeColor="text1"/>
                                <w:sz w:val="22"/>
                                <w:szCs w:val="22"/>
                              </w:rPr>
                              <w:t>２</w:t>
                            </w:r>
                          </w:p>
                        </w:txbxContent>
                      </wps:txbx>
                      <wps:bodyPr vertOverflow="clip" horzOverflow="clip" wrap="none" rtlCol="0" anchor="t">
                        <a:spAutoFit/>
                      </wps:bodyPr>
                    </wps:wsp>
                  </a:graphicData>
                </a:graphic>
              </wp:anchor>
            </w:drawing>
          </mc:Choice>
          <mc:Fallback>
            <w:pict>
              <v:shapetype w14:anchorId="05D35F1E" id="_x0000_t202" coordsize="21600,21600" o:spt="202" path="m,l,21600r21600,l21600,xe">
                <v:stroke joinstyle="miter"/>
                <v:path gradientshapeok="t" o:connecttype="rect"/>
              </v:shapetype>
              <v:shape id="テキスト ボックス 2" o:spid="_x0000_s1026" type="#_x0000_t202" style="position:absolute;margin-left:14.75pt;margin-top:-67.5pt;width:65.95pt;height:21.7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" filled="f" strokecolor="black [3213]" strokeweight="1.75pt">
                <v:textbox style="mso-fit-shape-to-text:t">
                  <w:txbxContent>
                    <w:p w14:paraId="418C3059" w14:textId="1CE91F9E" w:rsidR="00291C1E" w:rsidRPr="00291C1E" w:rsidRDefault="00291C1E" w:rsidP="00291C1E">
                      <w:pPr>
                        <w:pStyle w:val="Web"/>
                        <w:spacing w:before="0" w:beforeAutospacing="0" w:after="0" w:afterAutospacing="0"/>
                        <w:rPr>
                          <w:rFonts w:ascii="BIZ UDPゴシック" w:eastAsia="BIZ UDPゴシック" w:hAnsi="BIZ UDPゴシック" w:cstheme="minorBidi" w:hint="eastAsia"/>
                          <w:b/>
                          <w:bCs/>
                          <w:color w:val="000000" w:themeColor="text1"/>
                          <w:sz w:val="22"/>
                          <w:szCs w:val="22"/>
                        </w:rPr>
                      </w:pPr>
                      <w:r>
                        <w:rPr>
                          <w:rFonts w:ascii="BIZ UDPゴシック" w:eastAsia="BIZ UDPゴシック" w:hAnsi="BIZ UDPゴシック" w:cstheme="minorBidi" w:hint="eastAsia"/>
                          <w:b/>
                          <w:bCs/>
                          <w:color w:val="000000" w:themeColor="text1"/>
                          <w:sz w:val="22"/>
                          <w:szCs w:val="22"/>
                        </w:rPr>
                        <w:t>参考資料</w:t>
                      </w:r>
                      <w:r>
                        <w:rPr>
                          <w:rFonts w:ascii="BIZ UDPゴシック" w:eastAsia="BIZ UDPゴシック" w:hAnsi="BIZ UDPゴシック" w:cstheme="minorBidi" w:hint="eastAsia"/>
                          <w:b/>
                          <w:bCs/>
                          <w:color w:val="000000" w:themeColor="text1"/>
                          <w:sz w:val="22"/>
                          <w:szCs w:val="22"/>
                        </w:rPr>
                        <w:t>２</w:t>
                      </w:r>
                    </w:p>
                  </w:txbxContent>
                </v:textbox>
                <w10:wrap anchorx="margin"/>
              </v:shape>
            </w:pict>
          </mc:Fallback>
        </mc:AlternateContent>
      </w:r>
      <w:r w:rsidR="008D556D" w:rsidRPr="008D556D">
        <w:rPr>
          <w:rFonts w:ascii="BIZ UDPゴシック" w:eastAsia="BIZ UDPゴシック" w:hAnsi="BIZ UDPゴシック" w:hint="eastAsia"/>
          <w:sz w:val="24"/>
        </w:rPr>
        <w:t>高</w:t>
      </w:r>
      <w:r w:rsidR="008D556D" w:rsidRPr="00AB71F0">
        <w:rPr>
          <w:rFonts w:ascii="BIZ UDPゴシック" w:eastAsia="BIZ UDPゴシック" w:hAnsi="BIZ UDPゴシック" w:hint="eastAsia"/>
          <w:sz w:val="24"/>
        </w:rPr>
        <w:t>次脳機能障がい及びその関連障がいに対する支援普及事業</w:t>
      </w:r>
    </w:p>
    <w:p w14:paraId="2842A631" w14:textId="7A4457A6" w:rsidR="00365122" w:rsidRPr="008D556D" w:rsidRDefault="008D556D" w:rsidP="008D556D">
      <w:pPr>
        <w:jc w:val="left"/>
        <w:rPr>
          <w:rFonts w:ascii="BIZ UDPゴシック" w:eastAsia="BIZ UDPゴシック" w:hAnsi="BIZ UDPゴシック"/>
          <w:sz w:val="24"/>
        </w:rPr>
      </w:pPr>
      <w:r w:rsidRPr="00AB71F0">
        <w:rPr>
          <w:rFonts w:ascii="BIZ UDPゴシック" w:eastAsia="BIZ UDPゴシック" w:hAnsi="BIZ UDPゴシック" w:hint="eastAsia"/>
          <w:sz w:val="24"/>
        </w:rPr>
        <w:t>令和</w:t>
      </w:r>
      <w:r w:rsidR="00923FB0" w:rsidRPr="00AB71F0">
        <w:rPr>
          <w:rFonts w:ascii="BIZ UDPゴシック" w:eastAsia="BIZ UDPゴシック" w:hAnsi="BIZ UDPゴシック" w:hint="eastAsia"/>
          <w:sz w:val="24"/>
        </w:rPr>
        <w:t>7</w:t>
      </w:r>
      <w:r w:rsidRPr="008D556D">
        <w:rPr>
          <w:rFonts w:ascii="BIZ UDPゴシック" w:eastAsia="BIZ UDPゴシック" w:hAnsi="BIZ UDPゴシック"/>
          <w:sz w:val="24"/>
        </w:rPr>
        <w:t xml:space="preserve">年度実施予定　</w:t>
      </w:r>
    </w:p>
    <w:p w14:paraId="1FEE66D7" w14:textId="77777777" w:rsidR="004E20DB" w:rsidRPr="008D556D" w:rsidRDefault="004E20DB" w:rsidP="00DA1B39">
      <w:pPr>
        <w:jc w:val="right"/>
        <w:rPr>
          <w:rFonts w:ascii="BIZ UDPゴシック" w:eastAsia="BIZ UDPゴシック" w:hAnsi="BIZ UDPゴシック"/>
          <w:sz w:val="24"/>
        </w:rPr>
      </w:pPr>
      <w:r w:rsidRPr="008D556D">
        <w:rPr>
          <w:rFonts w:ascii="BIZ UDPゴシック" w:eastAsia="BIZ UDPゴシック" w:hAnsi="BIZ UDPゴシック" w:hint="eastAsia"/>
          <w:sz w:val="24"/>
        </w:rPr>
        <w:t>大阪府立障がい者自立センター</w:t>
      </w:r>
    </w:p>
    <w:p w14:paraId="17EC130F" w14:textId="77777777" w:rsidR="004E20DB" w:rsidRPr="008D556D" w:rsidRDefault="004E20DB" w:rsidP="00DA1B39">
      <w:pPr>
        <w:rPr>
          <w:rFonts w:ascii="BIZ UDPゴシック" w:eastAsia="BIZ UDPゴシック" w:hAnsi="BIZ UDPゴシック"/>
          <w:sz w:val="24"/>
        </w:rPr>
      </w:pPr>
    </w:p>
    <w:p w14:paraId="56A3EED4" w14:textId="77777777" w:rsidR="004E20DB" w:rsidRPr="008D556D" w:rsidRDefault="004E20DB" w:rsidP="00DA1B39">
      <w:pPr>
        <w:pStyle w:val="a3"/>
        <w:numPr>
          <w:ilvl w:val="0"/>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相談</w:t>
      </w:r>
    </w:p>
    <w:p w14:paraId="6A0E26AF" w14:textId="77777777" w:rsidR="004E20DB" w:rsidRPr="008D556D" w:rsidRDefault="004E20DB" w:rsidP="00DA1B39">
      <w:pPr>
        <w:pStyle w:val="a3"/>
        <w:numPr>
          <w:ilvl w:val="1"/>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施設利用希望者の相談対応を引き続き実施する。</w:t>
      </w:r>
    </w:p>
    <w:p w14:paraId="3BEF0874" w14:textId="2C0E401E" w:rsidR="004E20DB" w:rsidRPr="008D556D" w:rsidRDefault="004E20DB" w:rsidP="00DA1B39">
      <w:pPr>
        <w:pStyle w:val="a3"/>
        <w:numPr>
          <w:ilvl w:val="1"/>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施設見学対応については、</w:t>
      </w:r>
      <w:r w:rsidR="00DA1B39" w:rsidRPr="008D556D">
        <w:rPr>
          <w:rFonts w:ascii="BIZ UDPゴシック" w:eastAsia="BIZ UDPゴシック" w:hAnsi="BIZ UDPゴシック" w:hint="eastAsia"/>
          <w:sz w:val="24"/>
        </w:rPr>
        <w:t>新型コロナウィルスの感染状況等も踏まえ、</w:t>
      </w:r>
      <w:r w:rsidR="00702176">
        <w:rPr>
          <w:rFonts w:ascii="BIZ UDPゴシック" w:eastAsia="BIZ UDPゴシック" w:hAnsi="BIZ UDPゴシック" w:hint="eastAsia"/>
          <w:sz w:val="24"/>
        </w:rPr>
        <w:t>YouTube動画の案内を含め対応する。</w:t>
      </w:r>
    </w:p>
    <w:p w14:paraId="5C240DCD" w14:textId="77777777" w:rsidR="004E20DB" w:rsidRPr="008D556D" w:rsidRDefault="004E20DB" w:rsidP="00DA1B39">
      <w:pPr>
        <w:pStyle w:val="a3"/>
        <w:numPr>
          <w:ilvl w:val="1"/>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利用前面接については、引き続きオンライン面接等も併用しながら、スムーズな利用開始につながるよう面接を実施する。</w:t>
      </w:r>
    </w:p>
    <w:p w14:paraId="6E324C22" w14:textId="77777777" w:rsidR="005E5750" w:rsidRPr="008D556D" w:rsidRDefault="005E5750" w:rsidP="00DA1B39">
      <w:pPr>
        <w:pStyle w:val="a3"/>
        <w:numPr>
          <w:ilvl w:val="1"/>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地域移行後の相談については、必要に応じて、相談センターの一般相談やコンサルテーション事業の活用も図り、定着を支援する。</w:t>
      </w:r>
    </w:p>
    <w:p w14:paraId="1A9FAC50" w14:textId="77777777" w:rsidR="00DA1B39" w:rsidRPr="008D556D" w:rsidRDefault="00DA1B39" w:rsidP="00DA1B39">
      <w:pPr>
        <w:pStyle w:val="a3"/>
        <w:ind w:leftChars="0" w:left="780"/>
        <w:rPr>
          <w:rFonts w:ascii="BIZ UDPゴシック" w:eastAsia="BIZ UDPゴシック" w:hAnsi="BIZ UDPゴシック"/>
          <w:sz w:val="24"/>
        </w:rPr>
      </w:pPr>
    </w:p>
    <w:p w14:paraId="7AA24B8E" w14:textId="77777777" w:rsidR="004E20DB" w:rsidRPr="008D556D" w:rsidRDefault="004E20DB" w:rsidP="00DA1B39">
      <w:pPr>
        <w:pStyle w:val="a3"/>
        <w:numPr>
          <w:ilvl w:val="0"/>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訓練等</w:t>
      </w:r>
    </w:p>
    <w:p w14:paraId="3F398644" w14:textId="4F287B61" w:rsidR="00D03842" w:rsidRPr="008D556D" w:rsidRDefault="005E5750" w:rsidP="00DA1B39">
      <w:pPr>
        <w:pStyle w:val="a3"/>
        <w:numPr>
          <w:ilvl w:val="0"/>
          <w:numId w:val="3"/>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引き続き、障がい受容、代償手段獲得を</w:t>
      </w:r>
      <w:r w:rsidR="00702176">
        <w:rPr>
          <w:rFonts w:ascii="BIZ UDPゴシック" w:eastAsia="BIZ UDPゴシック" w:hAnsi="BIZ UDPゴシック" w:hint="eastAsia"/>
          <w:sz w:val="24"/>
        </w:rPr>
        <w:t>めざ</w:t>
      </w:r>
      <w:r w:rsidRPr="008D556D">
        <w:rPr>
          <w:rFonts w:ascii="BIZ UDPゴシック" w:eastAsia="BIZ UDPゴシック" w:hAnsi="BIZ UDPゴシック" w:hint="eastAsia"/>
          <w:sz w:val="24"/>
        </w:rPr>
        <w:t>しながら、</w:t>
      </w:r>
      <w:r w:rsidR="004E20DB" w:rsidRPr="008D556D">
        <w:rPr>
          <w:rFonts w:ascii="BIZ UDPゴシック" w:eastAsia="BIZ UDPゴシック" w:hAnsi="BIZ UDPゴシック" w:hint="eastAsia"/>
          <w:sz w:val="24"/>
        </w:rPr>
        <w:t>入所及び通所での高次脳機能障がいの訓練を提供する。</w:t>
      </w:r>
    </w:p>
    <w:p w14:paraId="1CE0A5F6" w14:textId="77777777" w:rsidR="005E5750" w:rsidRPr="008D556D" w:rsidRDefault="005E5750" w:rsidP="00DA1B39">
      <w:pPr>
        <w:pStyle w:val="a3"/>
        <w:numPr>
          <w:ilvl w:val="0"/>
          <w:numId w:val="3"/>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障がい受容をはじめとした利用者の状態像のアセスメント結果を数値化・グラフ化し、利用者とも共有することで、自己理解の促進、訓練動機の強化を図る。</w:t>
      </w:r>
    </w:p>
    <w:p w14:paraId="714B9E3D" w14:textId="77777777" w:rsidR="00DA1B39" w:rsidRPr="008D556D" w:rsidRDefault="00DA1B39" w:rsidP="00DA1B39">
      <w:pPr>
        <w:pStyle w:val="a3"/>
        <w:ind w:leftChars="0" w:left="780"/>
        <w:rPr>
          <w:rFonts w:ascii="BIZ UDPゴシック" w:eastAsia="BIZ UDPゴシック" w:hAnsi="BIZ UDPゴシック"/>
          <w:sz w:val="24"/>
        </w:rPr>
      </w:pPr>
    </w:p>
    <w:p w14:paraId="7D027C1F" w14:textId="77777777" w:rsidR="004E20DB" w:rsidRPr="008D556D" w:rsidRDefault="004E20DB" w:rsidP="00DA1B39">
      <w:pPr>
        <w:pStyle w:val="a3"/>
        <w:numPr>
          <w:ilvl w:val="0"/>
          <w:numId w:val="2"/>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広報等</w:t>
      </w:r>
    </w:p>
    <w:p w14:paraId="6360BC1A" w14:textId="77777777" w:rsidR="004E20DB" w:rsidRPr="008D556D" w:rsidRDefault="004E20DB" w:rsidP="00DA1B39">
      <w:pPr>
        <w:pStyle w:val="a3"/>
        <w:numPr>
          <w:ilvl w:val="0"/>
          <w:numId w:val="4"/>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回復期病院等を早期に退院する方や病院では高次脳機能障がいに気づかれなかった方などに情報が届くよう、ホームページの充実を図るとともに、</w:t>
      </w:r>
      <w:r w:rsidR="005E5750" w:rsidRPr="008D556D">
        <w:rPr>
          <w:rFonts w:ascii="BIZ UDPゴシック" w:eastAsia="BIZ UDPゴシック" w:hAnsi="BIZ UDPゴシック" w:hint="eastAsia"/>
          <w:sz w:val="24"/>
        </w:rPr>
        <w:t>自立センターの紹介チラシ（高次脳機能障がいについての啓発を含む）の配布を</w:t>
      </w:r>
      <w:r w:rsidRPr="008D556D">
        <w:rPr>
          <w:rFonts w:ascii="BIZ UDPゴシック" w:eastAsia="BIZ UDPゴシック" w:hAnsi="BIZ UDPゴシック" w:hint="eastAsia"/>
          <w:sz w:val="24"/>
        </w:rPr>
        <w:t>回復期病院</w:t>
      </w:r>
      <w:r w:rsidR="00054900" w:rsidRPr="00923FB0">
        <w:rPr>
          <w:rFonts w:ascii="BIZ UDPゴシック" w:eastAsia="BIZ UDPゴシック" w:hAnsi="BIZ UDPゴシック" w:hint="eastAsia"/>
          <w:sz w:val="24"/>
        </w:rPr>
        <w:t>等</w:t>
      </w:r>
      <w:r w:rsidR="005E5750" w:rsidRPr="008D556D">
        <w:rPr>
          <w:rFonts w:ascii="BIZ UDPゴシック" w:eastAsia="BIZ UDPゴシック" w:hAnsi="BIZ UDPゴシック" w:hint="eastAsia"/>
          <w:sz w:val="24"/>
        </w:rPr>
        <w:t>に依頼する。</w:t>
      </w:r>
    </w:p>
    <w:p w14:paraId="111D219E" w14:textId="0BA9CE06" w:rsidR="005E5750" w:rsidRPr="008D556D" w:rsidRDefault="005E5750" w:rsidP="00DA1B39">
      <w:pPr>
        <w:pStyle w:val="a3"/>
        <w:numPr>
          <w:ilvl w:val="0"/>
          <w:numId w:val="4"/>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コロナ感染状況</w:t>
      </w:r>
      <w:r w:rsidR="00653795">
        <w:rPr>
          <w:rFonts w:ascii="BIZ UDPゴシック" w:eastAsia="BIZ UDPゴシック" w:hAnsi="BIZ UDPゴシック" w:hint="eastAsia"/>
          <w:sz w:val="24"/>
        </w:rPr>
        <w:t>等</w:t>
      </w:r>
      <w:r w:rsidRPr="008D556D">
        <w:rPr>
          <w:rFonts w:ascii="BIZ UDPゴシック" w:eastAsia="BIZ UDPゴシック" w:hAnsi="BIZ UDPゴシック" w:hint="eastAsia"/>
          <w:sz w:val="24"/>
        </w:rPr>
        <w:t>に応じて、回復期病院等への自立センターに関する情報提供を行う。（HPやWebの活用、見学機会の提供、郵送による広報　等）</w:t>
      </w:r>
    </w:p>
    <w:p w14:paraId="259F5AA7" w14:textId="77777777" w:rsidR="005E5750" w:rsidRPr="008D556D" w:rsidRDefault="005E5750" w:rsidP="00DA1B39">
      <w:pPr>
        <w:pStyle w:val="a3"/>
        <w:numPr>
          <w:ilvl w:val="0"/>
          <w:numId w:val="4"/>
        </w:numPr>
        <w:ind w:leftChars="0"/>
        <w:rPr>
          <w:rFonts w:ascii="BIZ UDPゴシック" w:eastAsia="BIZ UDPゴシック" w:hAnsi="BIZ UDPゴシック"/>
          <w:sz w:val="24"/>
        </w:rPr>
      </w:pPr>
      <w:r w:rsidRPr="008D556D">
        <w:rPr>
          <w:rFonts w:ascii="BIZ UDPゴシック" w:eastAsia="BIZ UDPゴシック" w:hAnsi="BIZ UDPゴシック" w:hint="eastAsia"/>
          <w:sz w:val="24"/>
        </w:rPr>
        <w:t>相談センターの支援普及事業に協力し、一般府民への施設広報を行う。</w:t>
      </w:r>
    </w:p>
    <w:sectPr w:rsidR="005E5750" w:rsidRPr="008D556D" w:rsidSect="008D556D">
      <w:pgSz w:w="11906" w:h="16838" w:code="9"/>
      <w:pgMar w:top="283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AAC49" w14:textId="77777777" w:rsidR="00AB71F0" w:rsidRDefault="00AB71F0" w:rsidP="00AB71F0">
      <w:r>
        <w:separator/>
      </w:r>
    </w:p>
  </w:endnote>
  <w:endnote w:type="continuationSeparator" w:id="0">
    <w:p w14:paraId="352F3C19" w14:textId="77777777" w:rsidR="00AB71F0" w:rsidRDefault="00AB71F0" w:rsidP="00AB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28A5E" w14:textId="77777777" w:rsidR="00AB71F0" w:rsidRDefault="00AB71F0" w:rsidP="00AB71F0">
      <w:r>
        <w:separator/>
      </w:r>
    </w:p>
  </w:footnote>
  <w:footnote w:type="continuationSeparator" w:id="0">
    <w:p w14:paraId="69060703" w14:textId="77777777" w:rsidR="00AB71F0" w:rsidRDefault="00AB71F0" w:rsidP="00AB7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179D6"/>
    <w:multiLevelType w:val="hybridMultilevel"/>
    <w:tmpl w:val="6D76E81E"/>
    <w:lvl w:ilvl="0" w:tplc="64105A1E">
      <w:start w:val="1"/>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13C81"/>
    <w:multiLevelType w:val="hybridMultilevel"/>
    <w:tmpl w:val="E0CC7F04"/>
    <w:lvl w:ilvl="0" w:tplc="450441B4">
      <w:start w:val="1"/>
      <w:numFmt w:val="decimalEnclosedCircle"/>
      <w:lvlText w:val="%1"/>
      <w:lvlJc w:val="left"/>
      <w:pPr>
        <w:ind w:left="360" w:hanging="360"/>
      </w:pPr>
      <w:rPr>
        <w:rFonts w:hint="default"/>
      </w:rPr>
    </w:lvl>
    <w:lvl w:ilvl="1" w:tplc="64105A1E">
      <w:start w:val="1"/>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A04445"/>
    <w:multiLevelType w:val="hybridMultilevel"/>
    <w:tmpl w:val="3904AB34"/>
    <w:lvl w:ilvl="0" w:tplc="64105A1E">
      <w:start w:val="1"/>
      <w:numFmt w:val="bullet"/>
      <w:lvlText w:val="・"/>
      <w:lvlJc w:val="left"/>
      <w:pPr>
        <w:ind w:left="78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E656A4"/>
    <w:multiLevelType w:val="hybridMultilevel"/>
    <w:tmpl w:val="4776EA0C"/>
    <w:lvl w:ilvl="0" w:tplc="4858C9D8">
      <w:start w:val="1"/>
      <w:numFmt w:val="decimalEnclosedCircle"/>
      <w:lvlText w:val="%1"/>
      <w:lvlJc w:val="left"/>
      <w:pPr>
        <w:ind w:left="360" w:hanging="360"/>
      </w:pPr>
      <w:rPr>
        <w:rFonts w:hint="default"/>
      </w:rPr>
    </w:lvl>
    <w:lvl w:ilvl="1" w:tplc="86A62EA8">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DB"/>
    <w:rsid w:val="00022B36"/>
    <w:rsid w:val="00054900"/>
    <w:rsid w:val="00291C1E"/>
    <w:rsid w:val="00365122"/>
    <w:rsid w:val="004E20DB"/>
    <w:rsid w:val="005650D7"/>
    <w:rsid w:val="005838AF"/>
    <w:rsid w:val="005E5750"/>
    <w:rsid w:val="00653795"/>
    <w:rsid w:val="00684B4D"/>
    <w:rsid w:val="00702176"/>
    <w:rsid w:val="00721F86"/>
    <w:rsid w:val="007B7551"/>
    <w:rsid w:val="008D556D"/>
    <w:rsid w:val="00923FB0"/>
    <w:rsid w:val="00AB71F0"/>
    <w:rsid w:val="00D03842"/>
    <w:rsid w:val="00DA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8FD8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0DB"/>
    <w:pPr>
      <w:ind w:leftChars="400" w:left="840"/>
    </w:pPr>
  </w:style>
  <w:style w:type="paragraph" w:styleId="Web">
    <w:name w:val="Normal (Web)"/>
    <w:basedOn w:val="a"/>
    <w:uiPriority w:val="99"/>
    <w:semiHidden/>
    <w:unhideWhenUsed/>
    <w:rsid w:val="008D556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AB71F0"/>
    <w:pPr>
      <w:tabs>
        <w:tab w:val="center" w:pos="4252"/>
        <w:tab w:val="right" w:pos="8504"/>
      </w:tabs>
      <w:snapToGrid w:val="0"/>
    </w:pPr>
  </w:style>
  <w:style w:type="character" w:customStyle="1" w:styleId="a5">
    <w:name w:val="ヘッダー (文字)"/>
    <w:basedOn w:val="a0"/>
    <w:link w:val="a4"/>
    <w:uiPriority w:val="99"/>
    <w:rsid w:val="00AB71F0"/>
  </w:style>
  <w:style w:type="paragraph" w:styleId="a6">
    <w:name w:val="footer"/>
    <w:basedOn w:val="a"/>
    <w:link w:val="a7"/>
    <w:uiPriority w:val="99"/>
    <w:unhideWhenUsed/>
    <w:rsid w:val="00AB71F0"/>
    <w:pPr>
      <w:tabs>
        <w:tab w:val="center" w:pos="4252"/>
        <w:tab w:val="right" w:pos="8504"/>
      </w:tabs>
      <w:snapToGrid w:val="0"/>
    </w:pPr>
  </w:style>
  <w:style w:type="character" w:customStyle="1" w:styleId="a7">
    <w:name w:val="フッター (文字)"/>
    <w:basedOn w:val="a0"/>
    <w:link w:val="a6"/>
    <w:uiPriority w:val="99"/>
    <w:rsid w:val="00AB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2025-02-18T02:50:00Z</dcterms:created>
  <dcterms:modified xsi:type="dcterms:W3CDTF">2025-02-28T11:59:00Z</dcterms:modified>
</cp:coreProperties>
</file>