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C8" w:rsidRPr="00E66CC8" w:rsidRDefault="00E66CC8" w:rsidP="00E66CC8">
      <w:pPr>
        <w:rPr>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6D8EB348" wp14:editId="1680B051">
                <wp:simplePos x="0" y="0"/>
                <wp:positionH relativeFrom="column">
                  <wp:posOffset>4572000</wp:posOffset>
                </wp:positionH>
                <wp:positionV relativeFrom="paragraph">
                  <wp:posOffset>-233680</wp:posOffset>
                </wp:positionV>
                <wp:extent cx="1152000" cy="468630"/>
                <wp:effectExtent l="0" t="0" r="10160"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rsidR="00E66CC8" w:rsidRPr="00A714C3" w:rsidRDefault="00E66CC8" w:rsidP="00E60736">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A777C0">
                              <w:rPr>
                                <w:rFonts w:asciiTheme="majorEastAsia" w:eastAsiaTheme="majorEastAsia" w:hAnsiTheme="majorEastAsia" w:hint="eastAsia"/>
                                <w:sz w:val="28"/>
                                <w:szCs w:val="28"/>
                              </w:rPr>
                              <w:t>２</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EB348" id="_x0000_t202" coordsize="21600,21600" o:spt="202" path="m,l,21600r21600,l21600,xe">
                <v:stroke joinstyle="miter"/>
                <v:path gradientshapeok="t" o:connecttype="rect"/>
              </v:shapetype>
              <v:shape id="テキスト ボックス 1" o:spid="_x0000_s1026" type="#_x0000_t202" style="position:absolute;left:0;text-align:left;margin-left:5in;margin-top:-18.4pt;width:90.7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" filled="f" strokeweight=".5pt">
                <v:textbox inset="5.85pt,.7pt,5.85pt,.7pt">
                  <w:txbxContent>
                    <w:p w:rsidR="00E66CC8" w:rsidRPr="00A714C3" w:rsidRDefault="00E66CC8" w:rsidP="00E60736">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A777C0">
                        <w:rPr>
                          <w:rFonts w:asciiTheme="majorEastAsia" w:eastAsiaTheme="majorEastAsia" w:hAnsiTheme="majorEastAsia" w:hint="eastAsia"/>
                          <w:sz w:val="28"/>
                          <w:szCs w:val="28"/>
                        </w:rPr>
                        <w:t>２</w:t>
                      </w:r>
                    </w:p>
                  </w:txbxContent>
                </v:textbox>
                <w10:wrap type="square"/>
              </v:shape>
            </w:pict>
          </mc:Fallback>
        </mc:AlternateContent>
      </w:r>
    </w:p>
    <w:p w:rsidR="00E66CC8" w:rsidRPr="00E66CC8" w:rsidRDefault="00E66CC8" w:rsidP="00E66CC8">
      <w:pPr>
        <w:rPr>
          <w:rFonts w:asciiTheme="minorEastAsia" w:hAnsiTheme="minorEastAsia" w:cs="Times New Roman"/>
          <w:sz w:val="24"/>
          <w:szCs w:val="24"/>
        </w:rPr>
      </w:pPr>
    </w:p>
    <w:p w:rsid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w:t>
      </w:r>
    </w:p>
    <w:p w:rsidR="00E66CC8" w:rsidRP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総量削減計画進行管理検討部会運営要領</w:t>
      </w:r>
    </w:p>
    <w:p w:rsid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第１　設　置</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rsidR="00E66CC8" w:rsidRPr="00E66CC8" w:rsidRDefault="00E66CC8" w:rsidP="00E66CC8">
      <w:pPr>
        <w:rPr>
          <w:rFonts w:ascii="ＭＳ ゴシック" w:eastAsia="ＭＳ ゴシック" w:hAnsi="ＭＳ ゴシック" w:cs="Times New Roman"/>
          <w:sz w:val="24"/>
          <w:szCs w:val="24"/>
        </w:rPr>
      </w:pPr>
    </w:p>
    <w:p w:rsidR="00E66CC8" w:rsidRPr="00E66CC8" w:rsidRDefault="00E66CC8" w:rsidP="00E66CC8">
      <w:pPr>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第２　所掌事項等</w:t>
      </w:r>
    </w:p>
    <w:p w:rsidR="00E66CC8" w:rsidRPr="00E66CC8" w:rsidRDefault="00E66CC8" w:rsidP="00E66CC8">
      <w:pPr>
        <w:widowControl/>
        <w:shd w:val="clear" w:color="auto" w:fill="FFFFFF"/>
        <w:ind w:firstLineChars="100" w:firstLine="240"/>
        <w:jc w:val="left"/>
        <w:rPr>
          <w:rFonts w:ascii="ＭＳ ゴシック" w:eastAsia="ＭＳ ゴシック" w:hAnsi="ＭＳ ゴシック" w:cs="ＭＳ Ｐゴシック"/>
          <w:kern w:val="0"/>
          <w:sz w:val="24"/>
          <w:szCs w:val="24"/>
        </w:rPr>
      </w:pPr>
      <w:r w:rsidRPr="00E66CC8">
        <w:rPr>
          <w:rFonts w:ascii="ＭＳ ゴシック" w:eastAsia="ＭＳ ゴシック" w:hAnsi="ＭＳ ゴシック" w:cs="ＭＳ Ｐゴシック" w:hint="eastAsia"/>
          <w:kern w:val="0"/>
          <w:sz w:val="24"/>
          <w:szCs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66CC8">
        <w:rPr>
          <w:rFonts w:ascii="ＭＳ ゴシック" w:eastAsia="ＭＳ ゴシック" w:hAnsi="ＭＳ ゴシック" w:cs="ＭＳ Ｐゴシック" w:hint="eastAsia"/>
          <w:kern w:val="0"/>
          <w:sz w:val="24"/>
          <w:szCs w:val="24"/>
        </w:rPr>
        <w:br/>
      </w:r>
      <w:r w:rsidRPr="00E66CC8">
        <w:rPr>
          <w:rFonts w:ascii="ＭＳ ゴシック" w:eastAsia="ＭＳ ゴシック" w:hAnsi="ＭＳ ゴシック" w:cs="ＭＳ Ｐゴシック"/>
          <w:kern w:val="0"/>
          <w:sz w:val="24"/>
          <w:szCs w:val="24"/>
        </w:rPr>
        <w:t>(1)</w:t>
      </w:r>
      <w:r w:rsidRPr="00E66CC8">
        <w:rPr>
          <w:rFonts w:ascii="ＭＳ ゴシック" w:eastAsia="ＭＳ ゴシック" w:hAnsi="ＭＳ ゴシック" w:cs="ＭＳ Ｐゴシック" w:hint="eastAsia"/>
          <w:kern w:val="0"/>
          <w:sz w:val="24"/>
          <w:szCs w:val="24"/>
        </w:rPr>
        <w:t xml:space="preserve"> 総量削減計画の進行管理に関すること。</w:t>
      </w:r>
    </w:p>
    <w:p w:rsidR="00E66CC8" w:rsidRPr="00E66CC8" w:rsidRDefault="00E66CC8" w:rsidP="00E66CC8">
      <w:pPr>
        <w:widowControl/>
        <w:shd w:val="clear" w:color="auto" w:fill="FFFFFF"/>
        <w:jc w:val="left"/>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(2) 総量削減計画の新たな対策に関すること。</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第３　組　織</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(1) 検討部会は、条例第６条第２項の規定により、次に掲げる者につき、会長が指名する委員及び専門委員で組織する。</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①　条例第２条第２項第１号に規定する委員　　　２名程度</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②　条例第３条第１項に規定する専門委員　　　　６名程度</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(2) 検討部会に部会長を置く。部会長は、条例第６条第３項の規定により会長が指名する。</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(3) 部会長に事故があるときは、検討部会に属する委員のうちから、あらかじめ部会長の指名する者がその職務を代理する。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第４　会　議</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検討部会の会議は、部会長が招集し、部会長がその議長となる。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第５　補　則</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この要領に定めるもののほか、検討部会の運営に関し必要な事項は、部会長が定める。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附　　則</w:t>
      </w:r>
    </w:p>
    <w:p w:rsidR="00E66CC8" w:rsidRPr="00E66CC8" w:rsidRDefault="00E66CC8" w:rsidP="00E66CC8">
      <w:pPr>
        <w:rPr>
          <w:rFonts w:ascii="ＭＳ ゴシック" w:eastAsia="ＭＳ ゴシック" w:hAnsi="Century" w:cs="Times New Roman"/>
          <w:w w:val="80"/>
          <w:sz w:val="24"/>
          <w:szCs w:val="24"/>
        </w:rPr>
      </w:pPr>
      <w:r w:rsidRPr="00E66CC8">
        <w:rPr>
          <w:rFonts w:ascii="ＭＳ ゴシック" w:eastAsia="ＭＳ ゴシック" w:hAnsi="Century" w:cs="Times New Roman" w:hint="eastAsia"/>
          <w:sz w:val="24"/>
          <w:szCs w:val="24"/>
        </w:rPr>
        <w:t xml:space="preserve">　この要領は、平成２４年１２月</w:t>
      </w:r>
      <w:r>
        <w:rPr>
          <w:rFonts w:ascii="ＭＳ ゴシック" w:eastAsia="ＭＳ ゴシック" w:hAnsi="Century" w:cs="Times New Roman" w:hint="eastAsia"/>
          <w:sz w:val="24"/>
          <w:szCs w:val="24"/>
        </w:rPr>
        <w:t>７</w:t>
      </w:r>
      <w:r w:rsidRPr="00E66CC8">
        <w:rPr>
          <w:rFonts w:ascii="ＭＳ ゴシック" w:eastAsia="ＭＳ ゴシック" w:hAnsi="Century" w:cs="Times New Roman" w:hint="eastAsia"/>
          <w:sz w:val="24"/>
          <w:szCs w:val="24"/>
        </w:rPr>
        <w:t xml:space="preserve">日から施行する。　　　</w:t>
      </w:r>
      <w:r w:rsidRPr="00E66CC8">
        <w:rPr>
          <w:rFonts w:ascii="ＭＳ ゴシック" w:eastAsia="ＭＳ ゴシック" w:hAnsi="Century" w:cs="Times New Roman" w:hint="eastAsia"/>
          <w:w w:val="80"/>
          <w:sz w:val="24"/>
          <w:szCs w:val="24"/>
        </w:rPr>
        <w:t xml:space="preserve">　　</w:t>
      </w:r>
    </w:p>
    <w:p w:rsidR="00E66CC8" w:rsidRPr="00E66CC8" w:rsidRDefault="00E66CC8" w:rsidP="00E66CC8">
      <w:pPr>
        <w:rPr>
          <w:sz w:val="24"/>
          <w:szCs w:val="24"/>
        </w:rPr>
      </w:pPr>
    </w:p>
    <w:p w:rsidR="008E2FDA" w:rsidRPr="00E66CC8" w:rsidRDefault="008E2FDA">
      <w:pPr>
        <w:rPr>
          <w:sz w:val="24"/>
          <w:szCs w:val="24"/>
        </w:rPr>
      </w:pPr>
    </w:p>
    <w:sectPr w:rsidR="008E2FDA" w:rsidRPr="00E66CC8" w:rsidSect="00E66CC8">
      <w:pgSz w:w="11906" w:h="16838" w:code="9"/>
      <w:pgMar w:top="1134" w:right="1361" w:bottom="851"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36" w:rsidRDefault="00E60736" w:rsidP="00E60736">
      <w:r>
        <w:separator/>
      </w:r>
    </w:p>
  </w:endnote>
  <w:endnote w:type="continuationSeparator" w:id="0">
    <w:p w:rsidR="00E60736" w:rsidRDefault="00E60736" w:rsidP="00E6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36" w:rsidRDefault="00E60736" w:rsidP="00E60736">
      <w:r>
        <w:separator/>
      </w:r>
    </w:p>
  </w:footnote>
  <w:footnote w:type="continuationSeparator" w:id="0">
    <w:p w:rsidR="00E60736" w:rsidRDefault="00E60736" w:rsidP="00E6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8"/>
    <w:rsid w:val="002C1219"/>
    <w:rsid w:val="00473093"/>
    <w:rsid w:val="00754518"/>
    <w:rsid w:val="008E2FDA"/>
    <w:rsid w:val="00A714C3"/>
    <w:rsid w:val="00A777C0"/>
    <w:rsid w:val="00E60736"/>
    <w:rsid w:val="00E6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0CE16F1-31B3-4D97-8284-EF5DCCF2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736"/>
    <w:pPr>
      <w:tabs>
        <w:tab w:val="center" w:pos="4252"/>
        <w:tab w:val="right" w:pos="8504"/>
      </w:tabs>
      <w:snapToGrid w:val="0"/>
    </w:pPr>
  </w:style>
  <w:style w:type="character" w:customStyle="1" w:styleId="a4">
    <w:name w:val="ヘッダー (文字)"/>
    <w:basedOn w:val="a0"/>
    <w:link w:val="a3"/>
    <w:uiPriority w:val="99"/>
    <w:rsid w:val="00E60736"/>
  </w:style>
  <w:style w:type="paragraph" w:styleId="a5">
    <w:name w:val="footer"/>
    <w:basedOn w:val="a"/>
    <w:link w:val="a6"/>
    <w:uiPriority w:val="99"/>
    <w:unhideWhenUsed/>
    <w:rsid w:val="00E60736"/>
    <w:pPr>
      <w:tabs>
        <w:tab w:val="center" w:pos="4252"/>
        <w:tab w:val="right" w:pos="8504"/>
      </w:tabs>
      <w:snapToGrid w:val="0"/>
    </w:pPr>
  </w:style>
  <w:style w:type="character" w:customStyle="1" w:styleId="a6">
    <w:name w:val="フッター (文字)"/>
    <w:basedOn w:val="a0"/>
    <w:link w:val="a5"/>
    <w:uiPriority w:val="99"/>
    <w:rsid w:val="00E6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2020-09-02T08:09:00Z</cp:lastPrinted>
  <dcterms:created xsi:type="dcterms:W3CDTF">2015-02-10T07:42:00Z</dcterms:created>
  <dcterms:modified xsi:type="dcterms:W3CDTF">2020-09-02T08:09:00Z</dcterms:modified>
</cp:coreProperties>
</file>