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heme="majorEastAsia" w:eastAsiaTheme="majorEastAsia" w:hAnsiTheme="majorEastAsia"/>
          <w:b/>
        </w:rPr>
      </w:pPr>
      <w:r>
        <w:rPr>
          <w:rFonts w:asciiTheme="majorEastAsia" w:eastAsiaTheme="majorEastAsia" w:hAnsiTheme="majorEastAsia" w:hint="eastAsia"/>
          <w:b/>
        </w:rPr>
        <w:t>おおさかＱネット「ギャンブル等依存症」に関するアンケート（参加者調査）</w:t>
      </w:r>
    </w:p>
    <w:p>
      <w:pPr>
        <w:ind w:firstLineChars="200" w:firstLine="422"/>
        <w:rPr>
          <w:rFonts w:asciiTheme="majorEastAsia" w:eastAsiaTheme="majorEastAsia" w:hAnsiTheme="majorEastAsia"/>
          <w:b/>
        </w:rPr>
      </w:pPr>
      <w:r>
        <w:rPr>
          <w:rFonts w:asciiTheme="majorEastAsia" w:eastAsiaTheme="majorEastAsia" w:hAnsiTheme="majorEastAsia" w:hint="eastAsia"/>
          <w:b/>
        </w:rPr>
        <w:t xml:space="preserve">　分析結果概要</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spacing w:val="35"/>
          <w:kern w:val="0"/>
          <w:fitText w:val="1050" w:id="1531081984"/>
        </w:rPr>
        <w:t>実施期</w:t>
      </w:r>
      <w:r>
        <w:rPr>
          <w:rFonts w:asciiTheme="majorEastAsia" w:eastAsiaTheme="majorEastAsia" w:hAnsiTheme="majorEastAsia" w:hint="eastAsia"/>
          <w:kern w:val="0"/>
          <w:fitText w:val="1050" w:id="1531081984"/>
        </w:rPr>
        <w:t>間</w:t>
      </w:r>
      <w:r>
        <w:rPr>
          <w:rFonts w:asciiTheme="majorEastAsia" w:eastAsiaTheme="majorEastAsia" w:hAnsiTheme="majorEastAsia" w:hint="eastAsia"/>
        </w:rPr>
        <w:t xml:space="preserve">　令和元年９月12日（木）～９月13日（金）</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■サンプル数　過去1年間にギャンブル等へ参加した大阪府民1,000サンプル</w:t>
      </w:r>
    </w:p>
    <w:p>
      <w:pPr>
        <w:ind w:left="1470" w:hangingChars="700" w:hanging="1470"/>
        <w:rPr>
          <w:rFonts w:asciiTheme="majorEastAsia" w:eastAsiaTheme="majorEastAsia" w:hAnsiTheme="majorEastAsia"/>
        </w:rPr>
      </w:pPr>
    </w:p>
    <w:p>
      <w:pPr>
        <w:ind w:left="1470" w:hangingChars="700" w:hanging="1470"/>
        <w:rPr>
          <w:rFonts w:asciiTheme="majorEastAsia" w:eastAsiaTheme="majorEastAsia" w:hAnsiTheme="majorEastAsia"/>
        </w:rPr>
      </w:pPr>
    </w:p>
    <w:p>
      <w:pPr>
        <w:pBdr>
          <w:top w:val="single" w:sz="4" w:space="1" w:color="auto"/>
          <w:left w:val="single" w:sz="4" w:space="4" w:color="auto"/>
          <w:bottom w:val="single" w:sz="4" w:space="1" w:color="auto"/>
          <w:right w:val="single" w:sz="4" w:space="4" w:color="auto"/>
        </w:pBdr>
        <w:ind w:left="1476" w:hangingChars="700" w:hanging="1476"/>
        <w:rPr>
          <w:rFonts w:asciiTheme="majorEastAsia" w:eastAsiaTheme="majorEastAsia" w:hAnsiTheme="majorEastAsia"/>
          <w:b/>
        </w:rPr>
      </w:pPr>
      <w:r>
        <w:rPr>
          <w:rFonts w:asciiTheme="majorEastAsia" w:eastAsiaTheme="majorEastAsia" w:hAnsiTheme="majorEastAsia" w:hint="eastAsia"/>
          <w:b/>
        </w:rPr>
        <w:t>1.　調査目的</w:t>
      </w:r>
    </w:p>
    <w:p>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平成30年10月に施行された「ギャンブル等依存症対策基本法」に基づき、平成31年4月に策定された「ギャンブル等依存症対策推進基本計画」においては、ギャンブル等依存症に関する関心と理解を深め、その予防を図ることが重要とされている。</w:t>
      </w:r>
    </w:p>
    <w:p>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rPr>
      </w:pPr>
      <w:r>
        <w:rPr>
          <w:rFonts w:asciiTheme="majorEastAsia" w:eastAsiaTheme="majorEastAsia" w:hAnsiTheme="majorEastAsia" w:hint="eastAsia"/>
        </w:rPr>
        <w:t>そうした中、ギャンブル等に参加する大阪府民における、ギャンブル等依存症についての理解や、ギャンブル等を行うことによって起こる問題に対する認識を把握し、ギャンブル等依存症に関する取組みの方向性を検討するにあたり、本調査を実施する。</w:t>
      </w:r>
    </w:p>
    <w:p>
      <w:pPr>
        <w:pBdr>
          <w:top w:val="single" w:sz="4" w:space="1" w:color="auto"/>
          <w:left w:val="single" w:sz="4" w:space="4" w:color="auto"/>
          <w:bottom w:val="single" w:sz="4" w:space="1" w:color="auto"/>
          <w:right w:val="single" w:sz="4" w:space="4" w:color="auto"/>
        </w:pBdr>
        <w:ind w:left="1275" w:hangingChars="607" w:hanging="1275"/>
        <w:rPr>
          <w:rFonts w:asciiTheme="majorEastAsia" w:eastAsiaTheme="majorEastAsia" w:hAnsiTheme="majorEastAsia"/>
        </w:rPr>
      </w:pPr>
    </w:p>
    <w:p>
      <w:pPr>
        <w:pBdr>
          <w:top w:val="single" w:sz="4" w:space="1" w:color="auto"/>
          <w:left w:val="single" w:sz="4" w:space="4" w:color="auto"/>
          <w:bottom w:val="single" w:sz="4" w:space="1" w:color="auto"/>
          <w:right w:val="single" w:sz="4" w:space="4" w:color="auto"/>
        </w:pBdr>
        <w:rPr>
          <w:rFonts w:asciiTheme="majorEastAsia" w:eastAsiaTheme="majorEastAsia" w:hAnsiTheme="majorEastAsia"/>
          <w:b/>
        </w:rPr>
      </w:pPr>
      <w:r>
        <w:rPr>
          <w:rFonts w:asciiTheme="majorEastAsia" w:eastAsiaTheme="majorEastAsia" w:hAnsiTheme="majorEastAsia" w:hint="eastAsia"/>
          <w:b/>
        </w:rPr>
        <w:t>2.　主な調査（検証）項目</w:t>
      </w:r>
    </w:p>
    <w:p>
      <w:pPr>
        <w:pBdr>
          <w:top w:val="single" w:sz="4" w:space="1" w:color="auto"/>
          <w:left w:val="single" w:sz="4" w:space="4" w:color="auto"/>
          <w:bottom w:val="single" w:sz="4" w:space="1" w:color="auto"/>
          <w:right w:val="single" w:sz="4" w:space="4" w:color="auto"/>
        </w:pBdr>
        <w:ind w:left="1050" w:hangingChars="500" w:hanging="1050"/>
        <w:rPr>
          <w:rFonts w:asciiTheme="majorEastAsia" w:eastAsiaTheme="majorEastAsia" w:hAnsiTheme="majorEastAsia"/>
        </w:rPr>
      </w:pPr>
      <w:r>
        <w:rPr>
          <w:rFonts w:asciiTheme="majorEastAsia" w:eastAsiaTheme="majorEastAsia" w:hAnsiTheme="majorEastAsia" w:hint="eastAsia"/>
        </w:rPr>
        <w:t xml:space="preserve">　仮説１：ギャンブル等への参加頻度や消費金額が高い人ほど、ギャンブル等が原因となる、日常生活や社会生活に支障となる問題を起こしたことがある。</w:t>
      </w:r>
    </w:p>
    <w:p>
      <w:pPr>
        <w:pBdr>
          <w:top w:val="single" w:sz="4" w:space="1" w:color="auto"/>
          <w:left w:val="single" w:sz="4" w:space="4" w:color="auto"/>
          <w:bottom w:val="single" w:sz="4" w:space="1" w:color="auto"/>
          <w:right w:val="single" w:sz="4" w:space="4" w:color="auto"/>
        </w:pBdr>
        <w:ind w:left="1096" w:hangingChars="522" w:hanging="1096"/>
        <w:rPr>
          <w:rFonts w:asciiTheme="majorEastAsia" w:eastAsiaTheme="majorEastAsia" w:hAnsiTheme="majorEastAsia"/>
        </w:rPr>
      </w:pPr>
      <w:r>
        <w:rPr>
          <w:rFonts w:asciiTheme="majorEastAsia" w:eastAsiaTheme="majorEastAsia" w:hAnsiTheme="majorEastAsia" w:hint="eastAsia"/>
        </w:rPr>
        <w:t xml:space="preserve">　仮説２：ギャンブル等への参加頻度や消費金額が高い人ほど、ギャンブル等に関連した困りごとについて、家族や行政へ相談することをためらう。</w:t>
      </w:r>
    </w:p>
    <w:p>
      <w:pPr>
        <w:pBdr>
          <w:top w:val="single" w:sz="4" w:space="1" w:color="auto"/>
          <w:left w:val="single" w:sz="4" w:space="4" w:color="auto"/>
          <w:bottom w:val="single" w:sz="4" w:space="1" w:color="auto"/>
          <w:right w:val="single" w:sz="4" w:space="4" w:color="auto"/>
        </w:pBdr>
        <w:ind w:left="840" w:hangingChars="400" w:hanging="840"/>
        <w:rPr>
          <w:rFonts w:asciiTheme="majorEastAsia" w:eastAsiaTheme="majorEastAsia" w:hAnsiTheme="majorEastAsia"/>
        </w:rPr>
      </w:pPr>
    </w:p>
    <w:p>
      <w:pPr>
        <w:pBdr>
          <w:top w:val="single" w:sz="4" w:space="1" w:color="auto"/>
          <w:left w:val="single" w:sz="4" w:space="4" w:color="auto"/>
          <w:bottom w:val="single" w:sz="4" w:space="1" w:color="auto"/>
          <w:right w:val="single" w:sz="4" w:space="4" w:color="auto"/>
        </w:pBdr>
        <w:ind w:left="843" w:hangingChars="400" w:hanging="843"/>
        <w:rPr>
          <w:rFonts w:asciiTheme="majorEastAsia" w:eastAsiaTheme="majorEastAsia" w:hAnsiTheme="majorEastAsia"/>
          <w:b/>
        </w:rPr>
      </w:pPr>
      <w:r>
        <w:rPr>
          <w:rFonts w:asciiTheme="majorEastAsia" w:eastAsiaTheme="majorEastAsia" w:hAnsiTheme="majorEastAsia" w:hint="eastAsia"/>
          <w:b/>
        </w:rPr>
        <w:t>3.　主な調査結果</w:t>
      </w:r>
    </w:p>
    <w:p>
      <w:pPr>
        <w:pBdr>
          <w:top w:val="single" w:sz="4" w:space="1" w:color="auto"/>
          <w:left w:val="single" w:sz="4" w:space="4" w:color="auto"/>
          <w:bottom w:val="single" w:sz="4" w:space="1" w:color="auto"/>
          <w:right w:val="single" w:sz="4" w:space="4" w:color="auto"/>
        </w:pBdr>
        <w:ind w:left="1096" w:hangingChars="522" w:hanging="1096"/>
        <w:rPr>
          <w:rFonts w:asciiTheme="majorEastAsia" w:eastAsiaTheme="majorEastAsia" w:hAnsiTheme="majorEastAsia"/>
        </w:rPr>
      </w:pPr>
      <w:r>
        <w:rPr>
          <w:rFonts w:asciiTheme="majorEastAsia" w:eastAsiaTheme="majorEastAsia" w:hAnsiTheme="majorEastAsia" w:hint="eastAsia"/>
        </w:rPr>
        <w:t xml:space="preserve">　仮説１：ギャンブル等への参加頻度や消費金額が高いほど、日常生活に影響がでたことや問題をおこしたことがあった割合が高い傾向が見られた。</w:t>
      </w:r>
    </w:p>
    <w:p>
      <w:pPr>
        <w:pBdr>
          <w:top w:val="single" w:sz="4" w:space="1" w:color="auto"/>
          <w:left w:val="single" w:sz="4" w:space="4" w:color="auto"/>
          <w:bottom w:val="single" w:sz="4" w:space="1" w:color="auto"/>
          <w:right w:val="single" w:sz="4" w:space="4" w:color="auto"/>
        </w:pBdr>
        <w:ind w:left="1050" w:hangingChars="500" w:hanging="1050"/>
        <w:rPr>
          <w:rFonts w:asciiTheme="majorEastAsia" w:eastAsiaTheme="majorEastAsia" w:hAnsiTheme="majorEastAsia"/>
        </w:rPr>
      </w:pPr>
      <w:r>
        <w:rPr>
          <w:rFonts w:asciiTheme="majorEastAsia" w:eastAsiaTheme="majorEastAsia" w:hAnsiTheme="majorEastAsia" w:hint="eastAsia"/>
        </w:rPr>
        <w:t xml:space="preserve">　仮説２：ギャンブル等への参加頻度が高いほど、ギャンブルに関連した困りごとについて、「誰にも相談しない」と回答した割合が高い傾向が見られた。また、ギャンブル等への消費金額については、月に</w:t>
      </w:r>
      <w:r>
        <w:rPr>
          <w:rFonts w:asciiTheme="majorEastAsia" w:eastAsiaTheme="majorEastAsia" w:hAnsiTheme="majorEastAsia"/>
        </w:rPr>
        <w:t>5000</w:t>
      </w:r>
      <w:r>
        <w:rPr>
          <w:rFonts w:asciiTheme="majorEastAsia" w:eastAsiaTheme="majorEastAsia" w:hAnsiTheme="majorEastAsia" w:hint="eastAsia"/>
        </w:rPr>
        <w:t>円以上の方が月に</w:t>
      </w:r>
      <w:r>
        <w:rPr>
          <w:rFonts w:asciiTheme="majorEastAsia" w:eastAsiaTheme="majorEastAsia" w:hAnsiTheme="majorEastAsia"/>
        </w:rPr>
        <w:t>5000</w:t>
      </w:r>
      <w:r>
        <w:rPr>
          <w:rFonts w:asciiTheme="majorEastAsia" w:eastAsiaTheme="majorEastAsia" w:hAnsiTheme="majorEastAsia" w:hint="eastAsia"/>
        </w:rPr>
        <w:t>円未満と比べて、「誰にも相談しない」と回答した割合が高かった。</w:t>
      </w:r>
    </w:p>
    <w:p>
      <w:pPr>
        <w:pBdr>
          <w:top w:val="single" w:sz="4" w:space="1" w:color="auto"/>
          <w:left w:val="single" w:sz="4" w:space="4" w:color="auto"/>
          <w:bottom w:val="single" w:sz="4" w:space="1" w:color="auto"/>
          <w:right w:val="single" w:sz="4" w:space="4" w:color="auto"/>
        </w:pBdr>
        <w:ind w:left="840" w:hangingChars="400" w:hanging="840"/>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（注）</w:t>
      </w:r>
    </w:p>
    <w:p>
      <w:pPr>
        <w:ind w:left="210" w:hangingChars="100" w:hanging="210"/>
        <w:rPr>
          <w:rFonts w:asciiTheme="majorEastAsia" w:eastAsiaTheme="majorEastAsia" w:hAnsiTheme="majorEastAsia"/>
        </w:rPr>
      </w:pPr>
      <w:r>
        <w:rPr>
          <w:rFonts w:asciiTheme="majorEastAsia" w:eastAsiaTheme="majorEastAsia" w:hAnsiTheme="majorEastAsia" w:hint="eastAsia"/>
        </w:rPr>
        <w:t>1.　「おおさかＱネット」の回答者は、民間調査会社に登録するインターネットモニタ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w:t>
      </w:r>
    </w:p>
    <w:p>
      <w:pPr>
        <w:ind w:left="210" w:hangingChars="100" w:hanging="210"/>
        <w:rPr>
          <w:rFonts w:asciiTheme="majorEastAsia" w:eastAsiaTheme="majorEastAsia" w:hAnsiTheme="majorEastAsia"/>
        </w:rPr>
      </w:pPr>
      <w:r>
        <w:rPr>
          <w:rFonts w:asciiTheme="majorEastAsia" w:eastAsiaTheme="majorEastAsia" w:hAnsiTheme="majorEastAsia" w:hint="eastAsia"/>
        </w:rPr>
        <w:lastRenderedPageBreak/>
        <w:t>2.　割合を百分率で表示する場合は、小数点第2位を四捨五入した。四捨五入の結果、個々の比率の合計と全体を示す数値とが一致しないことがある。</w:t>
      </w:r>
    </w:p>
    <w:p>
      <w:pPr>
        <w:rPr>
          <w:rFonts w:asciiTheme="majorEastAsia" w:eastAsiaTheme="majorEastAsia" w:hAnsiTheme="majorEastAsia"/>
        </w:rPr>
      </w:pPr>
      <w:r>
        <w:rPr>
          <w:rFonts w:asciiTheme="majorEastAsia" w:eastAsiaTheme="majorEastAsia" w:hAnsiTheme="majorEastAsia" w:hint="eastAsia"/>
        </w:rPr>
        <w:t>3.　図表中の表記の語句は、短縮・簡略化している場合がある。</w:t>
      </w:r>
    </w:p>
    <w:p>
      <w:pPr>
        <w:ind w:left="210" w:hangingChars="100" w:hanging="210"/>
        <w:rPr>
          <w:rFonts w:asciiTheme="majorEastAsia" w:eastAsiaTheme="majorEastAsia" w:hAnsiTheme="majorEastAsia"/>
        </w:rPr>
      </w:pPr>
      <w:r>
        <w:rPr>
          <w:rFonts w:asciiTheme="majorEastAsia" w:eastAsiaTheme="majorEastAsia" w:hAnsiTheme="majorEastAsia" w:hint="eastAsia"/>
        </w:rPr>
        <w:t>4.　図表中の上段の数値は人数（n）、下段の数値は割合（％）を示す。</w:t>
      </w:r>
    </w:p>
    <w:p>
      <w:pPr>
        <w:ind w:left="210" w:hangingChars="100" w:hanging="210"/>
        <w:rPr>
          <w:rFonts w:asciiTheme="majorEastAsia" w:eastAsiaTheme="majorEastAsia" w:hAnsiTheme="majorEastAsia"/>
        </w:rPr>
      </w:pPr>
      <w:r>
        <w:rPr>
          <w:rFonts w:asciiTheme="majorEastAsia" w:eastAsiaTheme="majorEastAsia" w:hAnsiTheme="majorEastAsia" w:hint="eastAsia"/>
        </w:rPr>
        <w:t>5.　図表下にカイ2乗検定の値（p値）を記載しているものは、信頼度5％水準で統計上の有意差がみられたもの。</w:t>
      </w:r>
    </w:p>
    <w:p>
      <w:pPr>
        <w:rPr>
          <w:rFonts w:asciiTheme="majorEastAsia" w:eastAsiaTheme="majorEastAsia" w:hAnsiTheme="majorEastAsia"/>
        </w:rPr>
      </w:pPr>
    </w:p>
    <w:p>
      <w:pPr>
        <w:widowControl/>
        <w:jc w:val="left"/>
        <w:rPr>
          <w:rFonts w:asciiTheme="majorEastAsia" w:eastAsiaTheme="majorEastAsia" w:hAnsiTheme="majorEastAsia"/>
          <w:b/>
        </w:rPr>
      </w:pPr>
      <w:r>
        <w:rPr>
          <w:rFonts w:asciiTheme="majorEastAsia" w:eastAsiaTheme="majorEastAsia" w:hAnsiTheme="majorEastAsia"/>
          <w:b/>
        </w:rPr>
        <w:br w:type="page"/>
      </w: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1．参加頻度や消費金額と日常生活への影響との関係性</w:t>
      </w:r>
    </w:p>
    <w:p>
      <w:pPr>
        <w:rPr>
          <w:rFonts w:asciiTheme="majorEastAsia" w:eastAsiaTheme="majorEastAsia" w:hAnsiTheme="majorEastAsia"/>
        </w:rPr>
      </w:pPr>
      <w:r>
        <w:rPr>
          <w:rFonts w:asciiTheme="majorEastAsia" w:eastAsiaTheme="majorEastAsia" w:hAnsiTheme="majorEastAsia" w:hint="eastAsia"/>
        </w:rPr>
        <w:t xml:space="preserve">　ギャンブル等への参加頻度や消費金額によって、日常生活への金銭面での影響の有無や日常生活に支障をもたらすような問題の有無に違いがあるか検証した。</w:t>
      </w:r>
    </w:p>
    <w:p>
      <w:pPr>
        <w:rPr>
          <w:rFonts w:asciiTheme="majorEastAsia" w:eastAsiaTheme="majorEastAsia" w:hAnsiTheme="majorEastAsia"/>
        </w:rPr>
      </w:pPr>
    </w:p>
    <w:p>
      <w:pPr>
        <w:rPr>
          <w:rFonts w:asciiTheme="majorEastAsia" w:eastAsiaTheme="majorEastAsia" w:hAnsiTheme="majorEastAsia"/>
          <w:b/>
        </w:rPr>
      </w:pPr>
      <w:r>
        <w:rPr>
          <w:rFonts w:asciiTheme="majorEastAsia" w:eastAsiaTheme="majorEastAsia" w:hAnsiTheme="majorEastAsia" w:hint="eastAsia"/>
          <w:b/>
        </w:rPr>
        <w:t>1</w:t>
      </w:r>
      <w:r>
        <w:rPr>
          <w:rFonts w:asciiTheme="majorEastAsia" w:eastAsiaTheme="majorEastAsia" w:hAnsiTheme="majorEastAsia"/>
          <w:b/>
        </w:rPr>
        <w:t>-1</w:t>
      </w:r>
      <w:r>
        <w:rPr>
          <w:rFonts w:asciiTheme="majorEastAsia" w:eastAsiaTheme="majorEastAsia" w:hAnsiTheme="majorEastAsia" w:hint="eastAsia"/>
          <w:b/>
        </w:rPr>
        <w:t xml:space="preserve">　（参考）日常生活への金銭面での影響　単純集計</w:t>
      </w:r>
    </w:p>
    <w:p>
      <w:pPr>
        <w:pStyle w:val="a3"/>
        <w:numPr>
          <w:ilvl w:val="0"/>
          <w:numId w:val="26"/>
        </w:numPr>
        <w:ind w:leftChars="0"/>
        <w:rPr>
          <w:rFonts w:asciiTheme="majorEastAsia" w:eastAsiaTheme="majorEastAsia" w:hAnsiTheme="majorEastAsia"/>
        </w:rPr>
      </w:pPr>
      <w:r>
        <w:rPr>
          <w:rFonts w:asciiTheme="majorEastAsia" w:eastAsiaTheme="majorEastAsia" w:hAnsiTheme="majorEastAsia" w:hint="eastAsia"/>
        </w:rPr>
        <w:t>ギャンブル等による日常生活への金銭面の影響は、「生活に影響がでたことはない（68.7％）」が最も多く、次いで「趣味や娯楽に使える金額の大部分を使い、他の趣味や娯楽が困難になった（15.4％）」、「生活費の一部分を使い、生活費を切り詰めなければならなくなった（11.1％）」であった。（図表1-1）</w:t>
      </w:r>
    </w:p>
    <w:p>
      <w:pPr>
        <w:rPr>
          <w:rFonts w:asciiTheme="majorEastAsia" w:eastAsiaTheme="majorEastAsia" w:hAnsiTheme="majorEastAsia"/>
        </w:rPr>
      </w:pPr>
    </w:p>
    <w:p>
      <w:pPr>
        <w:snapToGrid w:val="0"/>
        <w:rPr>
          <w:rFonts w:asciiTheme="majorEastAsia" w:eastAsiaTheme="majorEastAsia" w:hAnsiTheme="majorEastAsia"/>
        </w:rPr>
      </w:pPr>
      <w:r>
        <w:rPr>
          <w:rFonts w:asciiTheme="majorEastAsia" w:eastAsiaTheme="majorEastAsia" w:hAnsiTheme="majorEastAsia" w:hint="eastAsia"/>
        </w:rPr>
        <w:t>【図表1-1】</w:t>
      </w:r>
    </w:p>
    <w:p>
      <w:pPr>
        <w:snapToGrid w:val="0"/>
        <w:rPr>
          <w:rFonts w:asciiTheme="majorEastAsia" w:eastAsiaTheme="majorEastAsia" w:hAnsiTheme="majorEastAsia"/>
        </w:rPr>
      </w:pPr>
      <w:r>
        <w:rPr>
          <w:noProof/>
        </w:rPr>
        <w:drawing>
          <wp:inline distT="0" distB="0" distL="0" distR="0">
            <wp:extent cx="4869815" cy="1382395"/>
            <wp:effectExtent l="0" t="0" r="6985"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9815" cy="1382395"/>
                    </a:xfrm>
                    <a:prstGeom prst="rect">
                      <a:avLst/>
                    </a:prstGeom>
                    <a:noFill/>
                    <a:ln>
                      <a:noFill/>
                    </a:ln>
                  </pic:spPr>
                </pic:pic>
              </a:graphicData>
            </a:graphic>
          </wp:inline>
        </w:drawing>
      </w:r>
    </w:p>
    <w:p>
      <w:pPr>
        <w:rPr>
          <w:rFonts w:asciiTheme="majorEastAsia" w:eastAsiaTheme="majorEastAsia" w:hAnsiTheme="majorEastAsia"/>
        </w:rPr>
      </w:pPr>
      <w:r>
        <w:rPr>
          <w:rFonts w:asciiTheme="majorEastAsia" w:eastAsiaTheme="majorEastAsia" w:hAnsiTheme="majorEastAsia"/>
          <w:noProof/>
        </w:rPr>
        <w:drawing>
          <wp:inline distT="0" distB="0" distL="0" distR="0">
            <wp:extent cx="5560828" cy="1078821"/>
            <wp:effectExtent l="0" t="0" r="1905"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2097" cy="1082947"/>
                    </a:xfrm>
                    <a:prstGeom prst="rect">
                      <a:avLst/>
                    </a:prstGeom>
                    <a:noFill/>
                    <a:ln>
                      <a:noFill/>
                    </a:ln>
                  </pic:spPr>
                </pic:pic>
              </a:graphicData>
            </a:graphic>
          </wp:inline>
        </w:drawing>
      </w:r>
    </w:p>
    <w:p>
      <w:pPr>
        <w:rPr>
          <w:rFonts w:asciiTheme="majorEastAsia" w:eastAsiaTheme="majorEastAsia" w:hAnsiTheme="majorEastAsia"/>
        </w:rPr>
      </w:pPr>
    </w:p>
    <w:p>
      <w:pPr>
        <w:rPr>
          <w:rFonts w:asciiTheme="majorEastAsia" w:eastAsiaTheme="majorEastAsia" w:hAnsiTheme="majorEastAsia"/>
          <w:b/>
        </w:rPr>
      </w:pPr>
      <w:r>
        <w:rPr>
          <w:rFonts w:asciiTheme="majorEastAsia" w:eastAsiaTheme="majorEastAsia" w:hAnsiTheme="majorEastAsia" w:hint="eastAsia"/>
          <w:b/>
        </w:rPr>
        <w:t>1</w:t>
      </w:r>
      <w:r>
        <w:rPr>
          <w:rFonts w:asciiTheme="majorEastAsia" w:eastAsiaTheme="majorEastAsia" w:hAnsiTheme="majorEastAsia"/>
          <w:b/>
        </w:rPr>
        <w:t>-2</w:t>
      </w:r>
      <w:r>
        <w:rPr>
          <w:rFonts w:asciiTheme="majorEastAsia" w:eastAsiaTheme="majorEastAsia" w:hAnsiTheme="majorEastAsia" w:hint="eastAsia"/>
          <w:b/>
        </w:rPr>
        <w:t xml:space="preserve">　（参考）日常生活に支障をもたらすような問題　単純集計</w:t>
      </w:r>
    </w:p>
    <w:p>
      <w:pPr>
        <w:pStyle w:val="a3"/>
        <w:numPr>
          <w:ilvl w:val="0"/>
          <w:numId w:val="26"/>
        </w:numPr>
        <w:ind w:leftChars="0"/>
        <w:rPr>
          <w:rFonts w:asciiTheme="majorEastAsia" w:eastAsiaTheme="majorEastAsia" w:hAnsiTheme="majorEastAsia"/>
        </w:rPr>
      </w:pPr>
      <w:r>
        <w:rPr>
          <w:rFonts w:asciiTheme="majorEastAsia" w:eastAsiaTheme="majorEastAsia" w:hAnsiTheme="majorEastAsia" w:hint="eastAsia"/>
        </w:rPr>
        <w:t>ギャンブル等による日常生活に支障をもたらすような問題は、「問題をおこしたことはない（82.3％）」が最も多く、次いで「ギャンブル等に生活費を消費することによる生活困窮（9.6％）」、「配偶者・パートナー・親子・友人といった大切な人との関係の悪化（7.3％）」であった。（図表1-</w:t>
      </w:r>
      <w:r>
        <w:rPr>
          <w:rFonts w:asciiTheme="majorEastAsia" w:eastAsiaTheme="majorEastAsia" w:hAnsiTheme="majorEastAsia"/>
        </w:rPr>
        <w:t>2</w:t>
      </w:r>
      <w:r>
        <w:rPr>
          <w:rFonts w:asciiTheme="majorEastAsia" w:eastAsiaTheme="majorEastAsia" w:hAnsiTheme="majorEastAsia" w:hint="eastAsia"/>
        </w:rPr>
        <w:t>）</w:t>
      </w:r>
    </w:p>
    <w:p>
      <w:pPr>
        <w:rPr>
          <w:rFonts w:asciiTheme="majorEastAsia" w:eastAsiaTheme="majorEastAsia" w:hAnsiTheme="majorEastAsia"/>
        </w:rPr>
      </w:pPr>
    </w:p>
    <w:p>
      <w:pPr>
        <w:snapToGrid w:val="0"/>
        <w:rPr>
          <w:rFonts w:asciiTheme="majorEastAsia" w:eastAsiaTheme="majorEastAsia" w:hAnsiTheme="majorEastAsia"/>
        </w:rPr>
      </w:pPr>
      <w:r>
        <w:rPr>
          <w:rFonts w:asciiTheme="majorEastAsia" w:eastAsiaTheme="majorEastAsia" w:hAnsiTheme="majorEastAsia" w:hint="eastAsia"/>
        </w:rPr>
        <w:t>【図表1-2</w:t>
      </w:r>
      <w:r>
        <w:rPr>
          <w:rFonts w:asciiTheme="majorEastAsia" w:eastAsiaTheme="majorEastAsia" w:hAnsiTheme="majorEastAsia"/>
        </w:rPr>
        <w:t xml:space="preserve">】 </w:t>
      </w:r>
    </w:p>
    <w:p>
      <w:pPr>
        <w:rPr>
          <w:rFonts w:asciiTheme="majorEastAsia" w:eastAsiaTheme="majorEastAsia" w:hAnsiTheme="majorEastAsia"/>
          <w:b/>
        </w:rPr>
      </w:pPr>
      <w:r>
        <w:rPr>
          <w:noProof/>
        </w:rPr>
        <w:drawing>
          <wp:inline distT="0" distB="0" distL="0" distR="0">
            <wp:extent cx="4869815" cy="1530985"/>
            <wp:effectExtent l="0" t="0" r="698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9815" cy="1530985"/>
                    </a:xfrm>
                    <a:prstGeom prst="rect">
                      <a:avLst/>
                    </a:prstGeom>
                    <a:noFill/>
                    <a:ln>
                      <a:noFill/>
                    </a:ln>
                  </pic:spPr>
                </pic:pic>
              </a:graphicData>
            </a:graphic>
          </wp:inline>
        </w:drawing>
      </w:r>
    </w:p>
    <w:p>
      <w:pPr>
        <w:widowControl/>
        <w:jc w:val="left"/>
        <w:rPr>
          <w:rFonts w:asciiTheme="majorEastAsia" w:eastAsiaTheme="majorEastAsia" w:hAnsiTheme="majorEastAsia"/>
          <w:b/>
        </w:rPr>
      </w:pPr>
      <w:r>
        <w:rPr>
          <w:rFonts w:asciiTheme="majorEastAsia" w:eastAsiaTheme="majorEastAsia" w:hAnsiTheme="majorEastAsia"/>
          <w:b/>
          <w:noProof/>
        </w:rPr>
        <w:lastRenderedPageBreak/>
        <w:drawing>
          <wp:inline distT="0" distB="0" distL="0" distR="0">
            <wp:extent cx="5460099" cy="1231265"/>
            <wp:effectExtent l="0" t="0" r="7620" b="698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2081" cy="1233967"/>
                    </a:xfrm>
                    <a:prstGeom prst="rect">
                      <a:avLst/>
                    </a:prstGeom>
                    <a:noFill/>
                    <a:ln>
                      <a:noFill/>
                    </a:ln>
                  </pic:spPr>
                </pic:pic>
              </a:graphicData>
            </a:graphic>
          </wp:inline>
        </w:drawing>
      </w: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b/>
        </w:rPr>
      </w:pPr>
      <w:r>
        <w:rPr>
          <w:rFonts w:asciiTheme="majorEastAsia" w:eastAsiaTheme="majorEastAsia" w:hAnsiTheme="majorEastAsia" w:hint="eastAsia"/>
          <w:b/>
        </w:rPr>
        <w:t>1-</w:t>
      </w:r>
      <w:r>
        <w:rPr>
          <w:rFonts w:asciiTheme="majorEastAsia" w:eastAsiaTheme="majorEastAsia" w:hAnsiTheme="majorEastAsia"/>
          <w:b/>
        </w:rPr>
        <w:t>3</w:t>
      </w:r>
      <w:r>
        <w:rPr>
          <w:rFonts w:asciiTheme="majorEastAsia" w:eastAsiaTheme="majorEastAsia" w:hAnsiTheme="majorEastAsia" w:hint="eastAsia"/>
          <w:b/>
        </w:rPr>
        <w:t xml:space="preserve">　参加頻度や消費金額と日常生活への影響との関係性</w:t>
      </w:r>
    </w:p>
    <w:p>
      <w:pPr>
        <w:rPr>
          <w:rFonts w:asciiTheme="majorEastAsia" w:eastAsiaTheme="majorEastAsia" w:hAnsiTheme="majorEastAsia"/>
        </w:rPr>
      </w:pPr>
      <w:r>
        <w:rPr>
          <w:rFonts w:asciiTheme="majorEastAsia" w:eastAsiaTheme="majorEastAsia" w:hAnsiTheme="majorEastAsia" w:hint="eastAsia"/>
        </w:rPr>
        <w:t xml:space="preserve">　ギャンブル等への参加頻度や消費金額によって、日常生活への金銭面での影響の有無や日常生活に支障をもたらすような問題の有無に差があるかを分析する。</w:t>
      </w:r>
    </w:p>
    <w:p>
      <w:pPr>
        <w:rPr>
          <w:rFonts w:asciiTheme="majorEastAsia" w:eastAsiaTheme="majorEastAsia" w:hAnsiTheme="majorEastAsia"/>
        </w:rPr>
      </w:pPr>
    </w:p>
    <w:p>
      <w:pPr>
        <w:ind w:left="210" w:hangingChars="100" w:hanging="210"/>
        <w:rPr>
          <w:rFonts w:asciiTheme="majorEastAsia" w:eastAsiaTheme="majorEastAsia" w:hAnsiTheme="majorEastAsia"/>
        </w:rPr>
      </w:pPr>
      <w:r>
        <w:rPr>
          <w:rFonts w:asciiTheme="majorEastAsia" w:eastAsiaTheme="majorEastAsia" w:hAnsiTheme="majorEastAsia" w:hint="eastAsia"/>
        </w:rPr>
        <w:t>・日常生活への金銭面での影響の有無について、「生活費の大部分を使い、借金しなければならなくなった」、「生活費の大部分を使い、貯金を取り崩さなければならなくなった」、「生活費の一部分を使い、生活費を切り詰めなければならなくなった」、「趣味や娯楽に使える金額の大部分を使い、他の趣味や娯楽が困難になった」のいずれかを選択した人を【生活に影響がでたことあり】、「生活に影響がでたことはない」を選択した人を【生活に影響がでたことなし】と定義した。</w:t>
      </w:r>
    </w:p>
    <w:p>
      <w:pPr>
        <w:ind w:left="210" w:hangingChars="100" w:hanging="210"/>
        <w:rPr>
          <w:rFonts w:asciiTheme="majorEastAsia" w:eastAsiaTheme="majorEastAsia" w:hAnsiTheme="majorEastAsia"/>
        </w:rPr>
      </w:pPr>
      <w:r>
        <w:rPr>
          <w:rFonts w:asciiTheme="majorEastAsia" w:eastAsiaTheme="majorEastAsia" w:hAnsiTheme="majorEastAsia" w:hint="eastAsia"/>
        </w:rPr>
        <w:t>・日常生活に支障をもたらすような問題の有無について、「配偶者・パートナー・親子・友人といった大切な人との関係の悪化」、「ギャンブル等に起因する多額の借金」、「ギャンブル等に生活費を消費することによる生活困窮」、「仕事や学業をおろそかにすることによる失業や退学」、「ギャンブル等の資金を工面するため人をだましたりモノを盗んだりする行為」のいずれかを選択した人を【問題をおこしたことあり】、「問題をおこしたことはない」を選択した人を【問題をおこしたことなし】と定義した。</w:t>
      </w:r>
    </w:p>
    <w:p>
      <w:pPr>
        <w:ind w:left="210" w:hangingChars="100" w:hanging="210"/>
        <w:rPr>
          <w:rFonts w:asciiTheme="majorEastAsia" w:eastAsiaTheme="majorEastAsia" w:hAnsiTheme="majorEastAsia"/>
        </w:rPr>
      </w:pPr>
      <w:r>
        <w:rPr>
          <w:rFonts w:asciiTheme="majorEastAsia" w:eastAsiaTheme="majorEastAsia" w:hAnsiTheme="majorEastAsia" w:hint="eastAsia"/>
        </w:rPr>
        <w:t>・消費金額について、「わからない・答えたくない」を選択した人との違いは検証していない。</w:t>
      </w:r>
    </w:p>
    <w:p>
      <w:pPr>
        <w:rPr>
          <w:rFonts w:asciiTheme="majorEastAsia" w:eastAsiaTheme="majorEastAsia" w:hAnsiTheme="majorEastAsia"/>
        </w:rPr>
      </w:pPr>
    </w:p>
    <w:p>
      <w:pPr>
        <w:pStyle w:val="a3"/>
        <w:numPr>
          <w:ilvl w:val="0"/>
          <w:numId w:val="24"/>
        </w:numPr>
        <w:ind w:leftChars="0"/>
        <w:rPr>
          <w:rFonts w:asciiTheme="majorEastAsia" w:eastAsiaTheme="majorEastAsia" w:hAnsiTheme="majorEastAsia"/>
        </w:rPr>
      </w:pPr>
      <w:r>
        <w:rPr>
          <w:rFonts w:asciiTheme="majorEastAsia" w:eastAsiaTheme="majorEastAsia" w:hAnsiTheme="majorEastAsia" w:hint="eastAsia"/>
        </w:rPr>
        <w:t>ギャンブル等への参加頻度や消費金額が高いほど、【生活に影響がでたことあり】の割合が高い傾向があった。（図表1</w:t>
      </w:r>
      <w:r>
        <w:rPr>
          <w:rFonts w:asciiTheme="majorEastAsia" w:eastAsiaTheme="majorEastAsia" w:hAnsiTheme="majorEastAsia"/>
        </w:rPr>
        <w:t>-3</w:t>
      </w:r>
      <w:r>
        <w:rPr>
          <w:rFonts w:asciiTheme="majorEastAsia" w:eastAsiaTheme="majorEastAsia" w:hAnsiTheme="majorEastAsia" w:hint="eastAsia"/>
        </w:rPr>
        <w:t>-1）</w:t>
      </w:r>
    </w:p>
    <w:p>
      <w:pPr>
        <w:pStyle w:val="a3"/>
        <w:numPr>
          <w:ilvl w:val="0"/>
          <w:numId w:val="24"/>
        </w:numPr>
        <w:ind w:leftChars="0"/>
        <w:rPr>
          <w:rFonts w:asciiTheme="majorEastAsia" w:eastAsiaTheme="majorEastAsia" w:hAnsiTheme="majorEastAsia"/>
        </w:rPr>
      </w:pPr>
      <w:r>
        <w:rPr>
          <w:rFonts w:asciiTheme="majorEastAsia" w:eastAsiaTheme="majorEastAsia" w:hAnsiTheme="majorEastAsia" w:hint="eastAsia"/>
        </w:rPr>
        <w:t>ギャンブル等への参加頻度や消費金額が高いほど、【問題をおこしたことあり】の割合が高い傾向があった。（図表1</w:t>
      </w:r>
      <w:r>
        <w:rPr>
          <w:rFonts w:asciiTheme="majorEastAsia" w:eastAsiaTheme="majorEastAsia" w:hAnsiTheme="majorEastAsia"/>
        </w:rPr>
        <w:t>-3</w:t>
      </w:r>
      <w:r>
        <w:rPr>
          <w:rFonts w:asciiTheme="majorEastAsia" w:eastAsiaTheme="majorEastAsia" w:hAnsiTheme="majorEastAsia" w:hint="eastAsia"/>
        </w:rPr>
        <w:t>-2）</w:t>
      </w:r>
    </w:p>
    <w:p>
      <w:pPr>
        <w:widowControl/>
        <w:jc w:val="left"/>
        <w:rPr>
          <w:rFonts w:asciiTheme="majorEastAsia" w:eastAsiaTheme="majorEastAsia" w:hAnsiTheme="majorEastAsia"/>
        </w:rPr>
      </w:pPr>
      <w:r>
        <w:rPr>
          <w:rFonts w:asciiTheme="majorEastAsia" w:eastAsiaTheme="majorEastAsia" w:hAnsiTheme="majorEastAsia"/>
        </w:rPr>
        <w:br w:type="page"/>
      </w:r>
    </w:p>
    <w:p>
      <w:pPr>
        <w:rPr>
          <w:rFonts w:asciiTheme="majorEastAsia" w:eastAsiaTheme="majorEastAsia" w:hAnsiTheme="majorEastAsia"/>
        </w:rPr>
      </w:pPr>
      <w:r>
        <w:rPr>
          <w:rFonts w:asciiTheme="majorEastAsia" w:eastAsiaTheme="majorEastAsia" w:hAnsiTheme="majorEastAsia" w:hint="eastAsia"/>
        </w:rPr>
        <w:lastRenderedPageBreak/>
        <w:t>【図表1</w:t>
      </w:r>
      <w:r>
        <w:rPr>
          <w:rFonts w:asciiTheme="majorEastAsia" w:eastAsiaTheme="majorEastAsia" w:hAnsiTheme="majorEastAsia"/>
        </w:rPr>
        <w:t>-3</w:t>
      </w:r>
      <w:r>
        <w:rPr>
          <w:rFonts w:asciiTheme="majorEastAsia" w:eastAsiaTheme="majorEastAsia" w:hAnsiTheme="majorEastAsia" w:hint="eastAsia"/>
        </w:rPr>
        <w:t>-1】</w:t>
      </w:r>
    </w:p>
    <w:p>
      <w:pPr>
        <w:rPr>
          <w:rFonts w:asciiTheme="majorEastAsia" w:eastAsiaTheme="majorEastAsia" w:hAnsiTheme="majorEastAsia"/>
        </w:rPr>
      </w:pPr>
      <w:r>
        <w:rPr>
          <w:noProof/>
        </w:rPr>
        <w:drawing>
          <wp:inline distT="0" distB="0" distL="0" distR="0">
            <wp:extent cx="5400040" cy="4317653"/>
            <wp:effectExtent l="0" t="0" r="0" b="6985"/>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4317653"/>
                    </a:xfrm>
                    <a:prstGeom prst="rect">
                      <a:avLst/>
                    </a:prstGeom>
                    <a:noFill/>
                    <a:ln>
                      <a:noFill/>
                    </a:ln>
                  </pic:spPr>
                </pic:pic>
              </a:graphicData>
            </a:graphic>
          </wp:inline>
        </w:drawing>
      </w:r>
    </w:p>
    <w:p>
      <w:pPr>
        <w:rPr>
          <w:rFonts w:asciiTheme="majorEastAsia" w:eastAsiaTheme="majorEastAsia" w:hAnsiTheme="majorEastAsia"/>
        </w:rPr>
      </w:pPr>
      <w:r>
        <w:rPr>
          <w:noProof/>
        </w:rPr>
        <w:drawing>
          <wp:inline distT="0" distB="0" distL="0" distR="0">
            <wp:extent cx="5400040" cy="2142208"/>
            <wp:effectExtent l="0" t="0" r="0" b="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2142208"/>
                    </a:xfrm>
                    <a:prstGeom prst="rect">
                      <a:avLst/>
                    </a:prstGeom>
                    <a:noFill/>
                    <a:ln>
                      <a:noFill/>
                    </a:ln>
                  </pic:spPr>
                </pic:pic>
              </a:graphicData>
            </a:graphic>
          </wp:inline>
        </w:drawing>
      </w:r>
    </w:p>
    <w:p>
      <w:pPr>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rPr>
        <w:br w:type="page"/>
      </w:r>
    </w:p>
    <w:p>
      <w:pPr>
        <w:rPr>
          <w:rFonts w:asciiTheme="majorEastAsia" w:eastAsiaTheme="majorEastAsia" w:hAnsiTheme="majorEastAsia"/>
        </w:rPr>
      </w:pPr>
      <w:r>
        <w:rPr>
          <w:rFonts w:asciiTheme="majorEastAsia" w:eastAsiaTheme="majorEastAsia" w:hAnsiTheme="majorEastAsia" w:hint="eastAsia"/>
        </w:rPr>
        <w:lastRenderedPageBreak/>
        <w:t>【図表1</w:t>
      </w:r>
      <w:r>
        <w:rPr>
          <w:rFonts w:asciiTheme="majorEastAsia" w:eastAsiaTheme="majorEastAsia" w:hAnsiTheme="majorEastAsia"/>
        </w:rPr>
        <w:t>-3</w:t>
      </w:r>
      <w:r>
        <w:rPr>
          <w:rFonts w:asciiTheme="majorEastAsia" w:eastAsiaTheme="majorEastAsia" w:hAnsiTheme="majorEastAsia" w:hint="eastAsia"/>
        </w:rPr>
        <w:t>-2】</w:t>
      </w:r>
    </w:p>
    <w:p>
      <w:pPr>
        <w:rPr>
          <w:rFonts w:asciiTheme="majorEastAsia" w:eastAsiaTheme="majorEastAsia" w:hAnsiTheme="majorEastAsia"/>
        </w:rPr>
      </w:pPr>
      <w:r>
        <w:rPr>
          <w:rFonts w:hint="eastAsia"/>
          <w:noProof/>
        </w:rPr>
        <w:drawing>
          <wp:inline distT="0" distB="0" distL="0" distR="0">
            <wp:extent cx="5400040" cy="4204657"/>
            <wp:effectExtent l="0" t="0" r="0" b="5715"/>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4204657"/>
                    </a:xfrm>
                    <a:prstGeom prst="rect">
                      <a:avLst/>
                    </a:prstGeom>
                    <a:noFill/>
                    <a:ln>
                      <a:noFill/>
                    </a:ln>
                  </pic:spPr>
                </pic:pic>
              </a:graphicData>
            </a:graphic>
          </wp:inline>
        </w:drawing>
      </w:r>
    </w:p>
    <w:p>
      <w:pPr>
        <w:rPr>
          <w:rFonts w:asciiTheme="majorEastAsia" w:eastAsiaTheme="majorEastAsia" w:hAnsiTheme="majorEastAsia"/>
        </w:rPr>
      </w:pPr>
      <w:r>
        <w:rPr>
          <w:noProof/>
        </w:rPr>
        <w:drawing>
          <wp:inline distT="0" distB="0" distL="0" distR="0">
            <wp:extent cx="5400040" cy="2529133"/>
            <wp:effectExtent l="0" t="0" r="0" b="5080"/>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2529133"/>
                    </a:xfrm>
                    <a:prstGeom prst="rect">
                      <a:avLst/>
                    </a:prstGeom>
                    <a:noFill/>
                    <a:ln>
                      <a:noFill/>
                    </a:ln>
                  </pic:spPr>
                </pic:pic>
              </a:graphicData>
            </a:graphic>
          </wp:inline>
        </w:drawing>
      </w:r>
    </w:p>
    <w:p>
      <w:pPr>
        <w:widowControl/>
        <w:jc w:val="left"/>
        <w:rPr>
          <w:rFonts w:asciiTheme="majorEastAsia" w:eastAsiaTheme="majorEastAsia" w:hAnsiTheme="majorEastAsia"/>
          <w:b/>
        </w:rPr>
      </w:pPr>
      <w:r>
        <w:rPr>
          <w:rFonts w:asciiTheme="majorEastAsia" w:eastAsiaTheme="majorEastAsia" w:hAnsiTheme="majorEastAsia"/>
          <w:b/>
        </w:rPr>
        <w:br w:type="page"/>
      </w: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2．参加頻度や消費金額とギャンブル等に関連した困りごとの相談意向の有無等との関係性</w:t>
      </w:r>
    </w:p>
    <w:p>
      <w:pPr>
        <w:rPr>
          <w:rFonts w:asciiTheme="majorEastAsia" w:eastAsiaTheme="majorEastAsia" w:hAnsiTheme="majorEastAsia"/>
        </w:rPr>
      </w:pPr>
      <w:r>
        <w:rPr>
          <w:rFonts w:asciiTheme="majorEastAsia" w:eastAsiaTheme="majorEastAsia" w:hAnsiTheme="majorEastAsia" w:hint="eastAsia"/>
        </w:rPr>
        <w:t xml:space="preserve">　ギャンブル等への参加頻度や消費金額によって、ギャンブル等に関連した困りごとの相談意向の有無に違いがあるか検証した。</w:t>
      </w:r>
    </w:p>
    <w:p>
      <w:pPr>
        <w:ind w:firstLineChars="100" w:firstLine="210"/>
        <w:rPr>
          <w:rFonts w:asciiTheme="majorEastAsia" w:eastAsiaTheme="majorEastAsia" w:hAnsiTheme="majorEastAsia"/>
        </w:rPr>
      </w:pPr>
      <w:r>
        <w:rPr>
          <w:rFonts w:asciiTheme="majorEastAsia" w:eastAsiaTheme="majorEastAsia" w:hAnsiTheme="majorEastAsia" w:hint="eastAsia"/>
        </w:rPr>
        <w:t>また、ギャンブル等への参加頻度や消費金額によって、専門の相談機関に相談するかどうかに違いがあるか検証した。</w:t>
      </w:r>
    </w:p>
    <w:p>
      <w:pPr>
        <w:rPr>
          <w:rFonts w:asciiTheme="majorEastAsia" w:eastAsiaTheme="majorEastAsia" w:hAnsiTheme="majorEastAsia"/>
        </w:rPr>
      </w:pPr>
    </w:p>
    <w:p>
      <w:pPr>
        <w:rPr>
          <w:rFonts w:asciiTheme="majorEastAsia" w:eastAsiaTheme="majorEastAsia" w:hAnsiTheme="majorEastAsia"/>
          <w:b/>
        </w:rPr>
      </w:pPr>
      <w:r>
        <w:rPr>
          <w:rFonts w:asciiTheme="majorEastAsia" w:eastAsiaTheme="majorEastAsia" w:hAnsiTheme="majorEastAsia" w:hint="eastAsia"/>
          <w:b/>
        </w:rPr>
        <w:t>2-1　（参考）ギャンブル等に関連した困りごとを相談する相手　単純集計</w:t>
      </w:r>
    </w:p>
    <w:p>
      <w:pPr>
        <w:pStyle w:val="a3"/>
        <w:numPr>
          <w:ilvl w:val="0"/>
          <w:numId w:val="26"/>
        </w:numPr>
        <w:ind w:leftChars="0"/>
        <w:rPr>
          <w:rFonts w:asciiTheme="majorEastAsia" w:eastAsiaTheme="majorEastAsia" w:hAnsiTheme="majorEastAsia"/>
        </w:rPr>
      </w:pPr>
      <w:r>
        <w:rPr>
          <w:rFonts w:asciiTheme="majorEastAsia" w:eastAsiaTheme="majorEastAsia" w:hAnsiTheme="majorEastAsia" w:hint="eastAsia"/>
        </w:rPr>
        <w:t>ギャンブル等に関連した困りごとを相談する相手は、「家族・友人・知人（45.8％）」、「専門の相談機関（医療機関・行政の窓口等）（21.9％）」の順に多かった。また、「誰にも相談しない」が22.9％、「わからない」が18.7％であった。（図表2-1）</w:t>
      </w:r>
    </w:p>
    <w:p>
      <w:pPr>
        <w:widowControl/>
        <w:jc w:val="left"/>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【図表2-1】</w:t>
      </w:r>
    </w:p>
    <w:p>
      <w:pPr>
        <w:rPr>
          <w:rFonts w:asciiTheme="majorEastAsia" w:eastAsiaTheme="majorEastAsia" w:hAnsiTheme="majorEastAsia"/>
        </w:rPr>
      </w:pPr>
      <w:r>
        <w:rPr>
          <w:noProof/>
        </w:rPr>
        <w:drawing>
          <wp:inline distT="0" distB="0" distL="0" distR="0">
            <wp:extent cx="4867275" cy="1752600"/>
            <wp:effectExtent l="0" t="0" r="9525"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67275" cy="1752600"/>
                    </a:xfrm>
                    <a:prstGeom prst="rect">
                      <a:avLst/>
                    </a:prstGeom>
                    <a:noFill/>
                    <a:ln>
                      <a:noFill/>
                    </a:ln>
                  </pic:spPr>
                </pic:pic>
              </a:graphicData>
            </a:graphic>
          </wp:inline>
        </w:drawing>
      </w:r>
    </w:p>
    <w:p>
      <w:pPr>
        <w:rPr>
          <w:rFonts w:asciiTheme="majorEastAsia" w:eastAsiaTheme="majorEastAsia" w:hAnsiTheme="majorEastAsia"/>
        </w:rPr>
      </w:pPr>
      <w:r>
        <w:rPr>
          <w:rFonts w:asciiTheme="majorEastAsia" w:eastAsiaTheme="majorEastAsia" w:hAnsiTheme="majorEastAsia"/>
          <w:noProof/>
        </w:rPr>
        <w:drawing>
          <wp:inline distT="0" distB="0" distL="0" distR="0">
            <wp:extent cx="5248910" cy="1231265"/>
            <wp:effectExtent l="0" t="0" r="8890" b="6985"/>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pPr>
        <w:rPr>
          <w:rFonts w:asciiTheme="majorEastAsia" w:eastAsiaTheme="majorEastAsia" w:hAnsiTheme="majorEastAsia"/>
          <w:b/>
        </w:rPr>
      </w:pPr>
    </w:p>
    <w:p>
      <w:pPr>
        <w:rPr>
          <w:rFonts w:asciiTheme="majorEastAsia" w:eastAsiaTheme="majorEastAsia" w:hAnsiTheme="majorEastAsia"/>
          <w:b/>
        </w:rPr>
      </w:pPr>
    </w:p>
    <w:p>
      <w:pPr>
        <w:rPr>
          <w:rFonts w:asciiTheme="majorEastAsia" w:eastAsiaTheme="majorEastAsia" w:hAnsiTheme="majorEastAsia"/>
          <w:b/>
        </w:rPr>
      </w:pPr>
      <w:r>
        <w:rPr>
          <w:rFonts w:asciiTheme="majorEastAsia" w:eastAsiaTheme="majorEastAsia" w:hAnsiTheme="majorEastAsia" w:hint="eastAsia"/>
          <w:b/>
        </w:rPr>
        <w:t>2-2　ギャンブル等に関連した困りごとの相談意向の有無</w:t>
      </w:r>
    </w:p>
    <w:p>
      <w:pPr>
        <w:rPr>
          <w:rFonts w:asciiTheme="majorEastAsia" w:eastAsiaTheme="majorEastAsia" w:hAnsiTheme="majorEastAsia"/>
        </w:rPr>
      </w:pPr>
      <w:r>
        <w:rPr>
          <w:rFonts w:asciiTheme="majorEastAsia" w:eastAsiaTheme="majorEastAsia" w:hAnsiTheme="majorEastAsia" w:hint="eastAsia"/>
        </w:rPr>
        <w:t xml:space="preserve">　ギャンブル等への参加頻度や消費金額によって、ギャンブル等に関連した困りごとを誰かに相談する意向があるかどうかに違いがあるかを分析する。</w:t>
      </w:r>
    </w:p>
    <w:p>
      <w:pPr>
        <w:rPr>
          <w:rFonts w:asciiTheme="majorEastAsia" w:eastAsiaTheme="majorEastAsia" w:hAnsiTheme="majorEastAsia"/>
        </w:rPr>
      </w:pPr>
    </w:p>
    <w:p>
      <w:pPr>
        <w:ind w:left="210" w:hangingChars="100" w:hanging="210"/>
        <w:rPr>
          <w:rFonts w:asciiTheme="majorEastAsia" w:eastAsiaTheme="majorEastAsia" w:hAnsiTheme="majorEastAsia"/>
        </w:rPr>
      </w:pPr>
      <w:r>
        <w:rPr>
          <w:rFonts w:asciiTheme="majorEastAsia" w:eastAsiaTheme="majorEastAsia" w:hAnsiTheme="majorEastAsia" w:hint="eastAsia"/>
        </w:rPr>
        <w:t>・自分や自分の家族にギャンブル等に関連した困りごとがあった場合に誰に相談するかについて、「家族・友人・知人」、「職場の上司や同僚」、「専門の相談機関（医療機関・行政の窓口等）」を選択した人を【相談意向あり】、「誰にも相談しない」を選択した人を【相談意向なし】と定義した。また、「わからない」、「その他」を選択した人は除外している。</w:t>
      </w:r>
    </w:p>
    <w:p>
      <w:pPr>
        <w:pStyle w:val="a3"/>
        <w:numPr>
          <w:ilvl w:val="0"/>
          <w:numId w:val="24"/>
        </w:numPr>
        <w:ind w:leftChars="0"/>
        <w:rPr>
          <w:rFonts w:asciiTheme="majorEastAsia" w:eastAsiaTheme="majorEastAsia" w:hAnsiTheme="majorEastAsia"/>
        </w:rPr>
      </w:pPr>
      <w:r>
        <w:rPr>
          <w:rFonts w:asciiTheme="majorEastAsia" w:eastAsiaTheme="majorEastAsia" w:hAnsiTheme="majorEastAsia" w:hint="eastAsia"/>
        </w:rPr>
        <w:lastRenderedPageBreak/>
        <w:t>ギャンブル等への参加頻度が高いほど、【相談意向なし】の割合が高い傾向があった。</w:t>
      </w:r>
    </w:p>
    <w:p>
      <w:pPr>
        <w:pStyle w:val="a3"/>
        <w:numPr>
          <w:ilvl w:val="0"/>
          <w:numId w:val="24"/>
        </w:numPr>
        <w:ind w:leftChars="0"/>
        <w:rPr>
          <w:rFonts w:asciiTheme="majorEastAsia" w:eastAsiaTheme="majorEastAsia" w:hAnsiTheme="majorEastAsia"/>
        </w:rPr>
      </w:pPr>
      <w:r>
        <w:rPr>
          <w:rFonts w:asciiTheme="majorEastAsia" w:eastAsiaTheme="majorEastAsia" w:hAnsiTheme="majorEastAsia" w:hint="eastAsia"/>
        </w:rPr>
        <w:t>ギャンブル等への消費金額については、月に5000円以上の方が月に5000円未満と比べて、【相談意向なし】の割合が高かった。（図表2-2）</w:t>
      </w:r>
    </w:p>
    <w:p>
      <w:pPr>
        <w:pStyle w:val="a3"/>
        <w:ind w:leftChars="0" w:left="420"/>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hint="eastAsia"/>
        </w:rPr>
        <w:t>【図表2-2】</w:t>
      </w:r>
    </w:p>
    <w:p>
      <w:pPr>
        <w:rPr>
          <w:rFonts w:asciiTheme="majorEastAsia" w:eastAsiaTheme="majorEastAsia" w:hAnsiTheme="majorEastAsia"/>
        </w:rPr>
      </w:pPr>
      <w:r>
        <w:rPr>
          <w:noProof/>
        </w:rPr>
        <w:drawing>
          <wp:inline distT="0" distB="0" distL="0" distR="0">
            <wp:extent cx="5400040" cy="427537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4275376"/>
                    </a:xfrm>
                    <a:prstGeom prst="rect">
                      <a:avLst/>
                    </a:prstGeom>
                    <a:noFill/>
                    <a:ln>
                      <a:noFill/>
                    </a:ln>
                  </pic:spPr>
                </pic:pic>
              </a:graphicData>
            </a:graphic>
          </wp:inline>
        </w:drawing>
      </w:r>
    </w:p>
    <w:p>
      <w:pPr>
        <w:rPr>
          <w:rFonts w:asciiTheme="majorEastAsia" w:eastAsiaTheme="majorEastAsia" w:hAnsiTheme="majorEastAsia"/>
        </w:rPr>
      </w:pPr>
      <w:r>
        <w:rPr>
          <w:rFonts w:hint="eastAsia"/>
          <w:noProof/>
        </w:rPr>
        <w:drawing>
          <wp:inline distT="0" distB="0" distL="0" distR="0">
            <wp:extent cx="5400040" cy="2589650"/>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2589650"/>
                    </a:xfrm>
                    <a:prstGeom prst="rect">
                      <a:avLst/>
                    </a:prstGeom>
                    <a:noFill/>
                    <a:ln>
                      <a:noFill/>
                    </a:ln>
                  </pic:spPr>
                </pic:pic>
              </a:graphicData>
            </a:graphic>
          </wp:inline>
        </w:drawing>
      </w:r>
      <w:r>
        <w:rPr>
          <w:rFonts w:asciiTheme="majorEastAsia" w:eastAsiaTheme="majorEastAsia" w:hAnsiTheme="majorEastAsia" w:hint="eastAsia"/>
          <w:b/>
        </w:rPr>
        <w:lastRenderedPageBreak/>
        <w:t>2-3　参加頻度や消費金額と専門の相談機関へ</w:t>
      </w:r>
      <w:bookmarkStart w:id="0" w:name="_GoBack"/>
      <w:bookmarkEnd w:id="0"/>
      <w:r>
        <w:rPr>
          <w:rFonts w:asciiTheme="majorEastAsia" w:eastAsiaTheme="majorEastAsia" w:hAnsiTheme="majorEastAsia" w:hint="eastAsia"/>
          <w:b/>
        </w:rPr>
        <w:t>の相談との関係性</w:t>
      </w:r>
    </w:p>
    <w:p>
      <w:pPr>
        <w:rPr>
          <w:rFonts w:asciiTheme="majorEastAsia" w:eastAsiaTheme="majorEastAsia" w:hAnsiTheme="majorEastAsia"/>
        </w:rPr>
      </w:pPr>
      <w:r>
        <w:rPr>
          <w:rFonts w:asciiTheme="majorEastAsia" w:eastAsiaTheme="majorEastAsia" w:hAnsiTheme="majorEastAsia" w:hint="eastAsia"/>
        </w:rPr>
        <w:t xml:space="preserve">　ギャンブル等への参加頻度や消費金額によって、ギャンブル等に関する困りごとを専門の相談機関に相談するかどうかに違いがあるか分析する。</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ギャンブル等に関連した困りごとがある場合に相談する相手として、「専門の相談機関（医療機関・行政の窓口等）」を選択した人を【専門の相談機関を選択】、「専門の相談機関（医療機関・行政の窓口等）」を選択しなかった人を【専門の相談機関を選択せず】と定義した。</w:t>
      </w:r>
    </w:p>
    <w:p>
      <w:pPr>
        <w:rPr>
          <w:rFonts w:asciiTheme="majorEastAsia" w:eastAsiaTheme="majorEastAsia" w:hAnsiTheme="majorEastAsia"/>
        </w:rPr>
      </w:pPr>
    </w:p>
    <w:p>
      <w:pPr>
        <w:pStyle w:val="a3"/>
        <w:numPr>
          <w:ilvl w:val="0"/>
          <w:numId w:val="22"/>
        </w:numPr>
        <w:ind w:leftChars="0"/>
        <w:rPr>
          <w:rFonts w:asciiTheme="majorEastAsia" w:eastAsiaTheme="majorEastAsia" w:hAnsiTheme="majorEastAsia"/>
        </w:rPr>
      </w:pPr>
      <w:r>
        <w:rPr>
          <w:rFonts w:asciiTheme="majorEastAsia" w:eastAsiaTheme="majorEastAsia" w:hAnsiTheme="majorEastAsia" w:hint="eastAsia"/>
        </w:rPr>
        <w:t>参加頻度が高いほど、【専門の相談機関を選択】の割合が低い傾向がみられた。</w:t>
      </w:r>
    </w:p>
    <w:p>
      <w:pPr>
        <w:pStyle w:val="a3"/>
        <w:numPr>
          <w:ilvl w:val="0"/>
          <w:numId w:val="22"/>
        </w:numPr>
        <w:ind w:leftChars="0"/>
        <w:rPr>
          <w:rFonts w:asciiTheme="majorEastAsia" w:eastAsiaTheme="majorEastAsia" w:hAnsiTheme="majorEastAsia"/>
        </w:rPr>
      </w:pPr>
      <w:r>
        <w:rPr>
          <w:rFonts w:asciiTheme="majorEastAsia" w:eastAsiaTheme="majorEastAsia" w:hAnsiTheme="majorEastAsia" w:hint="eastAsia"/>
        </w:rPr>
        <w:t>消費金額が月に1万円以上の方が月に1万円未満と比べて、【専門の相談機関を選択】の割合が低かった。（図表2-3）</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【図表2-3】</w:t>
      </w:r>
    </w:p>
    <w:p>
      <w:pPr>
        <w:rPr>
          <w:rFonts w:asciiTheme="majorEastAsia" w:eastAsiaTheme="majorEastAsia" w:hAnsiTheme="majorEastAsia"/>
        </w:rPr>
      </w:pPr>
      <w:r>
        <w:rPr>
          <w:noProof/>
        </w:rPr>
        <w:drawing>
          <wp:inline distT="0" distB="0" distL="0" distR="0">
            <wp:extent cx="5400040" cy="3862572"/>
            <wp:effectExtent l="0" t="0" r="0" b="508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3862572"/>
                    </a:xfrm>
                    <a:prstGeom prst="rect">
                      <a:avLst/>
                    </a:prstGeom>
                    <a:noFill/>
                    <a:ln>
                      <a:noFill/>
                    </a:ln>
                  </pic:spPr>
                </pic:pic>
              </a:graphicData>
            </a:graphic>
          </wp:inline>
        </w:drawing>
      </w:r>
    </w:p>
    <w:p>
      <w:pPr>
        <w:rPr>
          <w:rFonts w:asciiTheme="majorEastAsia" w:eastAsiaTheme="majorEastAsia" w:hAnsiTheme="majorEastAsia"/>
        </w:rPr>
      </w:pPr>
      <w:r>
        <w:rPr>
          <w:noProof/>
        </w:rPr>
        <w:lastRenderedPageBreak/>
        <w:drawing>
          <wp:inline distT="0" distB="0" distL="0" distR="0">
            <wp:extent cx="5400040" cy="2607851"/>
            <wp:effectExtent l="0" t="0" r="0"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2607851"/>
                    </a:xfrm>
                    <a:prstGeom prst="rect">
                      <a:avLst/>
                    </a:prstGeom>
                    <a:noFill/>
                    <a:ln>
                      <a:noFill/>
                    </a:ln>
                  </pic:spPr>
                </pic:pic>
              </a:graphicData>
            </a:graphic>
          </wp:inline>
        </w:drawing>
      </w:r>
    </w:p>
    <w:p>
      <w:pPr>
        <w:widowControl/>
        <w:jc w:val="left"/>
        <w:rPr>
          <w:rFonts w:asciiTheme="majorEastAsia" w:eastAsiaTheme="majorEastAsia" w:hAnsiTheme="majorEastAsia"/>
          <w:b/>
        </w:rPr>
      </w:pPr>
    </w:p>
    <w:p>
      <w:pPr>
        <w:widowControl/>
        <w:jc w:val="left"/>
        <w:rPr>
          <w:rFonts w:asciiTheme="majorEastAsia" w:eastAsiaTheme="majorEastAsia" w:hAnsiTheme="majorEastAsia"/>
          <w:b/>
        </w:rPr>
      </w:pPr>
    </w:p>
    <w:p>
      <w:pPr>
        <w:widowControl/>
        <w:jc w:val="left"/>
        <w:rPr>
          <w:rFonts w:asciiTheme="majorEastAsia" w:eastAsiaTheme="majorEastAsia" w:hAnsiTheme="majorEastAsia"/>
        </w:rPr>
      </w:pPr>
      <w:r>
        <w:rPr>
          <w:rFonts w:asciiTheme="majorEastAsia" w:eastAsiaTheme="majorEastAsia" w:hAnsiTheme="majorEastAsia"/>
        </w:rPr>
        <w:br w:type="page"/>
      </w: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3．【参考】ギャンブル等依存症の認知について</w:t>
      </w:r>
    </w:p>
    <w:p>
      <w:pPr>
        <w:rPr>
          <w:rFonts w:asciiTheme="majorEastAsia" w:eastAsiaTheme="majorEastAsia" w:hAnsiTheme="majorEastAsia"/>
        </w:rPr>
      </w:pPr>
      <w:r>
        <w:rPr>
          <w:rFonts w:asciiTheme="majorEastAsia" w:eastAsiaTheme="majorEastAsia" w:hAnsiTheme="majorEastAsia" w:hint="eastAsia"/>
        </w:rPr>
        <w:t xml:space="preserve">　ギャンブル等依存症やギャンブル等依存症の相談窓口の認知についての調査結果を記載する。</w:t>
      </w:r>
    </w:p>
    <w:p>
      <w:pPr>
        <w:rPr>
          <w:rFonts w:asciiTheme="majorEastAsia" w:eastAsiaTheme="majorEastAsia" w:hAnsiTheme="majorEastAsia"/>
        </w:rPr>
      </w:pPr>
    </w:p>
    <w:p>
      <w:pPr>
        <w:rPr>
          <w:rFonts w:asciiTheme="majorEastAsia" w:eastAsiaTheme="majorEastAsia" w:hAnsiTheme="majorEastAsia"/>
          <w:b/>
        </w:rPr>
      </w:pPr>
      <w:r>
        <w:rPr>
          <w:rFonts w:asciiTheme="majorEastAsia" w:eastAsiaTheme="majorEastAsia" w:hAnsiTheme="majorEastAsia" w:hint="eastAsia"/>
          <w:b/>
        </w:rPr>
        <w:t>3-1　ギャンブル等依存症の認知率</w:t>
      </w:r>
    </w:p>
    <w:p>
      <w:pPr>
        <w:rPr>
          <w:rFonts w:asciiTheme="majorEastAsia" w:eastAsiaTheme="majorEastAsia" w:hAnsiTheme="majorEastAsia"/>
        </w:rPr>
      </w:pPr>
      <w:r>
        <w:rPr>
          <w:rFonts w:asciiTheme="majorEastAsia" w:eastAsiaTheme="majorEastAsia" w:hAnsiTheme="majorEastAsia" w:hint="eastAsia"/>
        </w:rPr>
        <w:t xml:space="preserve">　ギャンブル等依存症の認知についての調査結果を記載する。</w:t>
      </w:r>
    </w:p>
    <w:p>
      <w:pPr>
        <w:rPr>
          <w:rFonts w:asciiTheme="majorEastAsia" w:eastAsiaTheme="majorEastAsia" w:hAnsiTheme="majorEastAsia"/>
        </w:rPr>
      </w:pPr>
    </w:p>
    <w:p>
      <w:pPr>
        <w:ind w:left="210" w:hangingChars="100" w:hanging="210"/>
        <w:rPr>
          <w:rFonts w:asciiTheme="majorEastAsia" w:eastAsiaTheme="majorEastAsia" w:hAnsiTheme="majorEastAsia"/>
        </w:rPr>
      </w:pPr>
      <w:r>
        <w:rPr>
          <w:rFonts w:asciiTheme="majorEastAsia" w:eastAsiaTheme="majorEastAsia" w:hAnsiTheme="majorEastAsia" w:hint="eastAsia"/>
        </w:rPr>
        <w:t>・「ギャンブル等依存症」という言葉を知っているかどうかを調査した。</w:t>
      </w:r>
    </w:p>
    <w:p>
      <w:pPr>
        <w:ind w:left="210" w:hangingChars="100" w:hanging="210"/>
        <w:rPr>
          <w:rFonts w:asciiTheme="majorEastAsia" w:eastAsiaTheme="majorEastAsia" w:hAnsiTheme="majorEastAsia"/>
        </w:rPr>
      </w:pPr>
    </w:p>
    <w:p>
      <w:pPr>
        <w:pStyle w:val="a3"/>
        <w:numPr>
          <w:ilvl w:val="0"/>
          <w:numId w:val="26"/>
        </w:numPr>
        <w:ind w:leftChars="0"/>
        <w:rPr>
          <w:rFonts w:asciiTheme="majorEastAsia" w:eastAsiaTheme="majorEastAsia" w:hAnsiTheme="majorEastAsia"/>
        </w:rPr>
      </w:pPr>
      <w:r>
        <w:rPr>
          <w:rFonts w:asciiTheme="majorEastAsia" w:eastAsiaTheme="majorEastAsia" w:hAnsiTheme="majorEastAsia" w:hint="eastAsia"/>
        </w:rPr>
        <w:t>「ギャンブル等依存症」という言葉の認知率は97.1％だった。（図表3-1）</w:t>
      </w:r>
    </w:p>
    <w:p>
      <w:pPr>
        <w:pStyle w:val="a3"/>
        <w:numPr>
          <w:ilvl w:val="0"/>
          <w:numId w:val="26"/>
        </w:numPr>
        <w:ind w:leftChars="0"/>
        <w:rPr>
          <w:rFonts w:asciiTheme="majorEastAsia" w:eastAsiaTheme="majorEastAsia" w:hAnsiTheme="majorEastAsia"/>
        </w:rPr>
      </w:pPr>
      <w:r>
        <w:rPr>
          <w:rFonts w:asciiTheme="majorEastAsia" w:eastAsiaTheme="majorEastAsia" w:hAnsiTheme="majorEastAsia" w:hint="eastAsia"/>
        </w:rPr>
        <w:t>「ギャンブル等依存症」という言葉を知ったきっかけは「テレビ・ラジオ（74.9％）」、「新聞・雑誌（33.8％）」、「パンフレット、ポスター、チラシ（18.3％）」の順に多かった。（図表3-1-2）</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【図表3-1-1】</w:t>
      </w:r>
    </w:p>
    <w:p>
      <w:pPr>
        <w:rPr>
          <w:rFonts w:asciiTheme="majorEastAsia" w:eastAsiaTheme="majorEastAsia" w:hAnsiTheme="majorEastAsia"/>
        </w:rPr>
      </w:pPr>
      <w:r>
        <w:rPr>
          <w:noProof/>
        </w:rPr>
        <w:drawing>
          <wp:inline distT="0" distB="0" distL="0" distR="0">
            <wp:extent cx="4867275" cy="923925"/>
            <wp:effectExtent l="0" t="0" r="9525" b="9525"/>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67275" cy="923925"/>
                    </a:xfrm>
                    <a:prstGeom prst="rect">
                      <a:avLst/>
                    </a:prstGeom>
                    <a:noFill/>
                    <a:ln>
                      <a:noFill/>
                    </a:ln>
                  </pic:spPr>
                </pic:pic>
              </a:graphicData>
            </a:graphic>
          </wp:inline>
        </w:drawing>
      </w:r>
    </w:p>
    <w:p>
      <w:pPr>
        <w:rPr>
          <w:rFonts w:asciiTheme="majorEastAsia" w:eastAsiaTheme="majorEastAsia" w:hAnsiTheme="majorEastAsia"/>
        </w:rPr>
      </w:pPr>
      <w:r>
        <w:rPr>
          <w:rFonts w:asciiTheme="majorEastAsia" w:eastAsiaTheme="majorEastAsia" w:hAnsiTheme="majorEastAsia"/>
          <w:noProof/>
        </w:rPr>
        <w:drawing>
          <wp:inline distT="0" distB="0" distL="0" distR="0">
            <wp:extent cx="5248910" cy="1231265"/>
            <wp:effectExtent l="0" t="0" r="8890" b="6985"/>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pPr>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rPr>
        <w:br w:type="page"/>
      </w:r>
    </w:p>
    <w:p>
      <w:pPr>
        <w:rPr>
          <w:rFonts w:asciiTheme="majorEastAsia" w:eastAsiaTheme="majorEastAsia" w:hAnsiTheme="majorEastAsia"/>
        </w:rPr>
      </w:pPr>
      <w:r>
        <w:rPr>
          <w:rFonts w:asciiTheme="majorEastAsia" w:eastAsiaTheme="majorEastAsia" w:hAnsiTheme="majorEastAsia" w:hint="eastAsia"/>
        </w:rPr>
        <w:lastRenderedPageBreak/>
        <w:t>【図表3-1-2】</w:t>
      </w:r>
    </w:p>
    <w:p>
      <w:pPr>
        <w:rPr>
          <w:rFonts w:asciiTheme="majorEastAsia" w:eastAsiaTheme="majorEastAsia" w:hAnsiTheme="majorEastAsia"/>
        </w:rPr>
      </w:pPr>
      <w:r>
        <w:rPr>
          <w:noProof/>
        </w:rPr>
        <w:drawing>
          <wp:inline distT="0" distB="0" distL="0" distR="0">
            <wp:extent cx="4867275" cy="2905125"/>
            <wp:effectExtent l="0" t="0" r="9525"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67275" cy="2905125"/>
                    </a:xfrm>
                    <a:prstGeom prst="rect">
                      <a:avLst/>
                    </a:prstGeom>
                    <a:noFill/>
                    <a:ln>
                      <a:noFill/>
                    </a:ln>
                  </pic:spPr>
                </pic:pic>
              </a:graphicData>
            </a:graphic>
          </wp:inline>
        </w:drawing>
      </w:r>
    </w:p>
    <w:p>
      <w:pPr>
        <w:rPr>
          <w:rFonts w:asciiTheme="majorEastAsia" w:eastAsiaTheme="majorEastAsia" w:hAnsiTheme="majorEastAsia"/>
        </w:rPr>
      </w:pPr>
      <w:r>
        <w:rPr>
          <w:rFonts w:asciiTheme="majorEastAsia" w:eastAsiaTheme="majorEastAsia" w:hAnsiTheme="majorEastAsia"/>
          <w:noProof/>
        </w:rPr>
        <w:drawing>
          <wp:inline distT="0" distB="0" distL="0" distR="0">
            <wp:extent cx="5248910" cy="2451100"/>
            <wp:effectExtent l="0" t="0" r="8890" b="635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48910" cy="2451100"/>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rPr>
        <w:br w:type="page"/>
      </w:r>
    </w:p>
    <w:p>
      <w:pPr>
        <w:rPr>
          <w:rFonts w:asciiTheme="majorEastAsia" w:eastAsiaTheme="majorEastAsia" w:hAnsiTheme="majorEastAsia"/>
          <w:b/>
        </w:rPr>
      </w:pPr>
      <w:r>
        <w:rPr>
          <w:rFonts w:asciiTheme="majorEastAsia" w:eastAsiaTheme="majorEastAsia" w:hAnsiTheme="majorEastAsia" w:hint="eastAsia"/>
          <w:b/>
        </w:rPr>
        <w:lastRenderedPageBreak/>
        <w:t>3-2　ギャンブル等依存症の理解について</w:t>
      </w:r>
    </w:p>
    <w:p>
      <w:pPr>
        <w:rPr>
          <w:rFonts w:asciiTheme="majorEastAsia" w:eastAsiaTheme="majorEastAsia" w:hAnsiTheme="majorEastAsia"/>
        </w:rPr>
      </w:pPr>
      <w:r>
        <w:rPr>
          <w:rFonts w:asciiTheme="majorEastAsia" w:eastAsiaTheme="majorEastAsia" w:hAnsiTheme="majorEastAsia" w:hint="eastAsia"/>
        </w:rPr>
        <w:t xml:space="preserve">　ギャンブル等依存症の理解に関する調査結果を記載する。</w:t>
      </w:r>
    </w:p>
    <w:p>
      <w:pPr>
        <w:rPr>
          <w:rFonts w:asciiTheme="majorEastAsia" w:eastAsiaTheme="majorEastAsia" w:hAnsiTheme="majorEastAsia"/>
        </w:rPr>
      </w:pPr>
    </w:p>
    <w:p>
      <w:pPr>
        <w:ind w:left="210" w:hangingChars="100" w:hanging="210"/>
        <w:rPr>
          <w:rFonts w:asciiTheme="majorEastAsia" w:eastAsiaTheme="majorEastAsia" w:hAnsiTheme="majorEastAsia"/>
        </w:rPr>
      </w:pPr>
      <w:r>
        <w:rPr>
          <w:rFonts w:asciiTheme="majorEastAsia" w:eastAsiaTheme="majorEastAsia" w:hAnsiTheme="majorEastAsia" w:hint="eastAsia"/>
        </w:rPr>
        <w:t>・「ギャンブル等依存症」という言葉を「知っている」と回答した人に対して、ギャンブル等依存症について知っている内容を複数回答で質問した。</w:t>
      </w:r>
    </w:p>
    <w:p>
      <w:pPr>
        <w:rPr>
          <w:rFonts w:asciiTheme="majorEastAsia" w:eastAsiaTheme="majorEastAsia" w:hAnsiTheme="majorEastAsia"/>
        </w:rPr>
      </w:pPr>
    </w:p>
    <w:p>
      <w:pPr>
        <w:pStyle w:val="a3"/>
        <w:numPr>
          <w:ilvl w:val="0"/>
          <w:numId w:val="22"/>
        </w:numPr>
        <w:ind w:leftChars="0"/>
        <w:rPr>
          <w:rFonts w:asciiTheme="majorEastAsia" w:eastAsiaTheme="majorEastAsia" w:hAnsiTheme="majorEastAsia"/>
        </w:rPr>
      </w:pPr>
      <w:r>
        <w:rPr>
          <w:rFonts w:asciiTheme="majorEastAsia" w:eastAsiaTheme="majorEastAsia" w:hAnsiTheme="majorEastAsia" w:hint="eastAsia"/>
        </w:rPr>
        <w:t>ギャンブル等依存症について、「コントロールできない精神疾患である（63.7％）」、「ギャンブル等をしていれば、誰もが依存症になる可能性がある（59.3％）」、「ギャンブル等依存症はゆっくり進行していくため、依存の状態になっていると途中では自分で気付かない（41.0％）」の順に多く知られていた。（図表3-2）</w:t>
      </w:r>
    </w:p>
    <w:p>
      <w:pPr>
        <w:widowControl/>
        <w:jc w:val="left"/>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【図表3-2】</w:t>
      </w:r>
    </w:p>
    <w:p>
      <w:pPr>
        <w:rPr>
          <w:rFonts w:asciiTheme="majorEastAsia" w:eastAsiaTheme="majorEastAsia" w:hAnsiTheme="majorEastAsia"/>
        </w:rPr>
      </w:pPr>
      <w:r>
        <w:rPr>
          <w:noProof/>
        </w:rPr>
        <w:drawing>
          <wp:inline distT="0" distB="0" distL="0" distR="0">
            <wp:extent cx="4867275" cy="1743075"/>
            <wp:effectExtent l="0" t="0" r="9525" b="9525"/>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67275" cy="1743075"/>
                    </a:xfrm>
                    <a:prstGeom prst="rect">
                      <a:avLst/>
                    </a:prstGeom>
                    <a:noFill/>
                    <a:ln>
                      <a:noFill/>
                    </a:ln>
                  </pic:spPr>
                </pic:pic>
              </a:graphicData>
            </a:graphic>
          </wp:inline>
        </w:drawing>
      </w:r>
    </w:p>
    <w:p>
      <w:pPr>
        <w:rPr>
          <w:rFonts w:asciiTheme="majorEastAsia" w:eastAsiaTheme="majorEastAsia" w:hAnsiTheme="majorEastAsia"/>
        </w:rPr>
      </w:pPr>
      <w:r>
        <w:rPr>
          <w:rFonts w:asciiTheme="majorEastAsia" w:eastAsiaTheme="majorEastAsia" w:hAnsiTheme="majorEastAsia"/>
          <w:noProof/>
        </w:rPr>
        <w:drawing>
          <wp:inline distT="0" distB="0" distL="0" distR="0">
            <wp:extent cx="5248910" cy="2078990"/>
            <wp:effectExtent l="0" t="0" r="889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48910" cy="2078990"/>
                    </a:xfrm>
                    <a:prstGeom prst="rect">
                      <a:avLst/>
                    </a:prstGeom>
                    <a:noFill/>
                    <a:ln>
                      <a:noFill/>
                    </a:ln>
                  </pic:spPr>
                </pic:pic>
              </a:graphicData>
            </a:graphic>
          </wp:inline>
        </w:drawing>
      </w:r>
    </w:p>
    <w:p>
      <w:pPr>
        <w:rPr>
          <w:rFonts w:asciiTheme="majorEastAsia" w:eastAsiaTheme="majorEastAsia" w:hAnsiTheme="majorEastAsia"/>
          <w:b/>
          <w:u w:val="single"/>
        </w:rPr>
      </w:pPr>
    </w:p>
    <w:p>
      <w:pPr>
        <w:rPr>
          <w:rFonts w:asciiTheme="majorEastAsia" w:eastAsiaTheme="majorEastAsia" w:hAnsiTheme="majorEastAsia"/>
          <w:b/>
          <w:u w:val="single"/>
        </w:rPr>
      </w:pPr>
    </w:p>
    <w:p>
      <w:pPr>
        <w:widowControl/>
        <w:jc w:val="left"/>
        <w:rPr>
          <w:rFonts w:asciiTheme="majorEastAsia" w:eastAsiaTheme="majorEastAsia" w:hAnsiTheme="majorEastAsia"/>
          <w:b/>
        </w:rPr>
      </w:pPr>
      <w:r>
        <w:rPr>
          <w:rFonts w:asciiTheme="majorEastAsia" w:eastAsiaTheme="majorEastAsia" w:hAnsiTheme="majorEastAsia"/>
          <w:b/>
        </w:rPr>
        <w:br w:type="page"/>
      </w:r>
    </w:p>
    <w:p>
      <w:pPr>
        <w:rPr>
          <w:rFonts w:asciiTheme="majorEastAsia" w:eastAsiaTheme="majorEastAsia" w:hAnsiTheme="majorEastAsia"/>
          <w:b/>
        </w:rPr>
      </w:pPr>
      <w:r>
        <w:rPr>
          <w:rFonts w:asciiTheme="majorEastAsia" w:eastAsiaTheme="majorEastAsia" w:hAnsiTheme="majorEastAsia" w:hint="eastAsia"/>
          <w:b/>
        </w:rPr>
        <w:lastRenderedPageBreak/>
        <w:t>3-3　ギャンブル等依存症の相談窓口の認知</w:t>
      </w:r>
    </w:p>
    <w:p>
      <w:pPr>
        <w:rPr>
          <w:rFonts w:asciiTheme="majorEastAsia" w:eastAsiaTheme="majorEastAsia" w:hAnsiTheme="majorEastAsia"/>
        </w:rPr>
      </w:pPr>
      <w:r>
        <w:rPr>
          <w:rFonts w:asciiTheme="majorEastAsia" w:eastAsiaTheme="majorEastAsia" w:hAnsiTheme="majorEastAsia" w:hint="eastAsia"/>
        </w:rPr>
        <w:t xml:space="preserve">　ギャンブル等依存症の相談窓口の認知についての調査結果を記載する。</w:t>
      </w:r>
    </w:p>
    <w:p>
      <w:pPr>
        <w:rPr>
          <w:rFonts w:asciiTheme="majorEastAsia" w:eastAsiaTheme="majorEastAsia" w:hAnsiTheme="majorEastAsia"/>
        </w:rPr>
      </w:pPr>
    </w:p>
    <w:p>
      <w:pPr>
        <w:ind w:left="210" w:hangingChars="100" w:hanging="210"/>
        <w:rPr>
          <w:rFonts w:asciiTheme="majorEastAsia" w:eastAsiaTheme="majorEastAsia" w:hAnsiTheme="majorEastAsia"/>
        </w:rPr>
      </w:pPr>
      <w:r>
        <w:rPr>
          <w:rFonts w:asciiTheme="majorEastAsia" w:eastAsiaTheme="majorEastAsia" w:hAnsiTheme="majorEastAsia" w:hint="eastAsia"/>
        </w:rPr>
        <w:t>・「ギャンブル等依存症」という言葉を「知っている」と回答した人に対して、ギャンブル等依存症の相談窓口として知っているものを複数回答で質問した。</w:t>
      </w:r>
    </w:p>
    <w:p>
      <w:pPr>
        <w:rPr>
          <w:rFonts w:asciiTheme="majorEastAsia" w:eastAsiaTheme="majorEastAsia" w:hAnsiTheme="majorEastAsia"/>
        </w:rPr>
      </w:pPr>
    </w:p>
    <w:p>
      <w:pPr>
        <w:pStyle w:val="a3"/>
        <w:numPr>
          <w:ilvl w:val="0"/>
          <w:numId w:val="22"/>
        </w:numPr>
        <w:ind w:leftChars="0"/>
        <w:rPr>
          <w:rFonts w:asciiTheme="majorEastAsia" w:eastAsiaTheme="majorEastAsia" w:hAnsiTheme="majorEastAsia"/>
        </w:rPr>
      </w:pPr>
      <w:r>
        <w:rPr>
          <w:rFonts w:asciiTheme="majorEastAsia" w:eastAsiaTheme="majorEastAsia" w:hAnsiTheme="majorEastAsia" w:hint="eastAsia"/>
        </w:rPr>
        <w:t>ギャンブル等依存症の相談窓口として知っているものは、「医療機関（病院や診療所等）（37.1％）」、「公的機関（保健所・保健福祉センターやこころの健康総合センター等）（31.4％）」、「自助グループ（同じ問題・悩みを抱えた人たちが自発的に結びついた集団）（20.7％）」の順に多かった。また、「わからない」と回答した人が43.3％であった。（図表3-3-1）</w:t>
      </w:r>
    </w:p>
    <w:p>
      <w:pPr>
        <w:pStyle w:val="a3"/>
        <w:widowControl/>
        <w:numPr>
          <w:ilvl w:val="0"/>
          <w:numId w:val="22"/>
        </w:numPr>
        <w:ind w:leftChars="0"/>
        <w:jc w:val="left"/>
        <w:rPr>
          <w:rFonts w:asciiTheme="majorEastAsia" w:eastAsiaTheme="majorEastAsia" w:hAnsiTheme="majorEastAsia"/>
        </w:rPr>
      </w:pPr>
      <w:r>
        <w:rPr>
          <w:rFonts w:asciiTheme="majorEastAsia" w:eastAsiaTheme="majorEastAsia" w:hAnsiTheme="majorEastAsia" w:hint="eastAsia"/>
        </w:rPr>
        <w:t>ギャンブル等依存症の相談窓口を知ったきっかけは、「テレビ・ラジオ（64.8％）」、「新聞・雑誌（28.9％）」、「大阪府や市町村の広報紙（23.6％）」の順に多かった。（図表3-3-2）</w:t>
      </w:r>
    </w:p>
    <w:p>
      <w:pPr>
        <w:pStyle w:val="a3"/>
        <w:widowControl/>
        <w:ind w:leftChars="0" w:left="420"/>
        <w:jc w:val="left"/>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【図表3-3-1】</w:t>
      </w:r>
    </w:p>
    <w:p>
      <w:pPr>
        <w:rPr>
          <w:rFonts w:asciiTheme="majorEastAsia" w:eastAsiaTheme="majorEastAsia" w:hAnsiTheme="majorEastAsia"/>
        </w:rPr>
      </w:pPr>
      <w:r>
        <w:rPr>
          <w:noProof/>
        </w:rPr>
        <w:drawing>
          <wp:inline distT="0" distB="0" distL="0" distR="0">
            <wp:extent cx="4867275" cy="1714500"/>
            <wp:effectExtent l="0" t="0" r="9525"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67275" cy="1714500"/>
                    </a:xfrm>
                    <a:prstGeom prst="rect">
                      <a:avLst/>
                    </a:prstGeom>
                    <a:noFill/>
                    <a:ln>
                      <a:noFill/>
                    </a:ln>
                  </pic:spPr>
                </pic:pic>
              </a:graphicData>
            </a:graphic>
          </wp:inline>
        </w:drawing>
      </w:r>
    </w:p>
    <w:p>
      <w:pPr>
        <w:rPr>
          <w:rFonts w:asciiTheme="majorEastAsia" w:eastAsiaTheme="majorEastAsia" w:hAnsiTheme="majorEastAsia"/>
        </w:rPr>
      </w:pPr>
      <w:r>
        <w:rPr>
          <w:rFonts w:asciiTheme="majorEastAsia" w:eastAsiaTheme="majorEastAsia" w:hAnsiTheme="majorEastAsia"/>
          <w:noProof/>
        </w:rPr>
        <w:drawing>
          <wp:inline distT="0" distB="0" distL="0" distR="0">
            <wp:extent cx="5248910" cy="2639695"/>
            <wp:effectExtent l="0" t="0" r="8890" b="825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48910" cy="2639695"/>
                    </a:xfrm>
                    <a:prstGeom prst="rect">
                      <a:avLst/>
                    </a:prstGeom>
                    <a:noFill/>
                    <a:ln>
                      <a:noFill/>
                    </a:ln>
                  </pic:spPr>
                </pic:pic>
              </a:graphicData>
            </a:graphic>
          </wp:inline>
        </w:drawing>
      </w:r>
      <w:r>
        <w:rPr>
          <w:rFonts w:asciiTheme="majorEastAsia" w:eastAsiaTheme="majorEastAsia" w:hAnsiTheme="majorEastAsia"/>
        </w:rPr>
        <w:br w:type="page"/>
      </w:r>
    </w:p>
    <w:p>
      <w:pPr>
        <w:rPr>
          <w:rFonts w:asciiTheme="majorEastAsia" w:eastAsiaTheme="majorEastAsia" w:hAnsiTheme="majorEastAsia"/>
        </w:rPr>
      </w:pPr>
      <w:r>
        <w:rPr>
          <w:rFonts w:asciiTheme="majorEastAsia" w:eastAsiaTheme="majorEastAsia" w:hAnsiTheme="majorEastAsia" w:hint="eastAsia"/>
        </w:rPr>
        <w:lastRenderedPageBreak/>
        <w:t>【図表3-3-2】</w:t>
      </w:r>
    </w:p>
    <w:p>
      <w:pPr>
        <w:rPr>
          <w:rFonts w:asciiTheme="majorEastAsia" w:eastAsiaTheme="majorEastAsia" w:hAnsiTheme="majorEastAsia"/>
        </w:rPr>
      </w:pPr>
      <w:r>
        <w:rPr>
          <w:noProof/>
        </w:rPr>
        <w:drawing>
          <wp:inline distT="0" distB="0" distL="0" distR="0">
            <wp:extent cx="4867275" cy="2914650"/>
            <wp:effectExtent l="0" t="0" r="9525"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67275" cy="2914650"/>
                    </a:xfrm>
                    <a:prstGeom prst="rect">
                      <a:avLst/>
                    </a:prstGeom>
                    <a:noFill/>
                    <a:ln>
                      <a:noFill/>
                    </a:ln>
                  </pic:spPr>
                </pic:pic>
              </a:graphicData>
            </a:graphic>
          </wp:inline>
        </w:drawing>
      </w:r>
    </w:p>
    <w:p>
      <w:pPr>
        <w:rPr>
          <w:rFonts w:asciiTheme="majorEastAsia" w:eastAsiaTheme="majorEastAsia" w:hAnsiTheme="majorEastAsia"/>
        </w:rPr>
      </w:pPr>
      <w:r>
        <w:rPr>
          <w:rFonts w:asciiTheme="majorEastAsia" w:eastAsiaTheme="majorEastAsia" w:hAnsiTheme="majorEastAsia"/>
          <w:noProof/>
        </w:rPr>
        <w:drawing>
          <wp:inline distT="0" distB="0" distL="0" distR="0">
            <wp:extent cx="5248910" cy="2451100"/>
            <wp:effectExtent l="0" t="0" r="8890" b="635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48910" cy="2451100"/>
                    </a:xfrm>
                    <a:prstGeom prst="rect">
                      <a:avLst/>
                    </a:prstGeom>
                    <a:noFill/>
                    <a:ln>
                      <a:noFill/>
                    </a:ln>
                  </pic:spPr>
                </pic:pic>
              </a:graphicData>
            </a:graphic>
          </wp:inline>
        </w:drawing>
      </w:r>
    </w:p>
    <w:p>
      <w:pPr>
        <w:widowControl/>
        <w:jc w:val="left"/>
        <w:rPr>
          <w:rFonts w:asciiTheme="majorEastAsia" w:eastAsiaTheme="majorEastAsia" w:hAnsiTheme="majorEastAsia"/>
          <w:b/>
        </w:rPr>
      </w:pPr>
      <w:r>
        <w:rPr>
          <w:rFonts w:asciiTheme="majorEastAsia" w:eastAsiaTheme="majorEastAsia" w:hAnsiTheme="majorEastAsia"/>
          <w:b/>
        </w:rPr>
        <w:br w:type="page"/>
      </w: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4．【参考】ギャンブル等の参加状況について</w:t>
      </w:r>
    </w:p>
    <w:p>
      <w:pPr>
        <w:rPr>
          <w:rFonts w:asciiTheme="majorEastAsia" w:eastAsiaTheme="majorEastAsia" w:hAnsiTheme="majorEastAsia"/>
        </w:rPr>
      </w:pPr>
      <w:r>
        <w:rPr>
          <w:rFonts w:asciiTheme="majorEastAsia" w:eastAsiaTheme="majorEastAsia" w:hAnsiTheme="majorEastAsia" w:hint="eastAsia"/>
        </w:rPr>
        <w:t xml:space="preserve">　ギャンブル等の参加種目についての調査結果を記載する。</w:t>
      </w:r>
    </w:p>
    <w:p>
      <w:pPr>
        <w:rPr>
          <w:rFonts w:asciiTheme="majorEastAsia" w:eastAsiaTheme="majorEastAsia" w:hAnsiTheme="majorEastAsia"/>
        </w:rPr>
      </w:pPr>
    </w:p>
    <w:p>
      <w:pPr>
        <w:pStyle w:val="a3"/>
        <w:numPr>
          <w:ilvl w:val="0"/>
          <w:numId w:val="27"/>
        </w:numPr>
        <w:ind w:leftChars="0"/>
        <w:rPr>
          <w:rFonts w:asciiTheme="majorEastAsia" w:eastAsiaTheme="majorEastAsia" w:hAnsiTheme="majorEastAsia"/>
        </w:rPr>
      </w:pPr>
      <w:r>
        <w:rPr>
          <w:rFonts w:asciiTheme="majorEastAsia" w:eastAsiaTheme="majorEastAsia" w:hAnsiTheme="majorEastAsia" w:hint="eastAsia"/>
        </w:rPr>
        <w:t>ギャンブル等の参加種目は、「競馬（60.0％）」、「ぱちんこ・パチスロ（55.</w:t>
      </w:r>
      <w:r>
        <w:rPr>
          <w:rFonts w:asciiTheme="majorEastAsia" w:eastAsiaTheme="majorEastAsia" w:hAnsiTheme="majorEastAsia"/>
        </w:rPr>
        <w:t>5</w:t>
      </w:r>
      <w:r>
        <w:rPr>
          <w:rFonts w:asciiTheme="majorEastAsia" w:eastAsiaTheme="majorEastAsia" w:hAnsiTheme="majorEastAsia" w:hint="eastAsia"/>
        </w:rPr>
        <w:t>％）」、「その他（46.9％）」の順に多かった。（図表4）</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【図表4】</w:t>
      </w:r>
    </w:p>
    <w:p>
      <w:pPr>
        <w:rPr>
          <w:rFonts w:asciiTheme="majorEastAsia" w:eastAsiaTheme="majorEastAsia" w:hAnsiTheme="majorEastAsia"/>
        </w:rPr>
      </w:pPr>
      <w:r>
        <w:rPr>
          <w:noProof/>
        </w:rPr>
        <w:drawing>
          <wp:inline distT="0" distB="0" distL="0" distR="0">
            <wp:extent cx="5400040" cy="1956536"/>
            <wp:effectExtent l="0" t="0" r="0" b="571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00040" cy="1956536"/>
                    </a:xfrm>
                    <a:prstGeom prst="rect">
                      <a:avLst/>
                    </a:prstGeom>
                    <a:noFill/>
                    <a:ln>
                      <a:noFill/>
                    </a:ln>
                  </pic:spPr>
                </pic:pic>
              </a:graphicData>
            </a:graphic>
          </wp:inline>
        </w:drawing>
      </w:r>
    </w:p>
    <w:p>
      <w:pPr>
        <w:rPr>
          <w:rFonts w:asciiTheme="majorEastAsia" w:eastAsiaTheme="majorEastAsia" w:hAnsiTheme="majorEastAsia"/>
        </w:rPr>
      </w:pPr>
      <w:r>
        <w:rPr>
          <w:rFonts w:asciiTheme="majorEastAsia" w:eastAsiaTheme="majorEastAsia" w:hAnsiTheme="majorEastAsia"/>
          <w:noProof/>
        </w:rPr>
        <w:drawing>
          <wp:inline distT="0" distB="0" distL="0" distR="0">
            <wp:extent cx="5255260" cy="1840865"/>
            <wp:effectExtent l="0" t="0" r="2540" b="698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55260" cy="1840865"/>
                    </a:xfrm>
                    <a:prstGeom prst="rect">
                      <a:avLst/>
                    </a:prstGeom>
                    <a:noFill/>
                    <a:ln>
                      <a:noFill/>
                    </a:ln>
                  </pic:spPr>
                </pic:pic>
              </a:graphicData>
            </a:graphic>
          </wp:inline>
        </w:drawing>
      </w:r>
    </w:p>
    <w:p>
      <w:pPr>
        <w:widowControl/>
        <w:jc w:val="left"/>
        <w:rPr>
          <w:rFonts w:asciiTheme="majorEastAsia" w:eastAsiaTheme="majorEastAsia" w:hAnsiTheme="majorEastAsia"/>
        </w:rPr>
      </w:pPr>
    </w:p>
    <w:sectPr>
      <w:headerReference w:type="default" r:id="rId34"/>
      <w:footerReference w:type="default" r:id="rId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789203"/>
      <w:docPartObj>
        <w:docPartGallery w:val="Page Numbers (Bottom of Page)"/>
        <w:docPartUnique/>
      </w:docPartObj>
    </w:sdtPr>
    <w:sdtEndPr>
      <w:rPr>
        <w:rFonts w:asciiTheme="majorEastAsia" w:eastAsiaTheme="majorEastAsia" w:hAnsiTheme="majorEastAsia"/>
      </w:rPr>
    </w:sdtEndPr>
    <w:sdtContent>
      <w:p>
        <w:pPr>
          <w:pStyle w:val="a8"/>
          <w:jc w:val="center"/>
          <w:rPr>
            <w:rFonts w:asciiTheme="majorEastAsia" w:eastAsiaTheme="majorEastAsia" w:hAnsiTheme="majorEastAsia"/>
          </w:rPr>
        </w:pPr>
        <w:r>
          <w:rPr>
            <w:rFonts w:asciiTheme="majorEastAsia" w:eastAsiaTheme="majorEastAsia" w:hAnsiTheme="majorEastAsia"/>
            <w:bCs/>
          </w:rPr>
          <w:fldChar w:fldCharType="begin"/>
        </w:r>
        <w:r>
          <w:rPr>
            <w:rFonts w:asciiTheme="majorEastAsia" w:eastAsiaTheme="majorEastAsia" w:hAnsiTheme="majorEastAsia"/>
            <w:bCs/>
          </w:rPr>
          <w:instrText>PAGE  \* Arabic  \* MERGEFORMAT</w:instrText>
        </w:r>
        <w:r>
          <w:rPr>
            <w:rFonts w:asciiTheme="majorEastAsia" w:eastAsiaTheme="majorEastAsia" w:hAnsiTheme="majorEastAsia"/>
            <w:bCs/>
          </w:rPr>
          <w:fldChar w:fldCharType="separate"/>
        </w:r>
        <w:r>
          <w:rPr>
            <w:rFonts w:asciiTheme="majorEastAsia" w:eastAsiaTheme="majorEastAsia" w:hAnsiTheme="majorEastAsia"/>
            <w:bCs/>
            <w:noProof/>
            <w:lang w:val="ja-JP"/>
          </w:rPr>
          <w:t>16</w:t>
        </w:r>
        <w:r>
          <w:rPr>
            <w:rFonts w:asciiTheme="majorEastAsia" w:eastAsiaTheme="majorEastAsia" w:hAnsiTheme="majorEastAsia"/>
            <w:bCs/>
          </w:rPr>
          <w:fldChar w:fldCharType="end"/>
        </w:r>
        <w:r>
          <w:rPr>
            <w:rFonts w:asciiTheme="majorEastAsia" w:eastAsiaTheme="majorEastAsia" w:hAnsiTheme="majorEastAsia"/>
            <w:lang w:val="ja-JP"/>
          </w:rPr>
          <w:t xml:space="preserve"> / </w:t>
        </w:r>
        <w:r>
          <w:rPr>
            <w:rFonts w:asciiTheme="majorEastAsia" w:eastAsiaTheme="majorEastAsia" w:hAnsiTheme="majorEastAsia"/>
            <w:bCs/>
          </w:rPr>
          <w:fldChar w:fldCharType="begin"/>
        </w:r>
        <w:r>
          <w:rPr>
            <w:rFonts w:asciiTheme="majorEastAsia" w:eastAsiaTheme="majorEastAsia" w:hAnsiTheme="majorEastAsia"/>
            <w:bCs/>
          </w:rPr>
          <w:instrText>NUMPAGES  \* Arabic  \* MERGEFORMAT</w:instrText>
        </w:r>
        <w:r>
          <w:rPr>
            <w:rFonts w:asciiTheme="majorEastAsia" w:eastAsiaTheme="majorEastAsia" w:hAnsiTheme="majorEastAsia"/>
            <w:bCs/>
          </w:rPr>
          <w:fldChar w:fldCharType="separate"/>
        </w:r>
        <w:r>
          <w:rPr>
            <w:rFonts w:asciiTheme="majorEastAsia" w:eastAsiaTheme="majorEastAsia" w:hAnsiTheme="majorEastAsia"/>
            <w:bCs/>
            <w:noProof/>
            <w:lang w:val="ja-JP"/>
          </w:rPr>
          <w:t>16</w:t>
        </w:r>
        <w:r>
          <w:rPr>
            <w:rFonts w:asciiTheme="majorEastAsia" w:eastAsiaTheme="majorEastAsia" w:hAnsiTheme="majorEastAsia"/>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tabs>
        <w:tab w:val="left" w:pos="226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C97"/>
    <w:multiLevelType w:val="hybridMultilevel"/>
    <w:tmpl w:val="9DBA983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5A2267"/>
    <w:multiLevelType w:val="hybridMultilevel"/>
    <w:tmpl w:val="3E04A528"/>
    <w:lvl w:ilvl="0" w:tplc="81504A66">
      <w:start w:val="1"/>
      <w:numFmt w:val="decimalEnclosedCircle"/>
      <w:lvlText w:val="%1"/>
      <w:lvlJc w:val="left"/>
      <w:pPr>
        <w:ind w:left="1073" w:hanging="420"/>
      </w:pPr>
      <w:rPr>
        <w:rFonts w:hint="eastAsia"/>
        <w:lang w:val="en-US"/>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2" w15:restartNumberingAfterBreak="0">
    <w:nsid w:val="065C287D"/>
    <w:multiLevelType w:val="hybridMultilevel"/>
    <w:tmpl w:val="DE0AB4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D40726"/>
    <w:multiLevelType w:val="hybridMultilevel"/>
    <w:tmpl w:val="C7BAAEB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2B1018"/>
    <w:multiLevelType w:val="hybridMultilevel"/>
    <w:tmpl w:val="367EED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D83EC7"/>
    <w:multiLevelType w:val="hybridMultilevel"/>
    <w:tmpl w:val="10CE277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F13ED0"/>
    <w:multiLevelType w:val="hybridMultilevel"/>
    <w:tmpl w:val="90B4C2A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2379F4"/>
    <w:multiLevelType w:val="hybridMultilevel"/>
    <w:tmpl w:val="7CE8366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69765B"/>
    <w:multiLevelType w:val="hybridMultilevel"/>
    <w:tmpl w:val="9C1415B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C42155"/>
    <w:multiLevelType w:val="hybridMultilevel"/>
    <w:tmpl w:val="70A61F12"/>
    <w:lvl w:ilvl="0" w:tplc="DC508C2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4B011E9"/>
    <w:multiLevelType w:val="hybridMultilevel"/>
    <w:tmpl w:val="AAE0E76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6B44F0C"/>
    <w:multiLevelType w:val="hybridMultilevel"/>
    <w:tmpl w:val="8A1CE8A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7AB63A2"/>
    <w:multiLevelType w:val="hybridMultilevel"/>
    <w:tmpl w:val="364E960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8AA0489"/>
    <w:multiLevelType w:val="hybridMultilevel"/>
    <w:tmpl w:val="653AEE2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A2509F"/>
    <w:multiLevelType w:val="hybridMultilevel"/>
    <w:tmpl w:val="7598CBC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D882E08"/>
    <w:multiLevelType w:val="hybridMultilevel"/>
    <w:tmpl w:val="3B78BC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38549C3"/>
    <w:multiLevelType w:val="hybridMultilevel"/>
    <w:tmpl w:val="1126335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A552B15"/>
    <w:multiLevelType w:val="hybridMultilevel"/>
    <w:tmpl w:val="4AB096E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5AE42B7A"/>
    <w:multiLevelType w:val="hybridMultilevel"/>
    <w:tmpl w:val="43E652E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0167506"/>
    <w:multiLevelType w:val="hybridMultilevel"/>
    <w:tmpl w:val="8B3AA6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9C0711"/>
    <w:multiLevelType w:val="hybridMultilevel"/>
    <w:tmpl w:val="946097B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63311B64"/>
    <w:multiLevelType w:val="hybridMultilevel"/>
    <w:tmpl w:val="23E8043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5262A84"/>
    <w:multiLevelType w:val="hybridMultilevel"/>
    <w:tmpl w:val="6690284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666154A"/>
    <w:multiLevelType w:val="hybridMultilevel"/>
    <w:tmpl w:val="D488F3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DFC2B1A"/>
    <w:multiLevelType w:val="hybridMultilevel"/>
    <w:tmpl w:val="5920AF1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0293537"/>
    <w:multiLevelType w:val="hybridMultilevel"/>
    <w:tmpl w:val="3BEAF7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A53E0E"/>
    <w:multiLevelType w:val="hybridMultilevel"/>
    <w:tmpl w:val="84A2DD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6"/>
  </w:num>
  <w:num w:numId="3">
    <w:abstractNumId w:val="22"/>
  </w:num>
  <w:num w:numId="4">
    <w:abstractNumId w:val="7"/>
  </w:num>
  <w:num w:numId="5">
    <w:abstractNumId w:val="3"/>
  </w:num>
  <w:num w:numId="6">
    <w:abstractNumId w:val="14"/>
  </w:num>
  <w:num w:numId="7">
    <w:abstractNumId w:val="4"/>
  </w:num>
  <w:num w:numId="8">
    <w:abstractNumId w:val="5"/>
  </w:num>
  <w:num w:numId="9">
    <w:abstractNumId w:val="16"/>
  </w:num>
  <w:num w:numId="10">
    <w:abstractNumId w:val="0"/>
  </w:num>
  <w:num w:numId="11">
    <w:abstractNumId w:val="10"/>
  </w:num>
  <w:num w:numId="12">
    <w:abstractNumId w:val="24"/>
  </w:num>
  <w:num w:numId="13">
    <w:abstractNumId w:val="25"/>
  </w:num>
  <w:num w:numId="14">
    <w:abstractNumId w:val="19"/>
  </w:num>
  <w:num w:numId="15">
    <w:abstractNumId w:val="21"/>
  </w:num>
  <w:num w:numId="16">
    <w:abstractNumId w:val="12"/>
  </w:num>
  <w:num w:numId="17">
    <w:abstractNumId w:val="18"/>
  </w:num>
  <w:num w:numId="18">
    <w:abstractNumId w:val="1"/>
  </w:num>
  <w:num w:numId="19">
    <w:abstractNumId w:val="17"/>
  </w:num>
  <w:num w:numId="20">
    <w:abstractNumId w:val="2"/>
  </w:num>
  <w:num w:numId="21">
    <w:abstractNumId w:val="20"/>
  </w:num>
  <w:num w:numId="22">
    <w:abstractNumId w:val="26"/>
  </w:num>
  <w:num w:numId="23">
    <w:abstractNumId w:val="11"/>
  </w:num>
  <w:num w:numId="24">
    <w:abstractNumId w:val="23"/>
  </w:num>
  <w:num w:numId="25">
    <w:abstractNumId w:val="15"/>
  </w:num>
  <w:num w:numId="26">
    <w:abstractNumId w:val="1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5:docId w15:val="{F2A4CE77-E660-44E6-AD29-7ABAFAE0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paragraph" w:styleId="aa">
    <w:name w:val="Revision"/>
    <w:hidden/>
    <w:uiPriority w:val="99"/>
    <w:semiHidden/>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1178">
      <w:bodyDiv w:val="1"/>
      <w:marLeft w:val="0"/>
      <w:marRight w:val="0"/>
      <w:marTop w:val="0"/>
      <w:marBottom w:val="0"/>
      <w:divBdr>
        <w:top w:val="none" w:sz="0" w:space="0" w:color="auto"/>
        <w:left w:val="none" w:sz="0" w:space="0" w:color="auto"/>
        <w:bottom w:val="none" w:sz="0" w:space="0" w:color="auto"/>
        <w:right w:val="none" w:sz="0" w:space="0" w:color="auto"/>
      </w:divBdr>
    </w:div>
    <w:div w:id="78184661">
      <w:bodyDiv w:val="1"/>
      <w:marLeft w:val="0"/>
      <w:marRight w:val="0"/>
      <w:marTop w:val="0"/>
      <w:marBottom w:val="0"/>
      <w:divBdr>
        <w:top w:val="none" w:sz="0" w:space="0" w:color="auto"/>
        <w:left w:val="none" w:sz="0" w:space="0" w:color="auto"/>
        <w:bottom w:val="none" w:sz="0" w:space="0" w:color="auto"/>
        <w:right w:val="none" w:sz="0" w:space="0" w:color="auto"/>
      </w:divBdr>
    </w:div>
    <w:div w:id="120659932">
      <w:bodyDiv w:val="1"/>
      <w:marLeft w:val="0"/>
      <w:marRight w:val="0"/>
      <w:marTop w:val="0"/>
      <w:marBottom w:val="0"/>
      <w:divBdr>
        <w:top w:val="none" w:sz="0" w:space="0" w:color="auto"/>
        <w:left w:val="none" w:sz="0" w:space="0" w:color="auto"/>
        <w:bottom w:val="none" w:sz="0" w:space="0" w:color="auto"/>
        <w:right w:val="none" w:sz="0" w:space="0" w:color="auto"/>
      </w:divBdr>
    </w:div>
    <w:div w:id="140078173">
      <w:bodyDiv w:val="1"/>
      <w:marLeft w:val="0"/>
      <w:marRight w:val="0"/>
      <w:marTop w:val="0"/>
      <w:marBottom w:val="0"/>
      <w:divBdr>
        <w:top w:val="none" w:sz="0" w:space="0" w:color="auto"/>
        <w:left w:val="none" w:sz="0" w:space="0" w:color="auto"/>
        <w:bottom w:val="none" w:sz="0" w:space="0" w:color="auto"/>
        <w:right w:val="none" w:sz="0" w:space="0" w:color="auto"/>
      </w:divBdr>
    </w:div>
    <w:div w:id="237446466">
      <w:bodyDiv w:val="1"/>
      <w:marLeft w:val="0"/>
      <w:marRight w:val="0"/>
      <w:marTop w:val="0"/>
      <w:marBottom w:val="0"/>
      <w:divBdr>
        <w:top w:val="none" w:sz="0" w:space="0" w:color="auto"/>
        <w:left w:val="none" w:sz="0" w:space="0" w:color="auto"/>
        <w:bottom w:val="none" w:sz="0" w:space="0" w:color="auto"/>
        <w:right w:val="none" w:sz="0" w:space="0" w:color="auto"/>
      </w:divBdr>
    </w:div>
    <w:div w:id="280574549">
      <w:bodyDiv w:val="1"/>
      <w:marLeft w:val="0"/>
      <w:marRight w:val="0"/>
      <w:marTop w:val="0"/>
      <w:marBottom w:val="0"/>
      <w:divBdr>
        <w:top w:val="none" w:sz="0" w:space="0" w:color="auto"/>
        <w:left w:val="none" w:sz="0" w:space="0" w:color="auto"/>
        <w:bottom w:val="none" w:sz="0" w:space="0" w:color="auto"/>
        <w:right w:val="none" w:sz="0" w:space="0" w:color="auto"/>
      </w:divBdr>
    </w:div>
    <w:div w:id="285354498">
      <w:bodyDiv w:val="1"/>
      <w:marLeft w:val="0"/>
      <w:marRight w:val="0"/>
      <w:marTop w:val="0"/>
      <w:marBottom w:val="0"/>
      <w:divBdr>
        <w:top w:val="none" w:sz="0" w:space="0" w:color="auto"/>
        <w:left w:val="none" w:sz="0" w:space="0" w:color="auto"/>
        <w:bottom w:val="none" w:sz="0" w:space="0" w:color="auto"/>
        <w:right w:val="none" w:sz="0" w:space="0" w:color="auto"/>
      </w:divBdr>
    </w:div>
    <w:div w:id="291523966">
      <w:bodyDiv w:val="1"/>
      <w:marLeft w:val="0"/>
      <w:marRight w:val="0"/>
      <w:marTop w:val="0"/>
      <w:marBottom w:val="0"/>
      <w:divBdr>
        <w:top w:val="none" w:sz="0" w:space="0" w:color="auto"/>
        <w:left w:val="none" w:sz="0" w:space="0" w:color="auto"/>
        <w:bottom w:val="none" w:sz="0" w:space="0" w:color="auto"/>
        <w:right w:val="none" w:sz="0" w:space="0" w:color="auto"/>
      </w:divBdr>
    </w:div>
    <w:div w:id="376512115">
      <w:bodyDiv w:val="1"/>
      <w:marLeft w:val="0"/>
      <w:marRight w:val="0"/>
      <w:marTop w:val="0"/>
      <w:marBottom w:val="0"/>
      <w:divBdr>
        <w:top w:val="none" w:sz="0" w:space="0" w:color="auto"/>
        <w:left w:val="none" w:sz="0" w:space="0" w:color="auto"/>
        <w:bottom w:val="none" w:sz="0" w:space="0" w:color="auto"/>
        <w:right w:val="none" w:sz="0" w:space="0" w:color="auto"/>
      </w:divBdr>
    </w:div>
    <w:div w:id="509373063">
      <w:bodyDiv w:val="1"/>
      <w:marLeft w:val="0"/>
      <w:marRight w:val="0"/>
      <w:marTop w:val="0"/>
      <w:marBottom w:val="0"/>
      <w:divBdr>
        <w:top w:val="none" w:sz="0" w:space="0" w:color="auto"/>
        <w:left w:val="none" w:sz="0" w:space="0" w:color="auto"/>
        <w:bottom w:val="none" w:sz="0" w:space="0" w:color="auto"/>
        <w:right w:val="none" w:sz="0" w:space="0" w:color="auto"/>
      </w:divBdr>
    </w:div>
    <w:div w:id="512762689">
      <w:bodyDiv w:val="1"/>
      <w:marLeft w:val="0"/>
      <w:marRight w:val="0"/>
      <w:marTop w:val="0"/>
      <w:marBottom w:val="0"/>
      <w:divBdr>
        <w:top w:val="none" w:sz="0" w:space="0" w:color="auto"/>
        <w:left w:val="none" w:sz="0" w:space="0" w:color="auto"/>
        <w:bottom w:val="none" w:sz="0" w:space="0" w:color="auto"/>
        <w:right w:val="none" w:sz="0" w:space="0" w:color="auto"/>
      </w:divBdr>
    </w:div>
    <w:div w:id="529144282">
      <w:bodyDiv w:val="1"/>
      <w:marLeft w:val="0"/>
      <w:marRight w:val="0"/>
      <w:marTop w:val="0"/>
      <w:marBottom w:val="0"/>
      <w:divBdr>
        <w:top w:val="none" w:sz="0" w:space="0" w:color="auto"/>
        <w:left w:val="none" w:sz="0" w:space="0" w:color="auto"/>
        <w:bottom w:val="none" w:sz="0" w:space="0" w:color="auto"/>
        <w:right w:val="none" w:sz="0" w:space="0" w:color="auto"/>
      </w:divBdr>
    </w:div>
    <w:div w:id="552733609">
      <w:bodyDiv w:val="1"/>
      <w:marLeft w:val="0"/>
      <w:marRight w:val="0"/>
      <w:marTop w:val="0"/>
      <w:marBottom w:val="0"/>
      <w:divBdr>
        <w:top w:val="none" w:sz="0" w:space="0" w:color="auto"/>
        <w:left w:val="none" w:sz="0" w:space="0" w:color="auto"/>
        <w:bottom w:val="none" w:sz="0" w:space="0" w:color="auto"/>
        <w:right w:val="none" w:sz="0" w:space="0" w:color="auto"/>
      </w:divBdr>
    </w:div>
    <w:div w:id="571352616">
      <w:bodyDiv w:val="1"/>
      <w:marLeft w:val="0"/>
      <w:marRight w:val="0"/>
      <w:marTop w:val="0"/>
      <w:marBottom w:val="0"/>
      <w:divBdr>
        <w:top w:val="none" w:sz="0" w:space="0" w:color="auto"/>
        <w:left w:val="none" w:sz="0" w:space="0" w:color="auto"/>
        <w:bottom w:val="none" w:sz="0" w:space="0" w:color="auto"/>
        <w:right w:val="none" w:sz="0" w:space="0" w:color="auto"/>
      </w:divBdr>
    </w:div>
    <w:div w:id="573857827">
      <w:bodyDiv w:val="1"/>
      <w:marLeft w:val="0"/>
      <w:marRight w:val="0"/>
      <w:marTop w:val="0"/>
      <w:marBottom w:val="0"/>
      <w:divBdr>
        <w:top w:val="none" w:sz="0" w:space="0" w:color="auto"/>
        <w:left w:val="none" w:sz="0" w:space="0" w:color="auto"/>
        <w:bottom w:val="none" w:sz="0" w:space="0" w:color="auto"/>
        <w:right w:val="none" w:sz="0" w:space="0" w:color="auto"/>
      </w:divBdr>
    </w:div>
    <w:div w:id="581258252">
      <w:bodyDiv w:val="1"/>
      <w:marLeft w:val="0"/>
      <w:marRight w:val="0"/>
      <w:marTop w:val="0"/>
      <w:marBottom w:val="0"/>
      <w:divBdr>
        <w:top w:val="none" w:sz="0" w:space="0" w:color="auto"/>
        <w:left w:val="none" w:sz="0" w:space="0" w:color="auto"/>
        <w:bottom w:val="none" w:sz="0" w:space="0" w:color="auto"/>
        <w:right w:val="none" w:sz="0" w:space="0" w:color="auto"/>
      </w:divBdr>
    </w:div>
    <w:div w:id="605505230">
      <w:bodyDiv w:val="1"/>
      <w:marLeft w:val="0"/>
      <w:marRight w:val="0"/>
      <w:marTop w:val="0"/>
      <w:marBottom w:val="0"/>
      <w:divBdr>
        <w:top w:val="none" w:sz="0" w:space="0" w:color="auto"/>
        <w:left w:val="none" w:sz="0" w:space="0" w:color="auto"/>
        <w:bottom w:val="none" w:sz="0" w:space="0" w:color="auto"/>
        <w:right w:val="none" w:sz="0" w:space="0" w:color="auto"/>
      </w:divBdr>
    </w:div>
    <w:div w:id="670715792">
      <w:bodyDiv w:val="1"/>
      <w:marLeft w:val="0"/>
      <w:marRight w:val="0"/>
      <w:marTop w:val="0"/>
      <w:marBottom w:val="0"/>
      <w:divBdr>
        <w:top w:val="none" w:sz="0" w:space="0" w:color="auto"/>
        <w:left w:val="none" w:sz="0" w:space="0" w:color="auto"/>
        <w:bottom w:val="none" w:sz="0" w:space="0" w:color="auto"/>
        <w:right w:val="none" w:sz="0" w:space="0" w:color="auto"/>
      </w:divBdr>
    </w:div>
    <w:div w:id="678040403">
      <w:bodyDiv w:val="1"/>
      <w:marLeft w:val="0"/>
      <w:marRight w:val="0"/>
      <w:marTop w:val="0"/>
      <w:marBottom w:val="0"/>
      <w:divBdr>
        <w:top w:val="none" w:sz="0" w:space="0" w:color="auto"/>
        <w:left w:val="none" w:sz="0" w:space="0" w:color="auto"/>
        <w:bottom w:val="none" w:sz="0" w:space="0" w:color="auto"/>
        <w:right w:val="none" w:sz="0" w:space="0" w:color="auto"/>
      </w:divBdr>
    </w:div>
    <w:div w:id="681318398">
      <w:bodyDiv w:val="1"/>
      <w:marLeft w:val="0"/>
      <w:marRight w:val="0"/>
      <w:marTop w:val="0"/>
      <w:marBottom w:val="0"/>
      <w:divBdr>
        <w:top w:val="none" w:sz="0" w:space="0" w:color="auto"/>
        <w:left w:val="none" w:sz="0" w:space="0" w:color="auto"/>
        <w:bottom w:val="none" w:sz="0" w:space="0" w:color="auto"/>
        <w:right w:val="none" w:sz="0" w:space="0" w:color="auto"/>
      </w:divBdr>
    </w:div>
    <w:div w:id="713046015">
      <w:bodyDiv w:val="1"/>
      <w:marLeft w:val="0"/>
      <w:marRight w:val="0"/>
      <w:marTop w:val="0"/>
      <w:marBottom w:val="0"/>
      <w:divBdr>
        <w:top w:val="none" w:sz="0" w:space="0" w:color="auto"/>
        <w:left w:val="none" w:sz="0" w:space="0" w:color="auto"/>
        <w:bottom w:val="none" w:sz="0" w:space="0" w:color="auto"/>
        <w:right w:val="none" w:sz="0" w:space="0" w:color="auto"/>
      </w:divBdr>
    </w:div>
    <w:div w:id="715589217">
      <w:bodyDiv w:val="1"/>
      <w:marLeft w:val="0"/>
      <w:marRight w:val="0"/>
      <w:marTop w:val="0"/>
      <w:marBottom w:val="0"/>
      <w:divBdr>
        <w:top w:val="none" w:sz="0" w:space="0" w:color="auto"/>
        <w:left w:val="none" w:sz="0" w:space="0" w:color="auto"/>
        <w:bottom w:val="none" w:sz="0" w:space="0" w:color="auto"/>
        <w:right w:val="none" w:sz="0" w:space="0" w:color="auto"/>
      </w:divBdr>
    </w:div>
    <w:div w:id="717975614">
      <w:bodyDiv w:val="1"/>
      <w:marLeft w:val="0"/>
      <w:marRight w:val="0"/>
      <w:marTop w:val="0"/>
      <w:marBottom w:val="0"/>
      <w:divBdr>
        <w:top w:val="none" w:sz="0" w:space="0" w:color="auto"/>
        <w:left w:val="none" w:sz="0" w:space="0" w:color="auto"/>
        <w:bottom w:val="none" w:sz="0" w:space="0" w:color="auto"/>
        <w:right w:val="none" w:sz="0" w:space="0" w:color="auto"/>
      </w:divBdr>
    </w:div>
    <w:div w:id="721027130">
      <w:bodyDiv w:val="1"/>
      <w:marLeft w:val="0"/>
      <w:marRight w:val="0"/>
      <w:marTop w:val="0"/>
      <w:marBottom w:val="0"/>
      <w:divBdr>
        <w:top w:val="none" w:sz="0" w:space="0" w:color="auto"/>
        <w:left w:val="none" w:sz="0" w:space="0" w:color="auto"/>
        <w:bottom w:val="none" w:sz="0" w:space="0" w:color="auto"/>
        <w:right w:val="none" w:sz="0" w:space="0" w:color="auto"/>
      </w:divBdr>
    </w:div>
    <w:div w:id="794297527">
      <w:bodyDiv w:val="1"/>
      <w:marLeft w:val="0"/>
      <w:marRight w:val="0"/>
      <w:marTop w:val="0"/>
      <w:marBottom w:val="0"/>
      <w:divBdr>
        <w:top w:val="none" w:sz="0" w:space="0" w:color="auto"/>
        <w:left w:val="none" w:sz="0" w:space="0" w:color="auto"/>
        <w:bottom w:val="none" w:sz="0" w:space="0" w:color="auto"/>
        <w:right w:val="none" w:sz="0" w:space="0" w:color="auto"/>
      </w:divBdr>
    </w:div>
    <w:div w:id="830876074">
      <w:bodyDiv w:val="1"/>
      <w:marLeft w:val="0"/>
      <w:marRight w:val="0"/>
      <w:marTop w:val="0"/>
      <w:marBottom w:val="0"/>
      <w:divBdr>
        <w:top w:val="none" w:sz="0" w:space="0" w:color="auto"/>
        <w:left w:val="none" w:sz="0" w:space="0" w:color="auto"/>
        <w:bottom w:val="none" w:sz="0" w:space="0" w:color="auto"/>
        <w:right w:val="none" w:sz="0" w:space="0" w:color="auto"/>
      </w:divBdr>
    </w:div>
    <w:div w:id="954363231">
      <w:bodyDiv w:val="1"/>
      <w:marLeft w:val="0"/>
      <w:marRight w:val="0"/>
      <w:marTop w:val="0"/>
      <w:marBottom w:val="0"/>
      <w:divBdr>
        <w:top w:val="none" w:sz="0" w:space="0" w:color="auto"/>
        <w:left w:val="none" w:sz="0" w:space="0" w:color="auto"/>
        <w:bottom w:val="none" w:sz="0" w:space="0" w:color="auto"/>
        <w:right w:val="none" w:sz="0" w:space="0" w:color="auto"/>
      </w:divBdr>
    </w:div>
    <w:div w:id="963734226">
      <w:bodyDiv w:val="1"/>
      <w:marLeft w:val="0"/>
      <w:marRight w:val="0"/>
      <w:marTop w:val="0"/>
      <w:marBottom w:val="0"/>
      <w:divBdr>
        <w:top w:val="none" w:sz="0" w:space="0" w:color="auto"/>
        <w:left w:val="none" w:sz="0" w:space="0" w:color="auto"/>
        <w:bottom w:val="none" w:sz="0" w:space="0" w:color="auto"/>
        <w:right w:val="none" w:sz="0" w:space="0" w:color="auto"/>
      </w:divBdr>
    </w:div>
    <w:div w:id="995454809">
      <w:bodyDiv w:val="1"/>
      <w:marLeft w:val="0"/>
      <w:marRight w:val="0"/>
      <w:marTop w:val="0"/>
      <w:marBottom w:val="0"/>
      <w:divBdr>
        <w:top w:val="none" w:sz="0" w:space="0" w:color="auto"/>
        <w:left w:val="none" w:sz="0" w:space="0" w:color="auto"/>
        <w:bottom w:val="none" w:sz="0" w:space="0" w:color="auto"/>
        <w:right w:val="none" w:sz="0" w:space="0" w:color="auto"/>
      </w:divBdr>
    </w:div>
    <w:div w:id="1064525194">
      <w:bodyDiv w:val="1"/>
      <w:marLeft w:val="0"/>
      <w:marRight w:val="0"/>
      <w:marTop w:val="0"/>
      <w:marBottom w:val="0"/>
      <w:divBdr>
        <w:top w:val="none" w:sz="0" w:space="0" w:color="auto"/>
        <w:left w:val="none" w:sz="0" w:space="0" w:color="auto"/>
        <w:bottom w:val="none" w:sz="0" w:space="0" w:color="auto"/>
        <w:right w:val="none" w:sz="0" w:space="0" w:color="auto"/>
      </w:divBdr>
    </w:div>
    <w:div w:id="1170171956">
      <w:bodyDiv w:val="1"/>
      <w:marLeft w:val="0"/>
      <w:marRight w:val="0"/>
      <w:marTop w:val="0"/>
      <w:marBottom w:val="0"/>
      <w:divBdr>
        <w:top w:val="none" w:sz="0" w:space="0" w:color="auto"/>
        <w:left w:val="none" w:sz="0" w:space="0" w:color="auto"/>
        <w:bottom w:val="none" w:sz="0" w:space="0" w:color="auto"/>
        <w:right w:val="none" w:sz="0" w:space="0" w:color="auto"/>
      </w:divBdr>
    </w:div>
    <w:div w:id="1180241029">
      <w:bodyDiv w:val="1"/>
      <w:marLeft w:val="0"/>
      <w:marRight w:val="0"/>
      <w:marTop w:val="0"/>
      <w:marBottom w:val="0"/>
      <w:divBdr>
        <w:top w:val="none" w:sz="0" w:space="0" w:color="auto"/>
        <w:left w:val="none" w:sz="0" w:space="0" w:color="auto"/>
        <w:bottom w:val="none" w:sz="0" w:space="0" w:color="auto"/>
        <w:right w:val="none" w:sz="0" w:space="0" w:color="auto"/>
      </w:divBdr>
    </w:div>
    <w:div w:id="1188717700">
      <w:bodyDiv w:val="1"/>
      <w:marLeft w:val="0"/>
      <w:marRight w:val="0"/>
      <w:marTop w:val="0"/>
      <w:marBottom w:val="0"/>
      <w:divBdr>
        <w:top w:val="none" w:sz="0" w:space="0" w:color="auto"/>
        <w:left w:val="none" w:sz="0" w:space="0" w:color="auto"/>
        <w:bottom w:val="none" w:sz="0" w:space="0" w:color="auto"/>
        <w:right w:val="none" w:sz="0" w:space="0" w:color="auto"/>
      </w:divBdr>
    </w:div>
    <w:div w:id="1199587729">
      <w:bodyDiv w:val="1"/>
      <w:marLeft w:val="0"/>
      <w:marRight w:val="0"/>
      <w:marTop w:val="0"/>
      <w:marBottom w:val="0"/>
      <w:divBdr>
        <w:top w:val="none" w:sz="0" w:space="0" w:color="auto"/>
        <w:left w:val="none" w:sz="0" w:space="0" w:color="auto"/>
        <w:bottom w:val="none" w:sz="0" w:space="0" w:color="auto"/>
        <w:right w:val="none" w:sz="0" w:space="0" w:color="auto"/>
      </w:divBdr>
    </w:div>
    <w:div w:id="1203441495">
      <w:bodyDiv w:val="1"/>
      <w:marLeft w:val="0"/>
      <w:marRight w:val="0"/>
      <w:marTop w:val="0"/>
      <w:marBottom w:val="0"/>
      <w:divBdr>
        <w:top w:val="none" w:sz="0" w:space="0" w:color="auto"/>
        <w:left w:val="none" w:sz="0" w:space="0" w:color="auto"/>
        <w:bottom w:val="none" w:sz="0" w:space="0" w:color="auto"/>
        <w:right w:val="none" w:sz="0" w:space="0" w:color="auto"/>
      </w:divBdr>
    </w:div>
    <w:div w:id="1213225728">
      <w:bodyDiv w:val="1"/>
      <w:marLeft w:val="0"/>
      <w:marRight w:val="0"/>
      <w:marTop w:val="0"/>
      <w:marBottom w:val="0"/>
      <w:divBdr>
        <w:top w:val="none" w:sz="0" w:space="0" w:color="auto"/>
        <w:left w:val="none" w:sz="0" w:space="0" w:color="auto"/>
        <w:bottom w:val="none" w:sz="0" w:space="0" w:color="auto"/>
        <w:right w:val="none" w:sz="0" w:space="0" w:color="auto"/>
      </w:divBdr>
    </w:div>
    <w:div w:id="1252080703">
      <w:bodyDiv w:val="1"/>
      <w:marLeft w:val="0"/>
      <w:marRight w:val="0"/>
      <w:marTop w:val="0"/>
      <w:marBottom w:val="0"/>
      <w:divBdr>
        <w:top w:val="none" w:sz="0" w:space="0" w:color="auto"/>
        <w:left w:val="none" w:sz="0" w:space="0" w:color="auto"/>
        <w:bottom w:val="none" w:sz="0" w:space="0" w:color="auto"/>
        <w:right w:val="none" w:sz="0" w:space="0" w:color="auto"/>
      </w:divBdr>
    </w:div>
    <w:div w:id="1276984761">
      <w:bodyDiv w:val="1"/>
      <w:marLeft w:val="0"/>
      <w:marRight w:val="0"/>
      <w:marTop w:val="0"/>
      <w:marBottom w:val="0"/>
      <w:divBdr>
        <w:top w:val="none" w:sz="0" w:space="0" w:color="auto"/>
        <w:left w:val="none" w:sz="0" w:space="0" w:color="auto"/>
        <w:bottom w:val="none" w:sz="0" w:space="0" w:color="auto"/>
        <w:right w:val="none" w:sz="0" w:space="0" w:color="auto"/>
      </w:divBdr>
    </w:div>
    <w:div w:id="1368527111">
      <w:bodyDiv w:val="1"/>
      <w:marLeft w:val="0"/>
      <w:marRight w:val="0"/>
      <w:marTop w:val="0"/>
      <w:marBottom w:val="0"/>
      <w:divBdr>
        <w:top w:val="none" w:sz="0" w:space="0" w:color="auto"/>
        <w:left w:val="none" w:sz="0" w:space="0" w:color="auto"/>
        <w:bottom w:val="none" w:sz="0" w:space="0" w:color="auto"/>
        <w:right w:val="none" w:sz="0" w:space="0" w:color="auto"/>
      </w:divBdr>
    </w:div>
    <w:div w:id="1394891613">
      <w:bodyDiv w:val="1"/>
      <w:marLeft w:val="0"/>
      <w:marRight w:val="0"/>
      <w:marTop w:val="0"/>
      <w:marBottom w:val="0"/>
      <w:divBdr>
        <w:top w:val="none" w:sz="0" w:space="0" w:color="auto"/>
        <w:left w:val="none" w:sz="0" w:space="0" w:color="auto"/>
        <w:bottom w:val="none" w:sz="0" w:space="0" w:color="auto"/>
        <w:right w:val="none" w:sz="0" w:space="0" w:color="auto"/>
      </w:divBdr>
    </w:div>
    <w:div w:id="1404377434">
      <w:bodyDiv w:val="1"/>
      <w:marLeft w:val="0"/>
      <w:marRight w:val="0"/>
      <w:marTop w:val="0"/>
      <w:marBottom w:val="0"/>
      <w:divBdr>
        <w:top w:val="none" w:sz="0" w:space="0" w:color="auto"/>
        <w:left w:val="none" w:sz="0" w:space="0" w:color="auto"/>
        <w:bottom w:val="none" w:sz="0" w:space="0" w:color="auto"/>
        <w:right w:val="none" w:sz="0" w:space="0" w:color="auto"/>
      </w:divBdr>
    </w:div>
    <w:div w:id="1431660022">
      <w:bodyDiv w:val="1"/>
      <w:marLeft w:val="0"/>
      <w:marRight w:val="0"/>
      <w:marTop w:val="0"/>
      <w:marBottom w:val="0"/>
      <w:divBdr>
        <w:top w:val="none" w:sz="0" w:space="0" w:color="auto"/>
        <w:left w:val="none" w:sz="0" w:space="0" w:color="auto"/>
        <w:bottom w:val="none" w:sz="0" w:space="0" w:color="auto"/>
        <w:right w:val="none" w:sz="0" w:space="0" w:color="auto"/>
      </w:divBdr>
    </w:div>
    <w:div w:id="1439249731">
      <w:bodyDiv w:val="1"/>
      <w:marLeft w:val="0"/>
      <w:marRight w:val="0"/>
      <w:marTop w:val="0"/>
      <w:marBottom w:val="0"/>
      <w:divBdr>
        <w:top w:val="none" w:sz="0" w:space="0" w:color="auto"/>
        <w:left w:val="none" w:sz="0" w:space="0" w:color="auto"/>
        <w:bottom w:val="none" w:sz="0" w:space="0" w:color="auto"/>
        <w:right w:val="none" w:sz="0" w:space="0" w:color="auto"/>
      </w:divBdr>
    </w:div>
    <w:div w:id="1441950964">
      <w:bodyDiv w:val="1"/>
      <w:marLeft w:val="0"/>
      <w:marRight w:val="0"/>
      <w:marTop w:val="0"/>
      <w:marBottom w:val="0"/>
      <w:divBdr>
        <w:top w:val="none" w:sz="0" w:space="0" w:color="auto"/>
        <w:left w:val="none" w:sz="0" w:space="0" w:color="auto"/>
        <w:bottom w:val="none" w:sz="0" w:space="0" w:color="auto"/>
        <w:right w:val="none" w:sz="0" w:space="0" w:color="auto"/>
      </w:divBdr>
    </w:div>
    <w:div w:id="1462841346">
      <w:bodyDiv w:val="1"/>
      <w:marLeft w:val="0"/>
      <w:marRight w:val="0"/>
      <w:marTop w:val="0"/>
      <w:marBottom w:val="0"/>
      <w:divBdr>
        <w:top w:val="none" w:sz="0" w:space="0" w:color="auto"/>
        <w:left w:val="none" w:sz="0" w:space="0" w:color="auto"/>
        <w:bottom w:val="none" w:sz="0" w:space="0" w:color="auto"/>
        <w:right w:val="none" w:sz="0" w:space="0" w:color="auto"/>
      </w:divBdr>
    </w:div>
    <w:div w:id="1472209004">
      <w:bodyDiv w:val="1"/>
      <w:marLeft w:val="0"/>
      <w:marRight w:val="0"/>
      <w:marTop w:val="0"/>
      <w:marBottom w:val="0"/>
      <w:divBdr>
        <w:top w:val="none" w:sz="0" w:space="0" w:color="auto"/>
        <w:left w:val="none" w:sz="0" w:space="0" w:color="auto"/>
        <w:bottom w:val="none" w:sz="0" w:space="0" w:color="auto"/>
        <w:right w:val="none" w:sz="0" w:space="0" w:color="auto"/>
      </w:divBdr>
    </w:div>
    <w:div w:id="1502892056">
      <w:bodyDiv w:val="1"/>
      <w:marLeft w:val="0"/>
      <w:marRight w:val="0"/>
      <w:marTop w:val="0"/>
      <w:marBottom w:val="0"/>
      <w:divBdr>
        <w:top w:val="none" w:sz="0" w:space="0" w:color="auto"/>
        <w:left w:val="none" w:sz="0" w:space="0" w:color="auto"/>
        <w:bottom w:val="none" w:sz="0" w:space="0" w:color="auto"/>
        <w:right w:val="none" w:sz="0" w:space="0" w:color="auto"/>
      </w:divBdr>
    </w:div>
    <w:div w:id="1541087370">
      <w:bodyDiv w:val="1"/>
      <w:marLeft w:val="0"/>
      <w:marRight w:val="0"/>
      <w:marTop w:val="0"/>
      <w:marBottom w:val="0"/>
      <w:divBdr>
        <w:top w:val="none" w:sz="0" w:space="0" w:color="auto"/>
        <w:left w:val="none" w:sz="0" w:space="0" w:color="auto"/>
        <w:bottom w:val="none" w:sz="0" w:space="0" w:color="auto"/>
        <w:right w:val="none" w:sz="0" w:space="0" w:color="auto"/>
      </w:divBdr>
    </w:div>
    <w:div w:id="1558928397">
      <w:bodyDiv w:val="1"/>
      <w:marLeft w:val="0"/>
      <w:marRight w:val="0"/>
      <w:marTop w:val="0"/>
      <w:marBottom w:val="0"/>
      <w:divBdr>
        <w:top w:val="none" w:sz="0" w:space="0" w:color="auto"/>
        <w:left w:val="none" w:sz="0" w:space="0" w:color="auto"/>
        <w:bottom w:val="none" w:sz="0" w:space="0" w:color="auto"/>
        <w:right w:val="none" w:sz="0" w:space="0" w:color="auto"/>
      </w:divBdr>
    </w:div>
    <w:div w:id="1620645789">
      <w:bodyDiv w:val="1"/>
      <w:marLeft w:val="0"/>
      <w:marRight w:val="0"/>
      <w:marTop w:val="0"/>
      <w:marBottom w:val="0"/>
      <w:divBdr>
        <w:top w:val="none" w:sz="0" w:space="0" w:color="auto"/>
        <w:left w:val="none" w:sz="0" w:space="0" w:color="auto"/>
        <w:bottom w:val="none" w:sz="0" w:space="0" w:color="auto"/>
        <w:right w:val="none" w:sz="0" w:space="0" w:color="auto"/>
      </w:divBdr>
    </w:div>
    <w:div w:id="1653370609">
      <w:bodyDiv w:val="1"/>
      <w:marLeft w:val="0"/>
      <w:marRight w:val="0"/>
      <w:marTop w:val="0"/>
      <w:marBottom w:val="0"/>
      <w:divBdr>
        <w:top w:val="none" w:sz="0" w:space="0" w:color="auto"/>
        <w:left w:val="none" w:sz="0" w:space="0" w:color="auto"/>
        <w:bottom w:val="none" w:sz="0" w:space="0" w:color="auto"/>
        <w:right w:val="none" w:sz="0" w:space="0" w:color="auto"/>
      </w:divBdr>
    </w:div>
    <w:div w:id="1662346499">
      <w:bodyDiv w:val="1"/>
      <w:marLeft w:val="0"/>
      <w:marRight w:val="0"/>
      <w:marTop w:val="0"/>
      <w:marBottom w:val="0"/>
      <w:divBdr>
        <w:top w:val="none" w:sz="0" w:space="0" w:color="auto"/>
        <w:left w:val="none" w:sz="0" w:space="0" w:color="auto"/>
        <w:bottom w:val="none" w:sz="0" w:space="0" w:color="auto"/>
        <w:right w:val="none" w:sz="0" w:space="0" w:color="auto"/>
      </w:divBdr>
    </w:div>
    <w:div w:id="1693845107">
      <w:bodyDiv w:val="1"/>
      <w:marLeft w:val="0"/>
      <w:marRight w:val="0"/>
      <w:marTop w:val="0"/>
      <w:marBottom w:val="0"/>
      <w:divBdr>
        <w:top w:val="none" w:sz="0" w:space="0" w:color="auto"/>
        <w:left w:val="none" w:sz="0" w:space="0" w:color="auto"/>
        <w:bottom w:val="none" w:sz="0" w:space="0" w:color="auto"/>
        <w:right w:val="none" w:sz="0" w:space="0" w:color="auto"/>
      </w:divBdr>
    </w:div>
    <w:div w:id="1695375722">
      <w:bodyDiv w:val="1"/>
      <w:marLeft w:val="0"/>
      <w:marRight w:val="0"/>
      <w:marTop w:val="0"/>
      <w:marBottom w:val="0"/>
      <w:divBdr>
        <w:top w:val="none" w:sz="0" w:space="0" w:color="auto"/>
        <w:left w:val="none" w:sz="0" w:space="0" w:color="auto"/>
        <w:bottom w:val="none" w:sz="0" w:space="0" w:color="auto"/>
        <w:right w:val="none" w:sz="0" w:space="0" w:color="auto"/>
      </w:divBdr>
    </w:div>
    <w:div w:id="1711763229">
      <w:bodyDiv w:val="1"/>
      <w:marLeft w:val="0"/>
      <w:marRight w:val="0"/>
      <w:marTop w:val="0"/>
      <w:marBottom w:val="0"/>
      <w:divBdr>
        <w:top w:val="none" w:sz="0" w:space="0" w:color="auto"/>
        <w:left w:val="none" w:sz="0" w:space="0" w:color="auto"/>
        <w:bottom w:val="none" w:sz="0" w:space="0" w:color="auto"/>
        <w:right w:val="none" w:sz="0" w:space="0" w:color="auto"/>
      </w:divBdr>
    </w:div>
    <w:div w:id="1773429335">
      <w:bodyDiv w:val="1"/>
      <w:marLeft w:val="0"/>
      <w:marRight w:val="0"/>
      <w:marTop w:val="0"/>
      <w:marBottom w:val="0"/>
      <w:divBdr>
        <w:top w:val="none" w:sz="0" w:space="0" w:color="auto"/>
        <w:left w:val="none" w:sz="0" w:space="0" w:color="auto"/>
        <w:bottom w:val="none" w:sz="0" w:space="0" w:color="auto"/>
        <w:right w:val="none" w:sz="0" w:space="0" w:color="auto"/>
      </w:divBdr>
    </w:div>
    <w:div w:id="1785538333">
      <w:bodyDiv w:val="1"/>
      <w:marLeft w:val="0"/>
      <w:marRight w:val="0"/>
      <w:marTop w:val="0"/>
      <w:marBottom w:val="0"/>
      <w:divBdr>
        <w:top w:val="none" w:sz="0" w:space="0" w:color="auto"/>
        <w:left w:val="none" w:sz="0" w:space="0" w:color="auto"/>
        <w:bottom w:val="none" w:sz="0" w:space="0" w:color="auto"/>
        <w:right w:val="none" w:sz="0" w:space="0" w:color="auto"/>
      </w:divBdr>
    </w:div>
    <w:div w:id="1835993058">
      <w:bodyDiv w:val="1"/>
      <w:marLeft w:val="0"/>
      <w:marRight w:val="0"/>
      <w:marTop w:val="0"/>
      <w:marBottom w:val="0"/>
      <w:divBdr>
        <w:top w:val="none" w:sz="0" w:space="0" w:color="auto"/>
        <w:left w:val="none" w:sz="0" w:space="0" w:color="auto"/>
        <w:bottom w:val="none" w:sz="0" w:space="0" w:color="auto"/>
        <w:right w:val="none" w:sz="0" w:space="0" w:color="auto"/>
      </w:divBdr>
    </w:div>
    <w:div w:id="1863937325">
      <w:bodyDiv w:val="1"/>
      <w:marLeft w:val="0"/>
      <w:marRight w:val="0"/>
      <w:marTop w:val="0"/>
      <w:marBottom w:val="0"/>
      <w:divBdr>
        <w:top w:val="none" w:sz="0" w:space="0" w:color="auto"/>
        <w:left w:val="none" w:sz="0" w:space="0" w:color="auto"/>
        <w:bottom w:val="none" w:sz="0" w:space="0" w:color="auto"/>
        <w:right w:val="none" w:sz="0" w:space="0" w:color="auto"/>
      </w:divBdr>
    </w:div>
    <w:div w:id="1866017266">
      <w:bodyDiv w:val="1"/>
      <w:marLeft w:val="0"/>
      <w:marRight w:val="0"/>
      <w:marTop w:val="0"/>
      <w:marBottom w:val="0"/>
      <w:divBdr>
        <w:top w:val="none" w:sz="0" w:space="0" w:color="auto"/>
        <w:left w:val="none" w:sz="0" w:space="0" w:color="auto"/>
        <w:bottom w:val="none" w:sz="0" w:space="0" w:color="auto"/>
        <w:right w:val="none" w:sz="0" w:space="0" w:color="auto"/>
      </w:divBdr>
    </w:div>
    <w:div w:id="1878273590">
      <w:bodyDiv w:val="1"/>
      <w:marLeft w:val="0"/>
      <w:marRight w:val="0"/>
      <w:marTop w:val="0"/>
      <w:marBottom w:val="0"/>
      <w:divBdr>
        <w:top w:val="none" w:sz="0" w:space="0" w:color="auto"/>
        <w:left w:val="none" w:sz="0" w:space="0" w:color="auto"/>
        <w:bottom w:val="none" w:sz="0" w:space="0" w:color="auto"/>
        <w:right w:val="none" w:sz="0" w:space="0" w:color="auto"/>
      </w:divBdr>
    </w:div>
    <w:div w:id="1911884152">
      <w:bodyDiv w:val="1"/>
      <w:marLeft w:val="0"/>
      <w:marRight w:val="0"/>
      <w:marTop w:val="0"/>
      <w:marBottom w:val="0"/>
      <w:divBdr>
        <w:top w:val="none" w:sz="0" w:space="0" w:color="auto"/>
        <w:left w:val="none" w:sz="0" w:space="0" w:color="auto"/>
        <w:bottom w:val="none" w:sz="0" w:space="0" w:color="auto"/>
        <w:right w:val="none" w:sz="0" w:space="0" w:color="auto"/>
      </w:divBdr>
    </w:div>
    <w:div w:id="1939174441">
      <w:bodyDiv w:val="1"/>
      <w:marLeft w:val="0"/>
      <w:marRight w:val="0"/>
      <w:marTop w:val="0"/>
      <w:marBottom w:val="0"/>
      <w:divBdr>
        <w:top w:val="none" w:sz="0" w:space="0" w:color="auto"/>
        <w:left w:val="none" w:sz="0" w:space="0" w:color="auto"/>
        <w:bottom w:val="none" w:sz="0" w:space="0" w:color="auto"/>
        <w:right w:val="none" w:sz="0" w:space="0" w:color="auto"/>
      </w:divBdr>
    </w:div>
    <w:div w:id="1952397321">
      <w:bodyDiv w:val="1"/>
      <w:marLeft w:val="0"/>
      <w:marRight w:val="0"/>
      <w:marTop w:val="0"/>
      <w:marBottom w:val="0"/>
      <w:divBdr>
        <w:top w:val="none" w:sz="0" w:space="0" w:color="auto"/>
        <w:left w:val="none" w:sz="0" w:space="0" w:color="auto"/>
        <w:bottom w:val="none" w:sz="0" w:space="0" w:color="auto"/>
        <w:right w:val="none" w:sz="0" w:space="0" w:color="auto"/>
      </w:divBdr>
    </w:div>
    <w:div w:id="1992099251">
      <w:bodyDiv w:val="1"/>
      <w:marLeft w:val="0"/>
      <w:marRight w:val="0"/>
      <w:marTop w:val="0"/>
      <w:marBottom w:val="0"/>
      <w:divBdr>
        <w:top w:val="none" w:sz="0" w:space="0" w:color="auto"/>
        <w:left w:val="none" w:sz="0" w:space="0" w:color="auto"/>
        <w:bottom w:val="none" w:sz="0" w:space="0" w:color="auto"/>
        <w:right w:val="none" w:sz="0" w:space="0" w:color="auto"/>
      </w:divBdr>
    </w:div>
    <w:div w:id="2000965060">
      <w:bodyDiv w:val="1"/>
      <w:marLeft w:val="0"/>
      <w:marRight w:val="0"/>
      <w:marTop w:val="0"/>
      <w:marBottom w:val="0"/>
      <w:divBdr>
        <w:top w:val="none" w:sz="0" w:space="0" w:color="auto"/>
        <w:left w:val="none" w:sz="0" w:space="0" w:color="auto"/>
        <w:bottom w:val="none" w:sz="0" w:space="0" w:color="auto"/>
        <w:right w:val="none" w:sz="0" w:space="0" w:color="auto"/>
      </w:divBdr>
    </w:div>
    <w:div w:id="2047024013">
      <w:bodyDiv w:val="1"/>
      <w:marLeft w:val="0"/>
      <w:marRight w:val="0"/>
      <w:marTop w:val="0"/>
      <w:marBottom w:val="0"/>
      <w:divBdr>
        <w:top w:val="none" w:sz="0" w:space="0" w:color="auto"/>
        <w:left w:val="none" w:sz="0" w:space="0" w:color="auto"/>
        <w:bottom w:val="none" w:sz="0" w:space="0" w:color="auto"/>
        <w:right w:val="none" w:sz="0" w:space="0" w:color="auto"/>
      </w:divBdr>
    </w:div>
    <w:div w:id="2050645027">
      <w:bodyDiv w:val="1"/>
      <w:marLeft w:val="0"/>
      <w:marRight w:val="0"/>
      <w:marTop w:val="0"/>
      <w:marBottom w:val="0"/>
      <w:divBdr>
        <w:top w:val="none" w:sz="0" w:space="0" w:color="auto"/>
        <w:left w:val="none" w:sz="0" w:space="0" w:color="auto"/>
        <w:bottom w:val="none" w:sz="0" w:space="0" w:color="auto"/>
        <w:right w:val="none" w:sz="0" w:space="0" w:color="auto"/>
      </w:divBdr>
    </w:div>
    <w:div w:id="206140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21" Type="http://schemas.openxmlformats.org/officeDocument/2006/relationships/image" Target="media/image14.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28" Type="http://schemas.openxmlformats.org/officeDocument/2006/relationships/image" Target="media/image21.emf"/><Relationship Id="rId36"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png"/><Relationship Id="rId30" Type="http://schemas.openxmlformats.org/officeDocument/2006/relationships/image" Target="media/image23.emf"/><Relationship Id="rId35"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56A67-2338-45E1-B356-D661C66F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16</Pages>
  <Words>681</Words>
  <Characters>3884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2019-11-28T01:44:00Z</cp:lastPrinted>
  <dcterms:created xsi:type="dcterms:W3CDTF">2019-12-02T02:58:00Z</dcterms:created>
  <dcterms:modified xsi:type="dcterms:W3CDTF">2019-12-02T07:18:00Z</dcterms:modified>
</cp:coreProperties>
</file>