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おおさかＱネット「ギャンブル等依存</w:t>
      </w:r>
      <w:bookmarkStart w:id="0" w:name="_GoBack"/>
      <w:bookmarkEnd w:id="0"/>
      <w:r>
        <w:rPr>
          <w:rFonts w:asciiTheme="majorEastAsia" w:eastAsiaTheme="majorEastAsia" w:hAnsiTheme="majorEastAsia" w:hint="eastAsia"/>
          <w:b/>
        </w:rPr>
        <w:t>症」に関するアンケート（全体調査）</w:t>
      </w:r>
    </w:p>
    <w:p>
      <w:pPr>
        <w:ind w:firstLineChars="300" w:firstLine="632"/>
        <w:rPr>
          <w:rFonts w:asciiTheme="majorEastAsia" w:eastAsiaTheme="majorEastAsia" w:hAnsiTheme="majorEastAsia"/>
          <w:b/>
        </w:rPr>
      </w:pPr>
      <w:r>
        <w:rPr>
          <w:rFonts w:asciiTheme="majorEastAsia" w:eastAsiaTheme="majorEastAsia" w:hAnsiTheme="majorEastAsia" w:hint="eastAsia"/>
          <w:b/>
        </w:rPr>
        <w:t>分析結果概要</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5"/>
          <w:kern w:val="0"/>
          <w:fitText w:val="1050" w:id="1531081984"/>
        </w:rPr>
        <w:t>実施期</w:t>
      </w:r>
      <w:r>
        <w:rPr>
          <w:rFonts w:asciiTheme="majorEastAsia" w:eastAsiaTheme="majorEastAsia" w:hAnsiTheme="majorEastAsia" w:hint="eastAsia"/>
          <w:kern w:val="0"/>
          <w:fitText w:val="1050" w:id="1531081984"/>
        </w:rPr>
        <w:t>間</w:t>
      </w:r>
      <w:r>
        <w:rPr>
          <w:rFonts w:asciiTheme="majorEastAsia" w:eastAsiaTheme="majorEastAsia" w:hAnsiTheme="majorEastAsia" w:hint="eastAsia"/>
        </w:rPr>
        <w:t xml:space="preserve">　令和元年９月12日（木）～９月13日（金）</w:t>
      </w:r>
    </w:p>
    <w:p>
      <w:pPr>
        <w:rPr>
          <w:rFonts w:asciiTheme="majorEastAsia" w:eastAsiaTheme="majorEastAsia" w:hAnsiTheme="majorEastAsia"/>
        </w:rPr>
      </w:pP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国勢調査結果（平成27年）に基づく性・年代・居住地（４地域）の割合で割り付けた18歳以上の大阪府民1,000サンプル</w:t>
      </w:r>
    </w:p>
    <w:p>
      <w:pPr>
        <w:ind w:left="1470" w:hangingChars="700" w:hanging="1470"/>
        <w:jc w:val="center"/>
        <w:rPr>
          <w:rFonts w:asciiTheme="majorEastAsia" w:eastAsiaTheme="majorEastAsia" w:hAnsiTheme="majorEastAsia"/>
        </w:rPr>
      </w:pPr>
      <w:r>
        <w:rPr>
          <w:noProof/>
        </w:rPr>
        <w:drawing>
          <wp:inline distT="0" distB="0" distL="0" distR="0">
            <wp:extent cx="4762500" cy="399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p>
    <w:p>
      <w:pPr>
        <w:rPr>
          <w:rFonts w:asciiTheme="majorEastAsia" w:eastAsiaTheme="majorEastAsia" w:hAnsiTheme="majorEastAsia"/>
          <w:sz w:val="16"/>
        </w:rPr>
      </w:pPr>
    </w:p>
    <w:p>
      <w:pPr>
        <w:rPr>
          <w:rFonts w:asciiTheme="majorEastAsia" w:eastAsiaTheme="majorEastAsia" w:hAnsiTheme="majorEastAsia"/>
          <w:sz w:val="16"/>
        </w:rPr>
      </w:pPr>
      <w:r>
        <w:rPr>
          <w:rFonts w:asciiTheme="majorEastAsia" w:eastAsiaTheme="majorEastAsia" w:hAnsiTheme="majorEastAsia" w:hint="eastAsia"/>
          <w:sz w:val="16"/>
        </w:rPr>
        <w:t>大阪市域　　：大阪市</w:t>
      </w:r>
    </w:p>
    <w:p>
      <w:pPr>
        <w:rPr>
          <w:rFonts w:asciiTheme="majorEastAsia" w:eastAsiaTheme="majorEastAsia" w:hAnsiTheme="majorEastAsia"/>
          <w:sz w:val="16"/>
        </w:rPr>
      </w:pPr>
      <w:r>
        <w:rPr>
          <w:rFonts w:asciiTheme="majorEastAsia" w:eastAsiaTheme="majorEastAsia" w:hAnsiTheme="majorEastAsia" w:hint="eastAsia"/>
          <w:sz w:val="16"/>
        </w:rPr>
        <w:t>北部大阪地域：豊中市、池田市、吹田市、高槻市、茨木市、箕面市、摂津市、島本町、豊能町、能勢町</w:t>
      </w:r>
    </w:p>
    <w:p>
      <w:pPr>
        <w:rPr>
          <w:rFonts w:asciiTheme="majorEastAsia" w:eastAsiaTheme="majorEastAsia" w:hAnsiTheme="majorEastAsia"/>
          <w:sz w:val="16"/>
        </w:rPr>
      </w:pPr>
      <w:r>
        <w:rPr>
          <w:rFonts w:asciiTheme="majorEastAsia" w:eastAsiaTheme="majorEastAsia" w:hAnsiTheme="majorEastAsia" w:hint="eastAsia"/>
          <w:sz w:val="16"/>
        </w:rPr>
        <w:t>東部大阪地域：守口市、枚方市、八尾市、寝屋川市、大東市、柏原市、門真市、東大阪市、四條畷市、交野市</w:t>
      </w:r>
    </w:p>
    <w:p>
      <w:pPr>
        <w:ind w:left="1120" w:hangingChars="700" w:hanging="1120"/>
        <w:rPr>
          <w:rFonts w:asciiTheme="majorEastAsia" w:eastAsiaTheme="majorEastAsia" w:hAnsiTheme="majorEastAsia"/>
          <w:sz w:val="16"/>
        </w:rPr>
      </w:pPr>
      <w:r>
        <w:rPr>
          <w:rFonts w:asciiTheme="majorEastAsia" w:eastAsiaTheme="majorEastAsia" w:hAnsiTheme="majorEastAsia" w:hint="eastAsia"/>
          <w:sz w:val="16"/>
        </w:rPr>
        <w:t>南部大阪地域：堺市、岸和田市、泉大津市、貝塚市、泉佐野市、富田林市、河内長野市、松原市、和泉市、羽曳野市、</w:t>
      </w:r>
    </w:p>
    <w:p>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高石市、藤井寺市、泉南市、大阪狭山市、阪南市、忠岡町、熊取町、田尻町、岬町、太子町、河南町、</w:t>
      </w:r>
    </w:p>
    <w:p>
      <w:pPr>
        <w:ind w:leftChars="533" w:left="1119"/>
        <w:rPr>
          <w:rFonts w:asciiTheme="majorEastAsia" w:eastAsiaTheme="majorEastAsia" w:hAnsiTheme="majorEastAsia"/>
          <w:sz w:val="16"/>
        </w:rPr>
      </w:pPr>
      <w:r>
        <w:rPr>
          <w:rFonts w:asciiTheme="majorEastAsia" w:eastAsiaTheme="majorEastAsia" w:hAnsiTheme="majorEastAsia" w:hint="eastAsia"/>
          <w:sz w:val="16"/>
        </w:rPr>
        <w:t>千早赤阪村</w:t>
      </w:r>
    </w:p>
    <w:p>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f0"/>
        <w:tblW w:w="0" w:type="auto"/>
        <w:tblLook w:val="04A0" w:firstRow="1" w:lastRow="0" w:firstColumn="1" w:lastColumn="0" w:noHBand="0" w:noVBand="1"/>
      </w:tblPr>
      <w:tblGrid>
        <w:gridCol w:w="8494"/>
      </w:tblGrid>
      <w:tr>
        <w:tc>
          <w:tcPr>
            <w:tcW w:w="8494" w:type="dxa"/>
          </w:tcPr>
          <w:p>
            <w:pPr>
              <w:rPr>
                <w:rFonts w:asciiTheme="majorEastAsia" w:eastAsiaTheme="majorEastAsia" w:hAnsiTheme="majorEastAsia" w:hint="eastAsia"/>
                <w:b/>
              </w:rPr>
            </w:pPr>
            <w:r>
              <w:rPr>
                <w:rFonts w:asciiTheme="majorEastAsia" w:eastAsiaTheme="majorEastAsia" w:hAnsiTheme="majorEastAsia" w:hint="eastAsia"/>
                <w:b/>
              </w:rPr>
              <w:lastRenderedPageBreak/>
              <w:t>1.　調査目的</w:t>
            </w:r>
          </w:p>
          <w:p>
            <w:pPr>
              <w:rPr>
                <w:rFonts w:asciiTheme="majorEastAsia" w:eastAsiaTheme="majorEastAsia" w:hAnsiTheme="majorEastAsia" w:hint="eastAsia"/>
              </w:rPr>
            </w:pPr>
            <w:r>
              <w:rPr>
                <w:rFonts w:asciiTheme="majorEastAsia" w:eastAsiaTheme="majorEastAsia" w:hAnsiTheme="majorEastAsia" w:hint="eastAsia"/>
              </w:rPr>
              <w:t xml:space="preserve">　平成30年10月に施行された「ギャンブル等依存症対策基本法」に基づき、平成31年4月に策定された「ギャンブル等依存症対策推進基本計画」においては、ギャンブル等依存症に関する関心と理解を深め、その予防を図ることが重要とされている。</w:t>
            </w:r>
          </w:p>
          <w:p>
            <w:pPr>
              <w:rPr>
                <w:rFonts w:asciiTheme="majorEastAsia" w:eastAsiaTheme="majorEastAsia" w:hAnsiTheme="majorEastAsia" w:hint="eastAsia"/>
              </w:rPr>
            </w:pPr>
            <w:r>
              <w:rPr>
                <w:rFonts w:asciiTheme="majorEastAsia" w:eastAsiaTheme="majorEastAsia" w:hAnsiTheme="majorEastAsia" w:hint="eastAsia"/>
              </w:rPr>
              <w:t>そうした中、大阪府民における、ギャンブル等依存症についての理解や、ギャンブル等を行うことによって起こる問題に対する認識を把握し、ギャンブル等依存症に関する取組みの方向性を検討するにあたり、本調査を実施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2.　主な調査（検証）項目</w:t>
            </w:r>
          </w:p>
          <w:p>
            <w:pPr>
              <w:ind w:firstLineChars="100" w:firstLine="210"/>
              <w:rPr>
                <w:rFonts w:asciiTheme="majorEastAsia" w:eastAsiaTheme="majorEastAsia" w:hAnsiTheme="majorEastAsia" w:hint="eastAsia"/>
              </w:rPr>
            </w:pPr>
            <w:r>
              <w:rPr>
                <w:rFonts w:asciiTheme="majorEastAsia" w:eastAsiaTheme="majorEastAsia" w:hAnsiTheme="majorEastAsia" w:hint="eastAsia"/>
              </w:rPr>
              <w:t>仮説：ギャンブル等の参加について、年齢・性別等の属性によって差がある。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3.　主な調査結果</w:t>
            </w:r>
          </w:p>
          <w:p>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仮説：男性の方が女性と比べて、過去1年間にギャンブル等へ参加している割合が高かった。また、20代以下の方が60代以上と比べて、過去1年間にギャンブル等へ参加している割合が高かった。</w:t>
            </w:r>
          </w:p>
          <w:p>
            <w:pPr>
              <w:rPr>
                <w:rFonts w:asciiTheme="majorEastAsia" w:eastAsiaTheme="majorEastAsia" w:hAnsiTheme="majorEastAsia" w:hint="eastAsia"/>
              </w:rPr>
            </w:pPr>
          </w:p>
        </w:tc>
      </w:tr>
    </w:tbl>
    <w:p>
      <w:pPr>
        <w:rPr>
          <w:rFonts w:asciiTheme="majorEastAsia" w:eastAsiaTheme="majorEastAsia" w:hAnsiTheme="majorEastAsia" w:hint="eastAsia"/>
        </w:rPr>
      </w:pPr>
    </w:p>
    <w:p>
      <w:pPr>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1．性別、年代とギャンブル等への参加との関係性</w:t>
      </w:r>
    </w:p>
    <w:p>
      <w:pPr>
        <w:rPr>
          <w:rFonts w:asciiTheme="majorEastAsia" w:eastAsiaTheme="majorEastAsia" w:hAnsiTheme="majorEastAsia"/>
        </w:rPr>
      </w:pPr>
      <w:r>
        <w:rPr>
          <w:rFonts w:asciiTheme="majorEastAsia" w:eastAsiaTheme="majorEastAsia" w:hAnsiTheme="majorEastAsia" w:hint="eastAsia"/>
        </w:rPr>
        <w:t xml:space="preserve">　性別、年齢によって、ギャンブル等への参加状況に違いがあるか検証した。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1-1　（参考）行ったギャンブル等の種類</w:t>
      </w:r>
    </w:p>
    <w:p>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過去1年間にギャンブル等を行ったかどうかについての調査結果を記載する。</w:t>
      </w:r>
    </w:p>
    <w:p>
      <w:pPr>
        <w:ind w:left="210" w:hangingChars="100" w:hanging="210"/>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・過去１年間に選択肢にあげたギャンブル等を行ったかどうかを複数回答で質問した。</w:t>
      </w:r>
    </w:p>
    <w:p>
      <w:pPr>
        <w:ind w:left="210" w:hangingChars="100" w:hanging="210"/>
        <w:rPr>
          <w:rFonts w:asciiTheme="majorEastAsia" w:eastAsiaTheme="majorEastAsia" w:hAnsiTheme="majorEastAsia"/>
        </w:rPr>
      </w:pPr>
    </w:p>
    <w:p>
      <w:pPr>
        <w:pStyle w:val="a3"/>
        <w:numPr>
          <w:ilvl w:val="0"/>
          <w:numId w:val="25"/>
        </w:numPr>
        <w:ind w:leftChars="0"/>
        <w:rPr>
          <w:rFonts w:asciiTheme="majorEastAsia" w:eastAsiaTheme="majorEastAsia" w:hAnsiTheme="majorEastAsia"/>
        </w:rPr>
      </w:pPr>
      <w:r>
        <w:rPr>
          <w:rFonts w:asciiTheme="majorEastAsia" w:eastAsiaTheme="majorEastAsia" w:hAnsiTheme="majorEastAsia" w:hint="eastAsia"/>
        </w:rPr>
        <w:t>過去１年間に行ったギャンブル等は、「宝くじ（ロト・ナンバーズなど）（25.5％）」、「競馬（15.6％）」、「パチンコ・パチスロ（13.9％）」の順に多かった。また、「ギャンブル等へ参加していない」と回答した人は54.0％だった。（図表1-1）</w:t>
      </w:r>
    </w:p>
    <w:p>
      <w:pPr>
        <w:pStyle w:val="a3"/>
        <w:ind w:leftChars="0" w:left="420"/>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【図表1-1】</w:t>
      </w:r>
    </w:p>
    <w:p>
      <w:pPr>
        <w:ind w:left="210" w:hangingChars="100" w:hanging="210"/>
        <w:rPr>
          <w:rFonts w:asciiTheme="majorEastAsia" w:eastAsiaTheme="majorEastAsia" w:hAnsiTheme="majorEastAsia"/>
        </w:rPr>
      </w:pPr>
      <w:r>
        <w:rPr>
          <w:noProof/>
        </w:rPr>
        <w:drawing>
          <wp:inline distT="0" distB="0" distL="0" distR="0">
            <wp:extent cx="5400040" cy="2373931"/>
            <wp:effectExtent l="0" t="0" r="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373931"/>
                    </a:xfrm>
                    <a:prstGeom prst="rect">
                      <a:avLst/>
                    </a:prstGeom>
                    <a:noFill/>
                    <a:ln>
                      <a:noFill/>
                    </a:ln>
                  </pic:spPr>
                </pic:pic>
              </a:graphicData>
            </a:graphic>
          </wp:inline>
        </w:drawing>
      </w:r>
    </w:p>
    <w:p>
      <w:pPr>
        <w:ind w:left="210" w:hangingChars="100" w:hanging="210"/>
        <w:rPr>
          <w:rFonts w:asciiTheme="majorEastAsia" w:eastAsiaTheme="majorEastAsia" w:hAnsiTheme="majorEastAsia"/>
        </w:rPr>
      </w:pPr>
      <w:r>
        <w:rPr>
          <w:rFonts w:asciiTheme="majorEastAsia" w:eastAsiaTheme="majorEastAsia" w:hAnsiTheme="majorEastAsia"/>
          <w:noProof/>
        </w:rPr>
        <w:drawing>
          <wp:inline distT="0" distB="0" distL="0" distR="0">
            <wp:extent cx="5248910" cy="2298700"/>
            <wp:effectExtent l="0" t="0" r="889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10" cy="2298700"/>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ind w:left="211" w:hangingChars="100" w:hanging="211"/>
        <w:rPr>
          <w:rFonts w:asciiTheme="majorEastAsia" w:eastAsiaTheme="majorEastAsia" w:hAnsiTheme="majorEastAsia"/>
          <w:b/>
        </w:rPr>
      </w:pPr>
      <w:r>
        <w:rPr>
          <w:rFonts w:asciiTheme="majorEastAsia" w:eastAsiaTheme="majorEastAsia" w:hAnsiTheme="majorEastAsia" w:hint="eastAsia"/>
          <w:b/>
        </w:rPr>
        <w:lastRenderedPageBreak/>
        <w:t>1-2　性別、年代とギャンブル等への参加との関係性</w:t>
      </w:r>
    </w:p>
    <w:p>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性別、年齢によって、ギャンブル等への参加状況に違いがあるか検証した。</w:t>
      </w:r>
    </w:p>
    <w:p>
      <w:pPr>
        <w:ind w:left="210" w:hangingChars="100" w:hanging="210"/>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過去1年間に行ったギャンブル等の種類を選択する質問において、いずれかのギャンブル等を選択した人を【参加】、「ギャンブル等へ参加していない」を選択した人を【不参加】と定義した。なお、「わからない・覚えていない」を選択した人は除外した。</w:t>
      </w:r>
    </w:p>
    <w:p>
      <w:pPr>
        <w:rPr>
          <w:rFonts w:asciiTheme="majorEastAsia" w:eastAsiaTheme="majorEastAsia" w:hAnsiTheme="majorEastAsia"/>
        </w:rPr>
      </w:pP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性別では、男性の方が女性と比べて、ギャンブル等への【参加】の割合が高かった。</w:t>
      </w:r>
    </w:p>
    <w:p>
      <w:pPr>
        <w:pStyle w:val="a3"/>
        <w:numPr>
          <w:ilvl w:val="0"/>
          <w:numId w:val="22"/>
        </w:numPr>
        <w:ind w:leftChars="0" w:left="426"/>
        <w:rPr>
          <w:rFonts w:asciiTheme="majorEastAsia" w:eastAsiaTheme="majorEastAsia" w:hAnsiTheme="majorEastAsia"/>
        </w:rPr>
      </w:pPr>
      <w:r>
        <w:rPr>
          <w:rFonts w:asciiTheme="majorEastAsia" w:eastAsiaTheme="majorEastAsia" w:hAnsiTheme="majorEastAsia" w:hint="eastAsia"/>
        </w:rPr>
        <w:t>年代では、20代以下の方が60代以上と比べて、ギャンブル等への【参加】の割合が高かった。その他の年代間では統計的な有意差は見られなかった。（図表</w:t>
      </w:r>
      <w:r>
        <w:rPr>
          <w:rFonts w:asciiTheme="majorEastAsia" w:eastAsiaTheme="majorEastAsia" w:hAnsiTheme="majorEastAsia"/>
        </w:rPr>
        <w:t>1</w:t>
      </w:r>
      <w:r>
        <w:rPr>
          <w:rFonts w:asciiTheme="majorEastAsia" w:eastAsiaTheme="majorEastAsia" w:hAnsiTheme="majorEastAsia" w:hint="eastAsia"/>
        </w:rPr>
        <w:t>-2）</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【図表1-2】</w:t>
      </w:r>
    </w:p>
    <w:p>
      <w:pPr>
        <w:rPr>
          <w:rFonts w:asciiTheme="majorEastAsia" w:eastAsiaTheme="majorEastAsia" w:hAnsiTheme="majorEastAsia"/>
        </w:rPr>
      </w:pPr>
      <w:r>
        <w:rPr>
          <w:noProof/>
        </w:rPr>
        <w:drawing>
          <wp:inline distT="0" distB="0" distL="0" distR="0">
            <wp:extent cx="5391150" cy="3600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00450"/>
                    </a:xfrm>
                    <a:prstGeom prst="rect">
                      <a:avLst/>
                    </a:prstGeom>
                    <a:noFill/>
                    <a:ln>
                      <a:noFill/>
                    </a:ln>
                  </pic:spPr>
                </pic:pic>
              </a:graphicData>
            </a:graphic>
          </wp:inline>
        </w:drawing>
      </w:r>
    </w:p>
    <w:p>
      <w:pPr>
        <w:rPr>
          <w:rFonts w:asciiTheme="majorEastAsia" w:eastAsiaTheme="majorEastAsia" w:hAnsiTheme="majorEastAsia"/>
        </w:rPr>
      </w:pPr>
      <w:r>
        <w:rPr>
          <w:noProof/>
        </w:rPr>
        <w:drawing>
          <wp:inline distT="0" distB="0" distL="0" distR="0">
            <wp:extent cx="5400040" cy="137885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37885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2．【参考】ギャンブル等依存症等の認知について</w:t>
      </w:r>
    </w:p>
    <w:p>
      <w:pPr>
        <w:rPr>
          <w:rFonts w:asciiTheme="majorEastAsia" w:eastAsiaTheme="majorEastAsia" w:hAnsiTheme="majorEastAsia"/>
        </w:rPr>
      </w:pPr>
      <w:r>
        <w:rPr>
          <w:rFonts w:asciiTheme="majorEastAsia" w:eastAsiaTheme="majorEastAsia" w:hAnsiTheme="majorEastAsia" w:hint="eastAsia"/>
        </w:rPr>
        <w:t xml:space="preserve">　ギャンブル等依存症やギャンブル等依存症の相談窓口の認知についての調査結果を記載する。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2-1　ギャンブル等依存症の認知率</w:t>
      </w:r>
    </w:p>
    <w:p>
      <w:pPr>
        <w:rPr>
          <w:rFonts w:asciiTheme="majorEastAsia" w:eastAsiaTheme="majorEastAsia" w:hAnsiTheme="majorEastAsia"/>
        </w:rPr>
      </w:pPr>
      <w:r>
        <w:rPr>
          <w:rFonts w:asciiTheme="majorEastAsia" w:eastAsiaTheme="majorEastAsia" w:hAnsiTheme="majorEastAsia" w:hint="eastAsia"/>
        </w:rPr>
        <w:t xml:space="preserve">　ギャンブル等依存症の認知についての調査結果を記載する。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・「ギャンブル等依存症」という言葉を知っているかどうかを調査した。</w:t>
      </w:r>
    </w:p>
    <w:p>
      <w:pPr>
        <w:ind w:left="210" w:hangingChars="100" w:hanging="210"/>
        <w:rPr>
          <w:rFonts w:asciiTheme="majorEastAsia" w:eastAsiaTheme="majorEastAsia" w:hAnsiTheme="majorEastAsia"/>
        </w:rPr>
      </w:pPr>
      <w:r>
        <w:rPr>
          <w:rFonts w:asciiTheme="majorEastAsia" w:eastAsiaTheme="majorEastAsia" w:hAnsiTheme="majorEastAsia" w:hint="eastAsia"/>
        </w:rPr>
        <w:t>・年代について、18歳～39歳を「若年層」、40歳～59歳を「中間層」、60代以上を「高齢層」としている。</w:t>
      </w:r>
    </w:p>
    <w:p>
      <w:pPr>
        <w:ind w:left="210" w:hangingChars="100" w:hanging="210"/>
        <w:rPr>
          <w:rFonts w:asciiTheme="majorEastAsia" w:eastAsiaTheme="majorEastAsia" w:hAnsiTheme="majorEastAsia"/>
        </w:rPr>
      </w:pP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「ギャンブル等依存症」という言葉の認知率は94.0％だった。（図表2-1-1）</w:t>
      </w: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年代・性別でみると、若年層の女性が中間層や高齢層と比べて低く、高齢層の男性が他の年代・性別と比べて高かった。（図表2-1-2）</w:t>
      </w: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「ギャンブル等依存症」という言葉を知ったきっかけは「テレビ・ラジオ（77.4％）」、「新聞・雑誌（30.2％）」、「ホームページ、インターネット（13.2％）」の順に多かった。（図表2-1-3）</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【図表2-1-1】</w:t>
      </w:r>
    </w:p>
    <w:p>
      <w:pPr>
        <w:rPr>
          <w:rFonts w:asciiTheme="majorEastAsia" w:eastAsiaTheme="majorEastAsia" w:hAnsiTheme="majorEastAsia"/>
        </w:rPr>
      </w:pPr>
      <w:r>
        <w:rPr>
          <w:noProof/>
        </w:rPr>
        <w:drawing>
          <wp:inline distT="0" distB="0" distL="0" distR="0">
            <wp:extent cx="4867275" cy="923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231265"/>
            <wp:effectExtent l="0" t="0" r="8890" b="698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【図表2-1-2】</w:t>
      </w:r>
    </w:p>
    <w:p>
      <w:pPr>
        <w:widowControl/>
        <w:jc w:val="left"/>
        <w:rPr>
          <w:rFonts w:asciiTheme="majorEastAsia" w:eastAsiaTheme="majorEastAsia" w:hAnsiTheme="majorEastAsia"/>
        </w:rPr>
      </w:pPr>
      <w:r>
        <w:rPr>
          <w:noProof/>
        </w:rPr>
        <w:drawing>
          <wp:inline distT="0" distB="0" distL="0" distR="0">
            <wp:extent cx="5400040" cy="2857236"/>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857236"/>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400040" cy="1463201"/>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463201"/>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【図表2-1-3】</w:t>
      </w:r>
    </w:p>
    <w:p>
      <w:pPr>
        <w:rPr>
          <w:rFonts w:asciiTheme="majorEastAsia" w:eastAsiaTheme="majorEastAsia" w:hAnsiTheme="majorEastAsia"/>
        </w:rPr>
      </w:pPr>
      <w:r>
        <w:rPr>
          <w:noProof/>
        </w:rPr>
        <w:drawing>
          <wp:inline distT="0" distB="0" distL="0" distR="0">
            <wp:extent cx="4867275" cy="29337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293370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extent cx="5248910" cy="2451100"/>
            <wp:effectExtent l="0" t="0" r="889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910" cy="2451100"/>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2-2　ギャンブル等依存症の理解について</w:t>
      </w:r>
    </w:p>
    <w:p>
      <w:pPr>
        <w:rPr>
          <w:rFonts w:asciiTheme="majorEastAsia" w:eastAsiaTheme="majorEastAsia" w:hAnsiTheme="majorEastAsia"/>
        </w:rPr>
      </w:pPr>
      <w:r>
        <w:rPr>
          <w:rFonts w:asciiTheme="majorEastAsia" w:eastAsiaTheme="majorEastAsia" w:hAnsiTheme="majorEastAsia" w:hint="eastAsia"/>
        </w:rPr>
        <w:t xml:space="preserve">　ギャンブル等依存症の理解に関する調査結果を記載する。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・「ギャンブル等依存症」という言葉を「知っている」と回答した人に対して、ギャンブル等依存症について知っている内容を複数回答で質問した。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ギャンブル等依存症について、「コントロールできない精神疾患である（70.7％）」、「ギャンブル等をしていれば、誰もが依存症になる可能性がある（53.4％）」、「ギャンブル等依存症はゆっくり進行していくため、依存の状態になっていると途中では自分で気付かない（41.0％）」の順に多く知られていた。（図表2-2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【図表2-2】</w:t>
      </w:r>
    </w:p>
    <w:p>
      <w:pPr>
        <w:rPr>
          <w:rFonts w:asciiTheme="majorEastAsia" w:eastAsiaTheme="majorEastAsia" w:hAnsiTheme="majorEastAsia"/>
        </w:rPr>
      </w:pPr>
      <w:r>
        <w:rPr>
          <w:noProof/>
        </w:rPr>
        <w:drawing>
          <wp:inline distT="0" distB="0" distL="0" distR="0">
            <wp:extent cx="4867275" cy="1733550"/>
            <wp:effectExtent l="0" t="0" r="9525"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7275" cy="173355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extent cx="5248910" cy="2023745"/>
            <wp:effectExtent l="0" t="0" r="889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910" cy="2023745"/>
                    </a:xfrm>
                    <a:prstGeom prst="rect">
                      <a:avLst/>
                    </a:prstGeom>
                    <a:noFill/>
                    <a:ln>
                      <a:noFill/>
                    </a:ln>
                  </pic:spPr>
                </pic:pic>
              </a:graphicData>
            </a:graphic>
          </wp:inline>
        </w:drawing>
      </w: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rPr>
      </w:pPr>
      <w:r>
        <w:rPr>
          <w:rFonts w:asciiTheme="majorEastAsia" w:eastAsiaTheme="majorEastAsia" w:hAnsiTheme="majorEastAsia" w:hint="eastAsia"/>
          <w:b/>
        </w:rPr>
        <w:t>2-3　ギャンブル等依存症の相談窓口の認知</w:t>
      </w:r>
    </w:p>
    <w:p>
      <w:pPr>
        <w:rPr>
          <w:rFonts w:asciiTheme="majorEastAsia" w:eastAsiaTheme="majorEastAsia" w:hAnsiTheme="majorEastAsia"/>
        </w:rPr>
      </w:pPr>
      <w:r>
        <w:rPr>
          <w:rFonts w:asciiTheme="majorEastAsia" w:eastAsiaTheme="majorEastAsia" w:hAnsiTheme="majorEastAsia" w:hint="eastAsia"/>
        </w:rPr>
        <w:t xml:space="preserve">　ギャンブル等依存症の相談窓口の認知についての調査結果を記載する。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・「ギャンブル等依存症」という言葉を「知っている」と回答した人に対して、ギャンブル等依存症の相談窓口として知っているものを複数回答で質問した。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ギャンブル等依存症の相談窓口として知っているものは、「医療機関（病院や診療所等）（42.9％）」、「公的機関（保健所・保健福祉センターやこころの健康総合センター等）（34.8％）」、「自助グループ（同じ問題・悩みを抱えた人たちが自発的に結びついた集団）（20.4％）」の順に多かった。また、「わからない」と回答した人が39.5％であった。（図表2-3-1）</w:t>
      </w:r>
    </w:p>
    <w:p>
      <w:pPr>
        <w:pStyle w:val="a3"/>
        <w:widowControl/>
        <w:numPr>
          <w:ilvl w:val="0"/>
          <w:numId w:val="22"/>
        </w:numPr>
        <w:ind w:leftChars="0"/>
        <w:jc w:val="left"/>
        <w:rPr>
          <w:rFonts w:asciiTheme="majorEastAsia" w:eastAsiaTheme="majorEastAsia" w:hAnsiTheme="majorEastAsia"/>
        </w:rPr>
      </w:pPr>
      <w:r>
        <w:rPr>
          <w:rFonts w:asciiTheme="majorEastAsia" w:eastAsiaTheme="majorEastAsia" w:hAnsiTheme="majorEastAsia" w:hint="eastAsia"/>
        </w:rPr>
        <w:t>ギャンブル等依存症の相談窓口を知ったきっかけは、「テレビ・ラジオ（64.0％）」、「新聞・雑誌（26.0％）」、「大阪府や市町村の広報紙（23.2％）」の順に多かった。（図表2-3-2）</w:t>
      </w:r>
    </w:p>
    <w:p>
      <w:pPr>
        <w:pStyle w:val="a3"/>
        <w:widowControl/>
        <w:ind w:leftChars="0" w:left="420"/>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【図表2-3-1】</w:t>
      </w:r>
    </w:p>
    <w:p>
      <w:pPr>
        <w:rPr>
          <w:rFonts w:asciiTheme="majorEastAsia" w:eastAsiaTheme="majorEastAsia" w:hAnsiTheme="majorEastAsia"/>
        </w:rPr>
      </w:pPr>
      <w:r>
        <w:rPr>
          <w:rFonts w:hint="eastAsia"/>
          <w:noProof/>
        </w:rPr>
        <w:drawing>
          <wp:inline distT="0" distB="0" distL="0" distR="0">
            <wp:extent cx="5400040" cy="167827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678273"/>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extent cx="5248910" cy="2707005"/>
            <wp:effectExtent l="0" t="0" r="889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910" cy="270700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hint="eastAsia"/>
        </w:rPr>
        <w:t>【図表2-3-2】</w:t>
      </w:r>
    </w:p>
    <w:p>
      <w:pPr>
        <w:rPr>
          <w:rFonts w:asciiTheme="majorEastAsia" w:eastAsiaTheme="majorEastAsia" w:hAnsiTheme="majorEastAsia"/>
        </w:rPr>
      </w:pPr>
      <w:r>
        <w:rPr>
          <w:noProof/>
        </w:rPr>
        <w:drawing>
          <wp:inline distT="0" distB="0" distL="0" distR="0">
            <wp:extent cx="4867275" cy="293370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7275" cy="293370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25400</wp:posOffset>
            </wp:positionV>
            <wp:extent cx="5248910" cy="2451100"/>
            <wp:effectExtent l="0" t="0" r="889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8910" cy="2451100"/>
                    </a:xfrm>
                    <a:prstGeom prst="rect">
                      <a:avLst/>
                    </a:prstGeom>
                    <a:noFill/>
                    <a:ln>
                      <a:noFill/>
                    </a:ln>
                  </pic:spPr>
                </pic:pic>
              </a:graphicData>
            </a:graphic>
          </wp:anchor>
        </w:drawing>
      </w:r>
    </w:p>
    <w:sectPr>
      <w:headerReference w:type="default" r:id="rId25"/>
      <w:footerReference w:type="default" r:id="rI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9555"/>
      <w:docPartObj>
        <w:docPartGallery w:val="Page Numbers (Bottom of Page)"/>
        <w:docPartUnique/>
      </w:docPartObj>
    </w:sdtPr>
    <w:sdtEndPr>
      <w:rPr>
        <w:rFonts w:asciiTheme="majorEastAsia" w:eastAsiaTheme="majorEastAsia" w:hAnsiTheme="majorEastAsia"/>
      </w:rPr>
    </w:sdtEndPr>
    <w:sdtContent>
      <w:p>
        <w:pPr>
          <w:pStyle w:val="a8"/>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PAGE   \* MERGEFORMAT</w:instrText>
        </w:r>
        <w:r>
          <w:rPr>
            <w:rFonts w:asciiTheme="majorEastAsia" w:eastAsiaTheme="majorEastAsia" w:hAnsiTheme="majorEastAsia"/>
          </w:rPr>
          <w:fldChar w:fldCharType="separate"/>
        </w:r>
        <w:r>
          <w:rPr>
            <w:rFonts w:asciiTheme="majorEastAsia" w:eastAsiaTheme="majorEastAsia" w:hAnsiTheme="majorEastAsia"/>
            <w:noProof/>
            <w:lang w:val="ja-JP"/>
          </w:rPr>
          <w:t>1</w:t>
        </w:r>
        <w:r>
          <w:rPr>
            <w:rFonts w:asciiTheme="majorEastAsia" w:eastAsiaTheme="majorEastAsia" w:hAnsiTheme="majorEastAsia"/>
          </w:rPr>
          <w:fldChar w:fldCharType="end"/>
        </w:r>
        <w:r>
          <w:rPr>
            <w:rFonts w:asciiTheme="majorEastAsia" w:eastAsiaTheme="majorEastAsia" w:hAnsiTheme="majorEastAsia" w:hint="eastAsia"/>
          </w:rPr>
          <w:t>/9</w:t>
        </w:r>
      </w:p>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A2267"/>
    <w:multiLevelType w:val="hybridMultilevel"/>
    <w:tmpl w:val="3E04A528"/>
    <w:lvl w:ilvl="0" w:tplc="81504A66">
      <w:start w:val="1"/>
      <w:numFmt w:val="decimalEnclosedCircle"/>
      <w:lvlText w:val="%1"/>
      <w:lvlJc w:val="left"/>
      <w:pPr>
        <w:ind w:left="1073" w:hanging="420"/>
      </w:pPr>
      <w:rPr>
        <w:rFonts w:hint="eastAsia"/>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65C287D"/>
    <w:multiLevelType w:val="hybridMultilevel"/>
    <w:tmpl w:val="DE0AB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B44F0C"/>
    <w:multiLevelType w:val="hybridMultilevel"/>
    <w:tmpl w:val="8A1CE8A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75C0E40"/>
    <w:multiLevelType w:val="hybridMultilevel"/>
    <w:tmpl w:val="B7244D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882E08"/>
    <w:multiLevelType w:val="hybridMultilevel"/>
    <w:tmpl w:val="3B78BC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552B15"/>
    <w:multiLevelType w:val="hybridMultilevel"/>
    <w:tmpl w:val="4AB096E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9C0711"/>
    <w:multiLevelType w:val="hybridMultilevel"/>
    <w:tmpl w:val="946097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66154A"/>
    <w:multiLevelType w:val="hybridMultilevel"/>
    <w:tmpl w:val="D488F3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A53E0E"/>
    <w:multiLevelType w:val="hybridMultilevel"/>
    <w:tmpl w:val="DDBE49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3"/>
  </w:num>
  <w:num w:numId="6">
    <w:abstractNumId w:val="13"/>
  </w:num>
  <w:num w:numId="7">
    <w:abstractNumId w:val="4"/>
  </w:num>
  <w:num w:numId="8">
    <w:abstractNumId w:val="5"/>
  </w:num>
  <w:num w:numId="9">
    <w:abstractNumId w:val="15"/>
  </w:num>
  <w:num w:numId="10">
    <w:abstractNumId w:val="0"/>
  </w:num>
  <w:num w:numId="11">
    <w:abstractNumId w:val="9"/>
  </w:num>
  <w:num w:numId="12">
    <w:abstractNumId w:val="23"/>
  </w:num>
  <w:num w:numId="13">
    <w:abstractNumId w:val="24"/>
  </w:num>
  <w:num w:numId="14">
    <w:abstractNumId w:val="18"/>
  </w:num>
  <w:num w:numId="15">
    <w:abstractNumId w:val="20"/>
  </w:num>
  <w:num w:numId="16">
    <w:abstractNumId w:val="12"/>
  </w:num>
  <w:num w:numId="17">
    <w:abstractNumId w:val="17"/>
  </w:num>
  <w:num w:numId="18">
    <w:abstractNumId w:val="1"/>
  </w:num>
  <w:num w:numId="19">
    <w:abstractNumId w:val="16"/>
  </w:num>
  <w:num w:numId="20">
    <w:abstractNumId w:val="2"/>
  </w:num>
  <w:num w:numId="21">
    <w:abstractNumId w:val="19"/>
  </w:num>
  <w:num w:numId="22">
    <w:abstractNumId w:val="25"/>
  </w:num>
  <w:num w:numId="23">
    <w:abstractNumId w:val="10"/>
  </w:num>
  <w:num w:numId="24">
    <w:abstractNumId w:val="2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F2A4CE77-E660-44E6-AD29-7ABAFAE0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Revision"/>
    <w:hidden/>
    <w:uiPriority w:val="99"/>
    <w:semiHidden/>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178">
      <w:bodyDiv w:val="1"/>
      <w:marLeft w:val="0"/>
      <w:marRight w:val="0"/>
      <w:marTop w:val="0"/>
      <w:marBottom w:val="0"/>
      <w:divBdr>
        <w:top w:val="none" w:sz="0" w:space="0" w:color="auto"/>
        <w:left w:val="none" w:sz="0" w:space="0" w:color="auto"/>
        <w:bottom w:val="none" w:sz="0" w:space="0" w:color="auto"/>
        <w:right w:val="none" w:sz="0" w:space="0" w:color="auto"/>
      </w:divBdr>
    </w:div>
    <w:div w:id="78184661">
      <w:bodyDiv w:val="1"/>
      <w:marLeft w:val="0"/>
      <w:marRight w:val="0"/>
      <w:marTop w:val="0"/>
      <w:marBottom w:val="0"/>
      <w:divBdr>
        <w:top w:val="none" w:sz="0" w:space="0" w:color="auto"/>
        <w:left w:val="none" w:sz="0" w:space="0" w:color="auto"/>
        <w:bottom w:val="none" w:sz="0" w:space="0" w:color="auto"/>
        <w:right w:val="none" w:sz="0" w:space="0" w:color="auto"/>
      </w:divBdr>
    </w:div>
    <w:div w:id="120659932">
      <w:bodyDiv w:val="1"/>
      <w:marLeft w:val="0"/>
      <w:marRight w:val="0"/>
      <w:marTop w:val="0"/>
      <w:marBottom w:val="0"/>
      <w:divBdr>
        <w:top w:val="none" w:sz="0" w:space="0" w:color="auto"/>
        <w:left w:val="none" w:sz="0" w:space="0" w:color="auto"/>
        <w:bottom w:val="none" w:sz="0" w:space="0" w:color="auto"/>
        <w:right w:val="none" w:sz="0" w:space="0" w:color="auto"/>
      </w:divBdr>
    </w:div>
    <w:div w:id="140078173">
      <w:bodyDiv w:val="1"/>
      <w:marLeft w:val="0"/>
      <w:marRight w:val="0"/>
      <w:marTop w:val="0"/>
      <w:marBottom w:val="0"/>
      <w:divBdr>
        <w:top w:val="none" w:sz="0" w:space="0" w:color="auto"/>
        <w:left w:val="none" w:sz="0" w:space="0" w:color="auto"/>
        <w:bottom w:val="none" w:sz="0" w:space="0" w:color="auto"/>
        <w:right w:val="none" w:sz="0" w:space="0" w:color="auto"/>
      </w:divBdr>
    </w:div>
    <w:div w:id="146437458">
      <w:bodyDiv w:val="1"/>
      <w:marLeft w:val="0"/>
      <w:marRight w:val="0"/>
      <w:marTop w:val="0"/>
      <w:marBottom w:val="0"/>
      <w:divBdr>
        <w:top w:val="none" w:sz="0" w:space="0" w:color="auto"/>
        <w:left w:val="none" w:sz="0" w:space="0" w:color="auto"/>
        <w:bottom w:val="none" w:sz="0" w:space="0" w:color="auto"/>
        <w:right w:val="none" w:sz="0" w:space="0" w:color="auto"/>
      </w:divBdr>
    </w:div>
    <w:div w:id="209267078">
      <w:bodyDiv w:val="1"/>
      <w:marLeft w:val="0"/>
      <w:marRight w:val="0"/>
      <w:marTop w:val="0"/>
      <w:marBottom w:val="0"/>
      <w:divBdr>
        <w:top w:val="none" w:sz="0" w:space="0" w:color="auto"/>
        <w:left w:val="none" w:sz="0" w:space="0" w:color="auto"/>
        <w:bottom w:val="none" w:sz="0" w:space="0" w:color="auto"/>
        <w:right w:val="none" w:sz="0" w:space="0" w:color="auto"/>
      </w:divBdr>
    </w:div>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280574549">
      <w:bodyDiv w:val="1"/>
      <w:marLeft w:val="0"/>
      <w:marRight w:val="0"/>
      <w:marTop w:val="0"/>
      <w:marBottom w:val="0"/>
      <w:divBdr>
        <w:top w:val="none" w:sz="0" w:space="0" w:color="auto"/>
        <w:left w:val="none" w:sz="0" w:space="0" w:color="auto"/>
        <w:bottom w:val="none" w:sz="0" w:space="0" w:color="auto"/>
        <w:right w:val="none" w:sz="0" w:space="0" w:color="auto"/>
      </w:divBdr>
    </w:div>
    <w:div w:id="285354498">
      <w:bodyDiv w:val="1"/>
      <w:marLeft w:val="0"/>
      <w:marRight w:val="0"/>
      <w:marTop w:val="0"/>
      <w:marBottom w:val="0"/>
      <w:divBdr>
        <w:top w:val="none" w:sz="0" w:space="0" w:color="auto"/>
        <w:left w:val="none" w:sz="0" w:space="0" w:color="auto"/>
        <w:bottom w:val="none" w:sz="0" w:space="0" w:color="auto"/>
        <w:right w:val="none" w:sz="0" w:space="0" w:color="auto"/>
      </w:divBdr>
    </w:div>
    <w:div w:id="291523966">
      <w:bodyDiv w:val="1"/>
      <w:marLeft w:val="0"/>
      <w:marRight w:val="0"/>
      <w:marTop w:val="0"/>
      <w:marBottom w:val="0"/>
      <w:divBdr>
        <w:top w:val="none" w:sz="0" w:space="0" w:color="auto"/>
        <w:left w:val="none" w:sz="0" w:space="0" w:color="auto"/>
        <w:bottom w:val="none" w:sz="0" w:space="0" w:color="auto"/>
        <w:right w:val="none" w:sz="0" w:space="0" w:color="auto"/>
      </w:divBdr>
    </w:div>
    <w:div w:id="376512115">
      <w:bodyDiv w:val="1"/>
      <w:marLeft w:val="0"/>
      <w:marRight w:val="0"/>
      <w:marTop w:val="0"/>
      <w:marBottom w:val="0"/>
      <w:divBdr>
        <w:top w:val="none" w:sz="0" w:space="0" w:color="auto"/>
        <w:left w:val="none" w:sz="0" w:space="0" w:color="auto"/>
        <w:bottom w:val="none" w:sz="0" w:space="0" w:color="auto"/>
        <w:right w:val="none" w:sz="0" w:space="0" w:color="auto"/>
      </w:divBdr>
    </w:div>
    <w:div w:id="509373063">
      <w:bodyDiv w:val="1"/>
      <w:marLeft w:val="0"/>
      <w:marRight w:val="0"/>
      <w:marTop w:val="0"/>
      <w:marBottom w:val="0"/>
      <w:divBdr>
        <w:top w:val="none" w:sz="0" w:space="0" w:color="auto"/>
        <w:left w:val="none" w:sz="0" w:space="0" w:color="auto"/>
        <w:bottom w:val="none" w:sz="0" w:space="0" w:color="auto"/>
        <w:right w:val="none" w:sz="0" w:space="0" w:color="auto"/>
      </w:divBdr>
    </w:div>
    <w:div w:id="512762689">
      <w:bodyDiv w:val="1"/>
      <w:marLeft w:val="0"/>
      <w:marRight w:val="0"/>
      <w:marTop w:val="0"/>
      <w:marBottom w:val="0"/>
      <w:divBdr>
        <w:top w:val="none" w:sz="0" w:space="0" w:color="auto"/>
        <w:left w:val="none" w:sz="0" w:space="0" w:color="auto"/>
        <w:bottom w:val="none" w:sz="0" w:space="0" w:color="auto"/>
        <w:right w:val="none" w:sz="0" w:space="0" w:color="auto"/>
      </w:divBdr>
    </w:div>
    <w:div w:id="529144282">
      <w:bodyDiv w:val="1"/>
      <w:marLeft w:val="0"/>
      <w:marRight w:val="0"/>
      <w:marTop w:val="0"/>
      <w:marBottom w:val="0"/>
      <w:divBdr>
        <w:top w:val="none" w:sz="0" w:space="0" w:color="auto"/>
        <w:left w:val="none" w:sz="0" w:space="0" w:color="auto"/>
        <w:bottom w:val="none" w:sz="0" w:space="0" w:color="auto"/>
        <w:right w:val="none" w:sz="0" w:space="0" w:color="auto"/>
      </w:divBdr>
    </w:div>
    <w:div w:id="552733609">
      <w:bodyDiv w:val="1"/>
      <w:marLeft w:val="0"/>
      <w:marRight w:val="0"/>
      <w:marTop w:val="0"/>
      <w:marBottom w:val="0"/>
      <w:divBdr>
        <w:top w:val="none" w:sz="0" w:space="0" w:color="auto"/>
        <w:left w:val="none" w:sz="0" w:space="0" w:color="auto"/>
        <w:bottom w:val="none" w:sz="0" w:space="0" w:color="auto"/>
        <w:right w:val="none" w:sz="0" w:space="0" w:color="auto"/>
      </w:divBdr>
    </w:div>
    <w:div w:id="571352616">
      <w:bodyDiv w:val="1"/>
      <w:marLeft w:val="0"/>
      <w:marRight w:val="0"/>
      <w:marTop w:val="0"/>
      <w:marBottom w:val="0"/>
      <w:divBdr>
        <w:top w:val="none" w:sz="0" w:space="0" w:color="auto"/>
        <w:left w:val="none" w:sz="0" w:space="0" w:color="auto"/>
        <w:bottom w:val="none" w:sz="0" w:space="0" w:color="auto"/>
        <w:right w:val="none" w:sz="0" w:space="0" w:color="auto"/>
      </w:divBdr>
    </w:div>
    <w:div w:id="573857827">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605505230">
      <w:bodyDiv w:val="1"/>
      <w:marLeft w:val="0"/>
      <w:marRight w:val="0"/>
      <w:marTop w:val="0"/>
      <w:marBottom w:val="0"/>
      <w:divBdr>
        <w:top w:val="none" w:sz="0" w:space="0" w:color="auto"/>
        <w:left w:val="none" w:sz="0" w:space="0" w:color="auto"/>
        <w:bottom w:val="none" w:sz="0" w:space="0" w:color="auto"/>
        <w:right w:val="none" w:sz="0" w:space="0" w:color="auto"/>
      </w:divBdr>
    </w:div>
    <w:div w:id="670715792">
      <w:bodyDiv w:val="1"/>
      <w:marLeft w:val="0"/>
      <w:marRight w:val="0"/>
      <w:marTop w:val="0"/>
      <w:marBottom w:val="0"/>
      <w:divBdr>
        <w:top w:val="none" w:sz="0" w:space="0" w:color="auto"/>
        <w:left w:val="none" w:sz="0" w:space="0" w:color="auto"/>
        <w:bottom w:val="none" w:sz="0" w:space="0" w:color="auto"/>
        <w:right w:val="none" w:sz="0" w:space="0" w:color="auto"/>
      </w:divBdr>
    </w:div>
    <w:div w:id="681318398">
      <w:bodyDiv w:val="1"/>
      <w:marLeft w:val="0"/>
      <w:marRight w:val="0"/>
      <w:marTop w:val="0"/>
      <w:marBottom w:val="0"/>
      <w:divBdr>
        <w:top w:val="none" w:sz="0" w:space="0" w:color="auto"/>
        <w:left w:val="none" w:sz="0" w:space="0" w:color="auto"/>
        <w:bottom w:val="none" w:sz="0" w:space="0" w:color="auto"/>
        <w:right w:val="none" w:sz="0" w:space="0" w:color="auto"/>
      </w:divBdr>
    </w:div>
    <w:div w:id="713046015">
      <w:bodyDiv w:val="1"/>
      <w:marLeft w:val="0"/>
      <w:marRight w:val="0"/>
      <w:marTop w:val="0"/>
      <w:marBottom w:val="0"/>
      <w:divBdr>
        <w:top w:val="none" w:sz="0" w:space="0" w:color="auto"/>
        <w:left w:val="none" w:sz="0" w:space="0" w:color="auto"/>
        <w:bottom w:val="none" w:sz="0" w:space="0" w:color="auto"/>
        <w:right w:val="none" w:sz="0" w:space="0" w:color="auto"/>
      </w:divBdr>
    </w:div>
    <w:div w:id="715589217">
      <w:bodyDiv w:val="1"/>
      <w:marLeft w:val="0"/>
      <w:marRight w:val="0"/>
      <w:marTop w:val="0"/>
      <w:marBottom w:val="0"/>
      <w:divBdr>
        <w:top w:val="none" w:sz="0" w:space="0" w:color="auto"/>
        <w:left w:val="none" w:sz="0" w:space="0" w:color="auto"/>
        <w:bottom w:val="none" w:sz="0" w:space="0" w:color="auto"/>
        <w:right w:val="none" w:sz="0" w:space="0" w:color="auto"/>
      </w:divBdr>
    </w:div>
    <w:div w:id="717975614">
      <w:bodyDiv w:val="1"/>
      <w:marLeft w:val="0"/>
      <w:marRight w:val="0"/>
      <w:marTop w:val="0"/>
      <w:marBottom w:val="0"/>
      <w:divBdr>
        <w:top w:val="none" w:sz="0" w:space="0" w:color="auto"/>
        <w:left w:val="none" w:sz="0" w:space="0" w:color="auto"/>
        <w:bottom w:val="none" w:sz="0" w:space="0" w:color="auto"/>
        <w:right w:val="none" w:sz="0" w:space="0" w:color="auto"/>
      </w:divBdr>
    </w:div>
    <w:div w:id="721027130">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830876074">
      <w:bodyDiv w:val="1"/>
      <w:marLeft w:val="0"/>
      <w:marRight w:val="0"/>
      <w:marTop w:val="0"/>
      <w:marBottom w:val="0"/>
      <w:divBdr>
        <w:top w:val="none" w:sz="0" w:space="0" w:color="auto"/>
        <w:left w:val="none" w:sz="0" w:space="0" w:color="auto"/>
        <w:bottom w:val="none" w:sz="0" w:space="0" w:color="auto"/>
        <w:right w:val="none" w:sz="0" w:space="0" w:color="auto"/>
      </w:divBdr>
    </w:div>
    <w:div w:id="954363231">
      <w:bodyDiv w:val="1"/>
      <w:marLeft w:val="0"/>
      <w:marRight w:val="0"/>
      <w:marTop w:val="0"/>
      <w:marBottom w:val="0"/>
      <w:divBdr>
        <w:top w:val="none" w:sz="0" w:space="0" w:color="auto"/>
        <w:left w:val="none" w:sz="0" w:space="0" w:color="auto"/>
        <w:bottom w:val="none" w:sz="0" w:space="0" w:color="auto"/>
        <w:right w:val="none" w:sz="0" w:space="0" w:color="auto"/>
      </w:divBdr>
    </w:div>
    <w:div w:id="963734226">
      <w:bodyDiv w:val="1"/>
      <w:marLeft w:val="0"/>
      <w:marRight w:val="0"/>
      <w:marTop w:val="0"/>
      <w:marBottom w:val="0"/>
      <w:divBdr>
        <w:top w:val="none" w:sz="0" w:space="0" w:color="auto"/>
        <w:left w:val="none" w:sz="0" w:space="0" w:color="auto"/>
        <w:bottom w:val="none" w:sz="0" w:space="0" w:color="auto"/>
        <w:right w:val="none" w:sz="0" w:space="0" w:color="auto"/>
      </w:divBdr>
    </w:div>
    <w:div w:id="995454809">
      <w:bodyDiv w:val="1"/>
      <w:marLeft w:val="0"/>
      <w:marRight w:val="0"/>
      <w:marTop w:val="0"/>
      <w:marBottom w:val="0"/>
      <w:divBdr>
        <w:top w:val="none" w:sz="0" w:space="0" w:color="auto"/>
        <w:left w:val="none" w:sz="0" w:space="0" w:color="auto"/>
        <w:bottom w:val="none" w:sz="0" w:space="0" w:color="auto"/>
        <w:right w:val="none" w:sz="0" w:space="0" w:color="auto"/>
      </w:divBdr>
    </w:div>
    <w:div w:id="1064525194">
      <w:bodyDiv w:val="1"/>
      <w:marLeft w:val="0"/>
      <w:marRight w:val="0"/>
      <w:marTop w:val="0"/>
      <w:marBottom w:val="0"/>
      <w:divBdr>
        <w:top w:val="none" w:sz="0" w:space="0" w:color="auto"/>
        <w:left w:val="none" w:sz="0" w:space="0" w:color="auto"/>
        <w:bottom w:val="none" w:sz="0" w:space="0" w:color="auto"/>
        <w:right w:val="none" w:sz="0" w:space="0" w:color="auto"/>
      </w:divBdr>
    </w:div>
    <w:div w:id="1170171956">
      <w:bodyDiv w:val="1"/>
      <w:marLeft w:val="0"/>
      <w:marRight w:val="0"/>
      <w:marTop w:val="0"/>
      <w:marBottom w:val="0"/>
      <w:divBdr>
        <w:top w:val="none" w:sz="0" w:space="0" w:color="auto"/>
        <w:left w:val="none" w:sz="0" w:space="0" w:color="auto"/>
        <w:bottom w:val="none" w:sz="0" w:space="0" w:color="auto"/>
        <w:right w:val="none" w:sz="0" w:space="0" w:color="auto"/>
      </w:divBdr>
    </w:div>
    <w:div w:id="1180241029">
      <w:bodyDiv w:val="1"/>
      <w:marLeft w:val="0"/>
      <w:marRight w:val="0"/>
      <w:marTop w:val="0"/>
      <w:marBottom w:val="0"/>
      <w:divBdr>
        <w:top w:val="none" w:sz="0" w:space="0" w:color="auto"/>
        <w:left w:val="none" w:sz="0" w:space="0" w:color="auto"/>
        <w:bottom w:val="none" w:sz="0" w:space="0" w:color="auto"/>
        <w:right w:val="none" w:sz="0" w:space="0" w:color="auto"/>
      </w:divBdr>
    </w:div>
    <w:div w:id="1188717700">
      <w:bodyDiv w:val="1"/>
      <w:marLeft w:val="0"/>
      <w:marRight w:val="0"/>
      <w:marTop w:val="0"/>
      <w:marBottom w:val="0"/>
      <w:divBdr>
        <w:top w:val="none" w:sz="0" w:space="0" w:color="auto"/>
        <w:left w:val="none" w:sz="0" w:space="0" w:color="auto"/>
        <w:bottom w:val="none" w:sz="0" w:space="0" w:color="auto"/>
        <w:right w:val="none" w:sz="0" w:space="0" w:color="auto"/>
      </w:divBdr>
    </w:div>
    <w:div w:id="1199587729">
      <w:bodyDiv w:val="1"/>
      <w:marLeft w:val="0"/>
      <w:marRight w:val="0"/>
      <w:marTop w:val="0"/>
      <w:marBottom w:val="0"/>
      <w:divBdr>
        <w:top w:val="none" w:sz="0" w:space="0" w:color="auto"/>
        <w:left w:val="none" w:sz="0" w:space="0" w:color="auto"/>
        <w:bottom w:val="none" w:sz="0" w:space="0" w:color="auto"/>
        <w:right w:val="none" w:sz="0" w:space="0" w:color="auto"/>
      </w:divBdr>
    </w:div>
    <w:div w:id="1203441495">
      <w:bodyDiv w:val="1"/>
      <w:marLeft w:val="0"/>
      <w:marRight w:val="0"/>
      <w:marTop w:val="0"/>
      <w:marBottom w:val="0"/>
      <w:divBdr>
        <w:top w:val="none" w:sz="0" w:space="0" w:color="auto"/>
        <w:left w:val="none" w:sz="0" w:space="0" w:color="auto"/>
        <w:bottom w:val="none" w:sz="0" w:space="0" w:color="auto"/>
        <w:right w:val="none" w:sz="0" w:space="0" w:color="auto"/>
      </w:divBdr>
    </w:div>
    <w:div w:id="1213225728">
      <w:bodyDiv w:val="1"/>
      <w:marLeft w:val="0"/>
      <w:marRight w:val="0"/>
      <w:marTop w:val="0"/>
      <w:marBottom w:val="0"/>
      <w:divBdr>
        <w:top w:val="none" w:sz="0" w:space="0" w:color="auto"/>
        <w:left w:val="none" w:sz="0" w:space="0" w:color="auto"/>
        <w:bottom w:val="none" w:sz="0" w:space="0" w:color="auto"/>
        <w:right w:val="none" w:sz="0" w:space="0" w:color="auto"/>
      </w:divBdr>
    </w:div>
    <w:div w:id="1252080703">
      <w:bodyDiv w:val="1"/>
      <w:marLeft w:val="0"/>
      <w:marRight w:val="0"/>
      <w:marTop w:val="0"/>
      <w:marBottom w:val="0"/>
      <w:divBdr>
        <w:top w:val="none" w:sz="0" w:space="0" w:color="auto"/>
        <w:left w:val="none" w:sz="0" w:space="0" w:color="auto"/>
        <w:bottom w:val="none" w:sz="0" w:space="0" w:color="auto"/>
        <w:right w:val="none" w:sz="0" w:space="0" w:color="auto"/>
      </w:divBdr>
    </w:div>
    <w:div w:id="1274363470">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279993152">
      <w:bodyDiv w:val="1"/>
      <w:marLeft w:val="0"/>
      <w:marRight w:val="0"/>
      <w:marTop w:val="0"/>
      <w:marBottom w:val="0"/>
      <w:divBdr>
        <w:top w:val="none" w:sz="0" w:space="0" w:color="auto"/>
        <w:left w:val="none" w:sz="0" w:space="0" w:color="auto"/>
        <w:bottom w:val="none" w:sz="0" w:space="0" w:color="auto"/>
        <w:right w:val="none" w:sz="0" w:space="0" w:color="auto"/>
      </w:divBdr>
    </w:div>
    <w:div w:id="1368527111">
      <w:bodyDiv w:val="1"/>
      <w:marLeft w:val="0"/>
      <w:marRight w:val="0"/>
      <w:marTop w:val="0"/>
      <w:marBottom w:val="0"/>
      <w:divBdr>
        <w:top w:val="none" w:sz="0" w:space="0" w:color="auto"/>
        <w:left w:val="none" w:sz="0" w:space="0" w:color="auto"/>
        <w:bottom w:val="none" w:sz="0" w:space="0" w:color="auto"/>
        <w:right w:val="none" w:sz="0" w:space="0" w:color="auto"/>
      </w:divBdr>
    </w:div>
    <w:div w:id="1394891613">
      <w:bodyDiv w:val="1"/>
      <w:marLeft w:val="0"/>
      <w:marRight w:val="0"/>
      <w:marTop w:val="0"/>
      <w:marBottom w:val="0"/>
      <w:divBdr>
        <w:top w:val="none" w:sz="0" w:space="0" w:color="auto"/>
        <w:left w:val="none" w:sz="0" w:space="0" w:color="auto"/>
        <w:bottom w:val="none" w:sz="0" w:space="0" w:color="auto"/>
        <w:right w:val="none" w:sz="0" w:space="0" w:color="auto"/>
      </w:divBdr>
    </w:div>
    <w:div w:id="1404377434">
      <w:bodyDiv w:val="1"/>
      <w:marLeft w:val="0"/>
      <w:marRight w:val="0"/>
      <w:marTop w:val="0"/>
      <w:marBottom w:val="0"/>
      <w:divBdr>
        <w:top w:val="none" w:sz="0" w:space="0" w:color="auto"/>
        <w:left w:val="none" w:sz="0" w:space="0" w:color="auto"/>
        <w:bottom w:val="none" w:sz="0" w:space="0" w:color="auto"/>
        <w:right w:val="none" w:sz="0" w:space="0" w:color="auto"/>
      </w:divBdr>
    </w:div>
    <w:div w:id="1431660022">
      <w:bodyDiv w:val="1"/>
      <w:marLeft w:val="0"/>
      <w:marRight w:val="0"/>
      <w:marTop w:val="0"/>
      <w:marBottom w:val="0"/>
      <w:divBdr>
        <w:top w:val="none" w:sz="0" w:space="0" w:color="auto"/>
        <w:left w:val="none" w:sz="0" w:space="0" w:color="auto"/>
        <w:bottom w:val="none" w:sz="0" w:space="0" w:color="auto"/>
        <w:right w:val="none" w:sz="0" w:space="0" w:color="auto"/>
      </w:divBdr>
    </w:div>
    <w:div w:id="1439249731">
      <w:bodyDiv w:val="1"/>
      <w:marLeft w:val="0"/>
      <w:marRight w:val="0"/>
      <w:marTop w:val="0"/>
      <w:marBottom w:val="0"/>
      <w:divBdr>
        <w:top w:val="none" w:sz="0" w:space="0" w:color="auto"/>
        <w:left w:val="none" w:sz="0" w:space="0" w:color="auto"/>
        <w:bottom w:val="none" w:sz="0" w:space="0" w:color="auto"/>
        <w:right w:val="none" w:sz="0" w:space="0" w:color="auto"/>
      </w:divBdr>
    </w:div>
    <w:div w:id="1441950964">
      <w:bodyDiv w:val="1"/>
      <w:marLeft w:val="0"/>
      <w:marRight w:val="0"/>
      <w:marTop w:val="0"/>
      <w:marBottom w:val="0"/>
      <w:divBdr>
        <w:top w:val="none" w:sz="0" w:space="0" w:color="auto"/>
        <w:left w:val="none" w:sz="0" w:space="0" w:color="auto"/>
        <w:bottom w:val="none" w:sz="0" w:space="0" w:color="auto"/>
        <w:right w:val="none" w:sz="0" w:space="0" w:color="auto"/>
      </w:divBdr>
    </w:div>
    <w:div w:id="1462841346">
      <w:bodyDiv w:val="1"/>
      <w:marLeft w:val="0"/>
      <w:marRight w:val="0"/>
      <w:marTop w:val="0"/>
      <w:marBottom w:val="0"/>
      <w:divBdr>
        <w:top w:val="none" w:sz="0" w:space="0" w:color="auto"/>
        <w:left w:val="none" w:sz="0" w:space="0" w:color="auto"/>
        <w:bottom w:val="none" w:sz="0" w:space="0" w:color="auto"/>
        <w:right w:val="none" w:sz="0" w:space="0" w:color="auto"/>
      </w:divBdr>
    </w:div>
    <w:div w:id="1502892056">
      <w:bodyDiv w:val="1"/>
      <w:marLeft w:val="0"/>
      <w:marRight w:val="0"/>
      <w:marTop w:val="0"/>
      <w:marBottom w:val="0"/>
      <w:divBdr>
        <w:top w:val="none" w:sz="0" w:space="0" w:color="auto"/>
        <w:left w:val="none" w:sz="0" w:space="0" w:color="auto"/>
        <w:bottom w:val="none" w:sz="0" w:space="0" w:color="auto"/>
        <w:right w:val="none" w:sz="0" w:space="0" w:color="auto"/>
      </w:divBdr>
    </w:div>
    <w:div w:id="1541087370">
      <w:bodyDiv w:val="1"/>
      <w:marLeft w:val="0"/>
      <w:marRight w:val="0"/>
      <w:marTop w:val="0"/>
      <w:marBottom w:val="0"/>
      <w:divBdr>
        <w:top w:val="none" w:sz="0" w:space="0" w:color="auto"/>
        <w:left w:val="none" w:sz="0" w:space="0" w:color="auto"/>
        <w:bottom w:val="none" w:sz="0" w:space="0" w:color="auto"/>
        <w:right w:val="none" w:sz="0" w:space="0" w:color="auto"/>
      </w:divBdr>
    </w:div>
    <w:div w:id="1558928397">
      <w:bodyDiv w:val="1"/>
      <w:marLeft w:val="0"/>
      <w:marRight w:val="0"/>
      <w:marTop w:val="0"/>
      <w:marBottom w:val="0"/>
      <w:divBdr>
        <w:top w:val="none" w:sz="0" w:space="0" w:color="auto"/>
        <w:left w:val="none" w:sz="0" w:space="0" w:color="auto"/>
        <w:bottom w:val="none" w:sz="0" w:space="0" w:color="auto"/>
        <w:right w:val="none" w:sz="0" w:space="0" w:color="auto"/>
      </w:divBdr>
    </w:div>
    <w:div w:id="1620645789">
      <w:bodyDiv w:val="1"/>
      <w:marLeft w:val="0"/>
      <w:marRight w:val="0"/>
      <w:marTop w:val="0"/>
      <w:marBottom w:val="0"/>
      <w:divBdr>
        <w:top w:val="none" w:sz="0" w:space="0" w:color="auto"/>
        <w:left w:val="none" w:sz="0" w:space="0" w:color="auto"/>
        <w:bottom w:val="none" w:sz="0" w:space="0" w:color="auto"/>
        <w:right w:val="none" w:sz="0" w:space="0" w:color="auto"/>
      </w:divBdr>
    </w:div>
    <w:div w:id="1653370609">
      <w:bodyDiv w:val="1"/>
      <w:marLeft w:val="0"/>
      <w:marRight w:val="0"/>
      <w:marTop w:val="0"/>
      <w:marBottom w:val="0"/>
      <w:divBdr>
        <w:top w:val="none" w:sz="0" w:space="0" w:color="auto"/>
        <w:left w:val="none" w:sz="0" w:space="0" w:color="auto"/>
        <w:bottom w:val="none" w:sz="0" w:space="0" w:color="auto"/>
        <w:right w:val="none" w:sz="0" w:space="0" w:color="auto"/>
      </w:divBdr>
    </w:div>
    <w:div w:id="1662346499">
      <w:bodyDiv w:val="1"/>
      <w:marLeft w:val="0"/>
      <w:marRight w:val="0"/>
      <w:marTop w:val="0"/>
      <w:marBottom w:val="0"/>
      <w:divBdr>
        <w:top w:val="none" w:sz="0" w:space="0" w:color="auto"/>
        <w:left w:val="none" w:sz="0" w:space="0" w:color="auto"/>
        <w:bottom w:val="none" w:sz="0" w:space="0" w:color="auto"/>
        <w:right w:val="none" w:sz="0" w:space="0" w:color="auto"/>
      </w:divBdr>
    </w:div>
    <w:div w:id="1693845107">
      <w:bodyDiv w:val="1"/>
      <w:marLeft w:val="0"/>
      <w:marRight w:val="0"/>
      <w:marTop w:val="0"/>
      <w:marBottom w:val="0"/>
      <w:divBdr>
        <w:top w:val="none" w:sz="0" w:space="0" w:color="auto"/>
        <w:left w:val="none" w:sz="0" w:space="0" w:color="auto"/>
        <w:bottom w:val="none" w:sz="0" w:space="0" w:color="auto"/>
        <w:right w:val="none" w:sz="0" w:space="0" w:color="auto"/>
      </w:divBdr>
    </w:div>
    <w:div w:id="1694652536">
      <w:bodyDiv w:val="1"/>
      <w:marLeft w:val="0"/>
      <w:marRight w:val="0"/>
      <w:marTop w:val="0"/>
      <w:marBottom w:val="0"/>
      <w:divBdr>
        <w:top w:val="none" w:sz="0" w:space="0" w:color="auto"/>
        <w:left w:val="none" w:sz="0" w:space="0" w:color="auto"/>
        <w:bottom w:val="none" w:sz="0" w:space="0" w:color="auto"/>
        <w:right w:val="none" w:sz="0" w:space="0" w:color="auto"/>
      </w:divBdr>
    </w:div>
    <w:div w:id="1695375722">
      <w:bodyDiv w:val="1"/>
      <w:marLeft w:val="0"/>
      <w:marRight w:val="0"/>
      <w:marTop w:val="0"/>
      <w:marBottom w:val="0"/>
      <w:divBdr>
        <w:top w:val="none" w:sz="0" w:space="0" w:color="auto"/>
        <w:left w:val="none" w:sz="0" w:space="0" w:color="auto"/>
        <w:bottom w:val="none" w:sz="0" w:space="0" w:color="auto"/>
        <w:right w:val="none" w:sz="0" w:space="0" w:color="auto"/>
      </w:divBdr>
    </w:div>
    <w:div w:id="1711763229">
      <w:bodyDiv w:val="1"/>
      <w:marLeft w:val="0"/>
      <w:marRight w:val="0"/>
      <w:marTop w:val="0"/>
      <w:marBottom w:val="0"/>
      <w:divBdr>
        <w:top w:val="none" w:sz="0" w:space="0" w:color="auto"/>
        <w:left w:val="none" w:sz="0" w:space="0" w:color="auto"/>
        <w:bottom w:val="none" w:sz="0" w:space="0" w:color="auto"/>
        <w:right w:val="none" w:sz="0" w:space="0" w:color="auto"/>
      </w:divBdr>
    </w:div>
    <w:div w:id="1745299954">
      <w:bodyDiv w:val="1"/>
      <w:marLeft w:val="0"/>
      <w:marRight w:val="0"/>
      <w:marTop w:val="0"/>
      <w:marBottom w:val="0"/>
      <w:divBdr>
        <w:top w:val="none" w:sz="0" w:space="0" w:color="auto"/>
        <w:left w:val="none" w:sz="0" w:space="0" w:color="auto"/>
        <w:bottom w:val="none" w:sz="0" w:space="0" w:color="auto"/>
        <w:right w:val="none" w:sz="0" w:space="0" w:color="auto"/>
      </w:divBdr>
    </w:div>
    <w:div w:id="1773429335">
      <w:bodyDiv w:val="1"/>
      <w:marLeft w:val="0"/>
      <w:marRight w:val="0"/>
      <w:marTop w:val="0"/>
      <w:marBottom w:val="0"/>
      <w:divBdr>
        <w:top w:val="none" w:sz="0" w:space="0" w:color="auto"/>
        <w:left w:val="none" w:sz="0" w:space="0" w:color="auto"/>
        <w:bottom w:val="none" w:sz="0" w:space="0" w:color="auto"/>
        <w:right w:val="none" w:sz="0" w:space="0" w:color="auto"/>
      </w:divBdr>
    </w:div>
    <w:div w:id="1785538333">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1866017266">
      <w:bodyDiv w:val="1"/>
      <w:marLeft w:val="0"/>
      <w:marRight w:val="0"/>
      <w:marTop w:val="0"/>
      <w:marBottom w:val="0"/>
      <w:divBdr>
        <w:top w:val="none" w:sz="0" w:space="0" w:color="auto"/>
        <w:left w:val="none" w:sz="0" w:space="0" w:color="auto"/>
        <w:bottom w:val="none" w:sz="0" w:space="0" w:color="auto"/>
        <w:right w:val="none" w:sz="0" w:space="0" w:color="auto"/>
      </w:divBdr>
    </w:div>
    <w:div w:id="1878273590">
      <w:bodyDiv w:val="1"/>
      <w:marLeft w:val="0"/>
      <w:marRight w:val="0"/>
      <w:marTop w:val="0"/>
      <w:marBottom w:val="0"/>
      <w:divBdr>
        <w:top w:val="none" w:sz="0" w:space="0" w:color="auto"/>
        <w:left w:val="none" w:sz="0" w:space="0" w:color="auto"/>
        <w:bottom w:val="none" w:sz="0" w:space="0" w:color="auto"/>
        <w:right w:val="none" w:sz="0" w:space="0" w:color="auto"/>
      </w:divBdr>
    </w:div>
    <w:div w:id="1911884152">
      <w:bodyDiv w:val="1"/>
      <w:marLeft w:val="0"/>
      <w:marRight w:val="0"/>
      <w:marTop w:val="0"/>
      <w:marBottom w:val="0"/>
      <w:divBdr>
        <w:top w:val="none" w:sz="0" w:space="0" w:color="auto"/>
        <w:left w:val="none" w:sz="0" w:space="0" w:color="auto"/>
        <w:bottom w:val="none" w:sz="0" w:space="0" w:color="auto"/>
        <w:right w:val="none" w:sz="0" w:space="0" w:color="auto"/>
      </w:divBdr>
    </w:div>
    <w:div w:id="1952397321">
      <w:bodyDiv w:val="1"/>
      <w:marLeft w:val="0"/>
      <w:marRight w:val="0"/>
      <w:marTop w:val="0"/>
      <w:marBottom w:val="0"/>
      <w:divBdr>
        <w:top w:val="none" w:sz="0" w:space="0" w:color="auto"/>
        <w:left w:val="none" w:sz="0" w:space="0" w:color="auto"/>
        <w:bottom w:val="none" w:sz="0" w:space="0" w:color="auto"/>
        <w:right w:val="none" w:sz="0" w:space="0" w:color="auto"/>
      </w:divBdr>
    </w:div>
    <w:div w:id="1989507039">
      <w:bodyDiv w:val="1"/>
      <w:marLeft w:val="0"/>
      <w:marRight w:val="0"/>
      <w:marTop w:val="0"/>
      <w:marBottom w:val="0"/>
      <w:divBdr>
        <w:top w:val="none" w:sz="0" w:space="0" w:color="auto"/>
        <w:left w:val="none" w:sz="0" w:space="0" w:color="auto"/>
        <w:bottom w:val="none" w:sz="0" w:space="0" w:color="auto"/>
        <w:right w:val="none" w:sz="0" w:space="0" w:color="auto"/>
      </w:divBdr>
    </w:div>
    <w:div w:id="1992099251">
      <w:bodyDiv w:val="1"/>
      <w:marLeft w:val="0"/>
      <w:marRight w:val="0"/>
      <w:marTop w:val="0"/>
      <w:marBottom w:val="0"/>
      <w:divBdr>
        <w:top w:val="none" w:sz="0" w:space="0" w:color="auto"/>
        <w:left w:val="none" w:sz="0" w:space="0" w:color="auto"/>
        <w:bottom w:val="none" w:sz="0" w:space="0" w:color="auto"/>
        <w:right w:val="none" w:sz="0" w:space="0" w:color="auto"/>
      </w:divBdr>
    </w:div>
    <w:div w:id="2000965060">
      <w:bodyDiv w:val="1"/>
      <w:marLeft w:val="0"/>
      <w:marRight w:val="0"/>
      <w:marTop w:val="0"/>
      <w:marBottom w:val="0"/>
      <w:divBdr>
        <w:top w:val="none" w:sz="0" w:space="0" w:color="auto"/>
        <w:left w:val="none" w:sz="0" w:space="0" w:color="auto"/>
        <w:bottom w:val="none" w:sz="0" w:space="0" w:color="auto"/>
        <w:right w:val="none" w:sz="0" w:space="0" w:color="auto"/>
      </w:divBdr>
    </w:div>
    <w:div w:id="2050645027">
      <w:bodyDiv w:val="1"/>
      <w:marLeft w:val="0"/>
      <w:marRight w:val="0"/>
      <w:marTop w:val="0"/>
      <w:marBottom w:val="0"/>
      <w:divBdr>
        <w:top w:val="none" w:sz="0" w:space="0" w:color="auto"/>
        <w:left w:val="none" w:sz="0" w:space="0" w:color="auto"/>
        <w:bottom w:val="none" w:sz="0" w:space="0" w:color="auto"/>
        <w:right w:val="none" w:sz="0" w:space="0" w:color="auto"/>
      </w:divBdr>
    </w:div>
    <w:div w:id="2061401203">
      <w:bodyDiv w:val="1"/>
      <w:marLeft w:val="0"/>
      <w:marRight w:val="0"/>
      <w:marTop w:val="0"/>
      <w:marBottom w:val="0"/>
      <w:divBdr>
        <w:top w:val="none" w:sz="0" w:space="0" w:color="auto"/>
        <w:left w:val="none" w:sz="0" w:space="0" w:color="auto"/>
        <w:bottom w:val="none" w:sz="0" w:space="0" w:color="auto"/>
        <w:right w:val="none" w:sz="0" w:space="0" w:color="auto"/>
      </w:divBdr>
    </w:div>
    <w:div w:id="21401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0FBB-A2B0-4C4B-9C4C-3542AB65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2019-10-10T01:16:00Z</cp:lastPrinted>
  <dcterms:created xsi:type="dcterms:W3CDTF">2019-11-08T08:54:00Z</dcterms:created>
  <dcterms:modified xsi:type="dcterms:W3CDTF">2019-12-06T07:55:00Z</dcterms:modified>
</cp:coreProperties>
</file>