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0D" w:rsidRDefault="00FD5F77" w:rsidP="00032B0D">
      <w:pPr>
        <w:jc w:val="center"/>
      </w:pPr>
      <w:r>
        <w:rPr>
          <w:noProof/>
        </w:rPr>
        <mc:AlternateContent>
          <mc:Choice Requires="wps">
            <w:drawing>
              <wp:anchor distT="0" distB="0" distL="114300" distR="114300" simplePos="0" relativeHeight="251659264" behindDoc="0" locked="0" layoutInCell="1" allowOverlap="1" wp14:anchorId="43DE9B41" wp14:editId="4DF6D285">
                <wp:simplePos x="0" y="0"/>
                <wp:positionH relativeFrom="column">
                  <wp:posOffset>4893945</wp:posOffset>
                </wp:positionH>
                <wp:positionV relativeFrom="paragraph">
                  <wp:posOffset>-158115</wp:posOffset>
                </wp:positionV>
                <wp:extent cx="1609725" cy="456565"/>
                <wp:effectExtent l="0" t="0" r="28575" b="19685"/>
                <wp:wrapNone/>
                <wp:docPr id="5" name="正方形/長方形 3"/>
                <wp:cNvGraphicFramePr/>
                <a:graphic xmlns:a="http://schemas.openxmlformats.org/drawingml/2006/main">
                  <a:graphicData uri="http://schemas.microsoft.com/office/word/2010/wordprocessingShape">
                    <wps:wsp>
                      <wps:cNvSpPr/>
                      <wps:spPr>
                        <a:xfrm>
                          <a:off x="0" y="0"/>
                          <a:ext cx="1609725" cy="456565"/>
                        </a:xfrm>
                        <a:prstGeom prst="rect">
                          <a:avLst/>
                        </a:prstGeom>
                        <a:solidFill>
                          <a:sysClr val="window" lastClr="FFFFFF"/>
                        </a:solidFill>
                        <a:ln w="25400" cap="flat" cmpd="sng" algn="ctr">
                          <a:solidFill>
                            <a:srgbClr val="F79646"/>
                          </a:solidFill>
                          <a:prstDash val="solid"/>
                        </a:ln>
                        <a:effectLst/>
                      </wps:spPr>
                      <wps:txbx>
                        <w:txbxContent>
                          <w:p w:rsidR="005F2BB4" w:rsidRPr="00097CFE" w:rsidRDefault="005F2BB4" w:rsidP="00FD5F77">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sidR="00A01DE0">
                              <w:rPr>
                                <w:rFonts w:asciiTheme="minorEastAsia" w:eastAsiaTheme="minorEastAsia" w:hAnsiTheme="minorEastAsia" w:cs="Times New Roman" w:hint="eastAsia"/>
                                <w:color w:val="000000"/>
                                <w:sz w:val="36"/>
                                <w:szCs w:val="36"/>
                              </w:rPr>
                              <w:t>３</w:t>
                            </w:r>
                          </w:p>
                        </w:txbxContent>
                      </wps:txbx>
                      <wps:bodyPr wrap="square" tIns="0" rtlCol="0" anchor="ctr">
                        <a:noAutofit/>
                      </wps:bodyPr>
                    </wps:wsp>
                  </a:graphicData>
                </a:graphic>
                <wp14:sizeRelH relativeFrom="margin">
                  <wp14:pctWidth>0</wp14:pctWidth>
                </wp14:sizeRelH>
              </wp:anchor>
            </w:drawing>
          </mc:Choice>
          <mc:Fallback>
            <w:pict>
              <v:rect id="正方形/長方形 3" o:spid="_x0000_s1026" style="position:absolute;left:0;text-align:left;margin-left:385.35pt;margin-top:-12.45pt;width:126.75pt;height:35.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" fillcolor="window" strokecolor="#f79646" strokeweight="2pt">
                <v:textbox inset=",0">
                  <w:txbxContent>
                    <w:p w:rsidR="005F2BB4" w:rsidRPr="00097CFE" w:rsidRDefault="005F2BB4" w:rsidP="00FD5F77">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sidR="00A01DE0">
                        <w:rPr>
                          <w:rFonts w:asciiTheme="minorEastAsia" w:eastAsiaTheme="minorEastAsia" w:hAnsiTheme="minorEastAsia" w:cs="Times New Roman" w:hint="eastAsia"/>
                          <w:color w:val="000000"/>
                          <w:sz w:val="36"/>
                          <w:szCs w:val="36"/>
                        </w:rPr>
                        <w:t>３</w:t>
                      </w:r>
                    </w:p>
                  </w:txbxContent>
                </v:textbox>
              </v:rect>
            </w:pict>
          </mc:Fallback>
        </mc:AlternateContent>
      </w:r>
    </w:p>
    <w:p w:rsidR="00DE69B4" w:rsidRPr="008E048C" w:rsidRDefault="00032B0D" w:rsidP="00032B0D">
      <w:pPr>
        <w:jc w:val="center"/>
        <w:rPr>
          <w:rFonts w:ascii="HG丸ｺﾞｼｯｸM-PRO" w:eastAsia="HG丸ｺﾞｼｯｸM-PRO" w:hAnsi="HG丸ｺﾞｼｯｸM-PRO"/>
          <w:sz w:val="32"/>
          <w:szCs w:val="32"/>
        </w:rPr>
      </w:pPr>
      <w:r w:rsidRPr="00C37D30">
        <w:rPr>
          <w:rFonts w:ascii="HG丸ｺﾞｼｯｸM-PRO" w:eastAsia="HG丸ｺﾞｼｯｸM-PRO" w:hAnsi="HG丸ｺﾞｼｯｸM-PRO" w:hint="eastAsia"/>
          <w:spacing w:val="66"/>
          <w:kern w:val="0"/>
          <w:sz w:val="32"/>
          <w:szCs w:val="32"/>
          <w:fitText w:val="3040" w:id="-83055872"/>
        </w:rPr>
        <w:t>退職手当</w:t>
      </w:r>
      <w:r w:rsidR="006C7011" w:rsidRPr="00C37D30">
        <w:rPr>
          <w:rFonts w:ascii="HG丸ｺﾞｼｯｸM-PRO" w:eastAsia="HG丸ｺﾞｼｯｸM-PRO" w:hAnsi="HG丸ｺﾞｼｯｸM-PRO" w:hint="eastAsia"/>
          <w:spacing w:val="66"/>
          <w:kern w:val="0"/>
          <w:sz w:val="32"/>
          <w:szCs w:val="32"/>
          <w:fitText w:val="3040" w:id="-83055872"/>
        </w:rPr>
        <w:t>の性</w:t>
      </w:r>
      <w:r w:rsidR="006C7011" w:rsidRPr="00C37D30">
        <w:rPr>
          <w:rFonts w:ascii="HG丸ｺﾞｼｯｸM-PRO" w:eastAsia="HG丸ｺﾞｼｯｸM-PRO" w:hAnsi="HG丸ｺﾞｼｯｸM-PRO" w:hint="eastAsia"/>
          <w:spacing w:val="4"/>
          <w:kern w:val="0"/>
          <w:sz w:val="32"/>
          <w:szCs w:val="32"/>
          <w:fitText w:val="3040" w:id="-83055872"/>
        </w:rPr>
        <w:t>格</w:t>
      </w:r>
    </w:p>
    <w:p w:rsidR="00032B0D" w:rsidRDefault="00032B0D" w:rsidP="00032B0D"/>
    <w:p w:rsidR="00B32DB0" w:rsidRDefault="008E048C" w:rsidP="00032B0D">
      <w:r>
        <w:rPr>
          <w:noProof/>
        </w:rPr>
        <mc:AlternateContent>
          <mc:Choice Requires="wps">
            <w:drawing>
              <wp:anchor distT="0" distB="0" distL="114300" distR="114300" simplePos="0" relativeHeight="251662336" behindDoc="0" locked="0" layoutInCell="1" allowOverlap="1" wp14:anchorId="3EA31C16" wp14:editId="127940D3">
                <wp:simplePos x="0" y="0"/>
                <wp:positionH relativeFrom="column">
                  <wp:posOffset>-91440</wp:posOffset>
                </wp:positionH>
                <wp:positionV relativeFrom="paragraph">
                  <wp:posOffset>41910</wp:posOffset>
                </wp:positionV>
                <wp:extent cx="3019425" cy="5238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019425" cy="523875"/>
                        </a:xfrm>
                        <a:prstGeom prst="rect">
                          <a:avLst/>
                        </a:prstGeom>
                        <a:solidFill>
                          <a:sysClr val="window" lastClr="FFFFFF"/>
                        </a:solidFill>
                        <a:ln w="6350">
                          <a:solidFill>
                            <a:prstClr val="black"/>
                          </a:solidFill>
                        </a:ln>
                        <a:effectLst/>
                      </wps:spPr>
                      <wps:txbx>
                        <w:txbxContent>
                          <w:p w:rsidR="005F2BB4" w:rsidRDefault="005F2BB4" w:rsidP="008E048C">
                            <w:r>
                              <w:rPr>
                                <w:rFonts w:hint="eastAsia"/>
                              </w:rPr>
                              <w:t>出典：公務員の退職手当法詳解</w:t>
                            </w:r>
                            <w:r>
                              <w:rPr>
                                <w:rFonts w:hint="eastAsia"/>
                              </w:rPr>
                              <w:t xml:space="preserve"> </w:t>
                            </w:r>
                            <w:r>
                              <w:rPr>
                                <w:rFonts w:hint="eastAsia"/>
                              </w:rPr>
                              <w:t>第５次改定版</w:t>
                            </w:r>
                          </w:p>
                          <w:p w:rsidR="005F2BB4" w:rsidRDefault="005F2BB4" w:rsidP="008E048C">
                            <w:pPr>
                              <w:ind w:firstLineChars="200" w:firstLine="420"/>
                            </w:pPr>
                            <w:r>
                              <w:rPr>
                                <w:rFonts w:hint="eastAsia"/>
                              </w:rPr>
                              <w:t>（学陽書房）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7.2pt;margin-top:3.3pt;width:237.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" fillcolor="window" strokeweight=".5pt">
                <v:textbox>
                  <w:txbxContent>
                    <w:p w:rsidR="005F2BB4" w:rsidRDefault="005F2BB4" w:rsidP="008E048C">
                      <w:r>
                        <w:rPr>
                          <w:rFonts w:hint="eastAsia"/>
                        </w:rPr>
                        <w:t>出典：公務員の退職手当法詳解</w:t>
                      </w:r>
                      <w:r>
                        <w:rPr>
                          <w:rFonts w:hint="eastAsia"/>
                        </w:rPr>
                        <w:t xml:space="preserve"> </w:t>
                      </w:r>
                      <w:r>
                        <w:rPr>
                          <w:rFonts w:hint="eastAsia"/>
                        </w:rPr>
                        <w:t>第５次改定版</w:t>
                      </w:r>
                    </w:p>
                    <w:p w:rsidR="005F2BB4" w:rsidRDefault="005F2BB4" w:rsidP="008E048C">
                      <w:pPr>
                        <w:ind w:firstLineChars="200" w:firstLine="420"/>
                      </w:pPr>
                      <w:r>
                        <w:rPr>
                          <w:rFonts w:hint="eastAsia"/>
                        </w:rPr>
                        <w:t>（学陽書房）</w:t>
                      </w:r>
                    </w:p>
                  </w:txbxContent>
                </v:textbox>
              </v:shape>
            </w:pict>
          </mc:Fallback>
        </mc:AlternateContent>
      </w:r>
    </w:p>
    <w:p w:rsidR="00B32DB0" w:rsidRDefault="00B32DB0" w:rsidP="00032B0D"/>
    <w:p w:rsidR="00B32DB0" w:rsidRDefault="00B32DB0" w:rsidP="00032B0D"/>
    <w:p w:rsidR="00B32DB0" w:rsidRDefault="00B32DB0" w:rsidP="00032B0D"/>
    <w:p w:rsidR="006C7011" w:rsidRDefault="006C7011" w:rsidP="00032B0D">
      <w:pPr>
        <w:rPr>
          <w:rFonts w:asciiTheme="majorEastAsia" w:eastAsiaTheme="majorEastAsia" w:hAnsiTheme="majorEastAsia"/>
          <w:sz w:val="22"/>
        </w:rPr>
      </w:pPr>
      <w:r>
        <w:rPr>
          <w:noProof/>
        </w:rPr>
        <mc:AlternateContent>
          <mc:Choice Requires="wps">
            <w:drawing>
              <wp:anchor distT="0" distB="0" distL="114300" distR="114300" simplePos="0" relativeHeight="251660288" behindDoc="0" locked="0" layoutInCell="1" allowOverlap="1" wp14:anchorId="710E8C4A" wp14:editId="5628E11A">
                <wp:simplePos x="0" y="0"/>
                <wp:positionH relativeFrom="column">
                  <wp:posOffset>-34290</wp:posOffset>
                </wp:positionH>
                <wp:positionV relativeFrom="paragraph">
                  <wp:posOffset>99060</wp:posOffset>
                </wp:positionV>
                <wp:extent cx="6467475" cy="1619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467475" cy="16192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7pt;margin-top:7.8pt;width:509.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" filled="f" strokecolor="black [3213]"/>
            </w:pict>
          </mc:Fallback>
        </mc:AlternateContent>
      </w:r>
    </w:p>
    <w:p w:rsidR="006C7011" w:rsidRPr="00C37D30" w:rsidRDefault="006C7011" w:rsidP="00833330">
      <w:pPr>
        <w:ind w:firstLineChars="50" w:firstLine="110"/>
        <w:rPr>
          <w:rFonts w:asciiTheme="majorEastAsia" w:eastAsiaTheme="majorEastAsia" w:hAnsiTheme="majorEastAsia"/>
          <w:sz w:val="22"/>
        </w:rPr>
      </w:pPr>
      <w:r w:rsidRPr="00C37D30">
        <w:rPr>
          <w:rFonts w:asciiTheme="majorEastAsia" w:eastAsiaTheme="majorEastAsia" w:hAnsiTheme="majorEastAsia" w:hint="eastAsia"/>
          <w:sz w:val="22"/>
        </w:rPr>
        <w:t>勤続報償説</w:t>
      </w:r>
    </w:p>
    <w:p w:rsidR="00032B0D" w:rsidRPr="006C7011" w:rsidRDefault="006C7011" w:rsidP="00833330">
      <w:pPr>
        <w:ind w:firstLineChars="150" w:firstLine="330"/>
        <w:rPr>
          <w:sz w:val="22"/>
        </w:rPr>
      </w:pPr>
      <w:r w:rsidRPr="006C7011">
        <w:rPr>
          <w:rFonts w:hint="eastAsia"/>
          <w:sz w:val="22"/>
        </w:rPr>
        <w:t>退職金をもって長期勤続又は在職中の功績に対する報償であるとする考え方</w:t>
      </w:r>
    </w:p>
    <w:p w:rsidR="006C7011" w:rsidRPr="00C37D30" w:rsidRDefault="006C7011" w:rsidP="00833330">
      <w:pPr>
        <w:ind w:firstLineChars="50" w:firstLine="110"/>
        <w:rPr>
          <w:rFonts w:asciiTheme="majorEastAsia" w:eastAsiaTheme="majorEastAsia" w:hAnsiTheme="majorEastAsia"/>
          <w:sz w:val="22"/>
        </w:rPr>
      </w:pPr>
      <w:r w:rsidRPr="00C37D30">
        <w:rPr>
          <w:rFonts w:asciiTheme="majorEastAsia" w:eastAsiaTheme="majorEastAsia" w:hAnsiTheme="majorEastAsia" w:hint="eastAsia"/>
          <w:sz w:val="22"/>
        </w:rPr>
        <w:t>賃金後払説</w:t>
      </w:r>
    </w:p>
    <w:p w:rsidR="006C7011" w:rsidRPr="006C7011" w:rsidRDefault="006C7011" w:rsidP="00833330">
      <w:pPr>
        <w:ind w:firstLineChars="150" w:firstLine="330"/>
        <w:rPr>
          <w:sz w:val="22"/>
        </w:rPr>
      </w:pPr>
      <w:r w:rsidRPr="006C7011">
        <w:rPr>
          <w:rFonts w:hint="eastAsia"/>
          <w:sz w:val="22"/>
        </w:rPr>
        <w:t>労働者が在職中に受け取るべきであった賃金部分を退職に際して受け取るものであるとの考え方</w:t>
      </w:r>
    </w:p>
    <w:p w:rsidR="006C7011" w:rsidRPr="00C37D30" w:rsidRDefault="006C7011" w:rsidP="00833330">
      <w:pPr>
        <w:ind w:firstLineChars="50" w:firstLine="110"/>
        <w:rPr>
          <w:rFonts w:asciiTheme="majorEastAsia" w:eastAsiaTheme="majorEastAsia" w:hAnsiTheme="majorEastAsia"/>
          <w:sz w:val="22"/>
        </w:rPr>
      </w:pPr>
      <w:r w:rsidRPr="00C37D30">
        <w:rPr>
          <w:rFonts w:asciiTheme="majorEastAsia" w:eastAsiaTheme="majorEastAsia" w:hAnsiTheme="majorEastAsia" w:hint="eastAsia"/>
          <w:sz w:val="22"/>
        </w:rPr>
        <w:t>生活保障説</w:t>
      </w:r>
    </w:p>
    <w:p w:rsidR="00833330" w:rsidRDefault="006C7011" w:rsidP="006C7011">
      <w:pPr>
        <w:rPr>
          <w:sz w:val="22"/>
        </w:rPr>
      </w:pPr>
      <w:r w:rsidRPr="006C7011">
        <w:rPr>
          <w:rFonts w:hint="eastAsia"/>
          <w:sz w:val="22"/>
        </w:rPr>
        <w:t xml:space="preserve">　</w:t>
      </w:r>
      <w:r w:rsidR="00833330">
        <w:rPr>
          <w:rFonts w:hint="eastAsia"/>
          <w:sz w:val="22"/>
        </w:rPr>
        <w:t xml:space="preserve"> </w:t>
      </w:r>
      <w:r w:rsidRPr="006C7011">
        <w:rPr>
          <w:rFonts w:hint="eastAsia"/>
          <w:sz w:val="22"/>
        </w:rPr>
        <w:t>退職後における生活を保障するために支払われる給付であるとする考え方</w:t>
      </w:r>
    </w:p>
    <w:p w:rsidR="00833330" w:rsidRPr="00833330" w:rsidRDefault="00833330" w:rsidP="00833330">
      <w:pPr>
        <w:rPr>
          <w:sz w:val="22"/>
        </w:rPr>
      </w:pPr>
    </w:p>
    <w:p w:rsidR="006C7011" w:rsidRDefault="006C7011" w:rsidP="00833330">
      <w:pPr>
        <w:tabs>
          <w:tab w:val="left" w:pos="1005"/>
        </w:tabs>
        <w:rPr>
          <w:sz w:val="22"/>
        </w:rPr>
      </w:pPr>
    </w:p>
    <w:p w:rsidR="00833330" w:rsidRPr="00E570FD" w:rsidRDefault="00833330" w:rsidP="00E570FD">
      <w:pPr>
        <w:tabs>
          <w:tab w:val="left" w:pos="1005"/>
        </w:tabs>
        <w:spacing w:line="400" w:lineRule="exact"/>
        <w:rPr>
          <w:rFonts w:asciiTheme="majorEastAsia" w:eastAsiaTheme="majorEastAsia" w:hAnsiTheme="majorEastAsia"/>
          <w:sz w:val="22"/>
        </w:rPr>
      </w:pPr>
      <w:r w:rsidRPr="00E570FD">
        <w:rPr>
          <w:rFonts w:asciiTheme="majorEastAsia" w:eastAsiaTheme="majorEastAsia" w:hAnsiTheme="majorEastAsia" w:hint="eastAsia"/>
          <w:sz w:val="22"/>
        </w:rPr>
        <w:t>○国家公務員の退職手当の考え方</w:t>
      </w:r>
      <w:r w:rsidR="002C0F7C" w:rsidRPr="002C0F7C">
        <w:rPr>
          <w:rFonts w:asciiTheme="minorEastAsia" w:hAnsiTheme="minorEastAsia" w:hint="eastAsia"/>
          <w:sz w:val="20"/>
          <w:szCs w:val="20"/>
        </w:rPr>
        <w:t>（</w:t>
      </w:r>
      <w:r w:rsidR="002C0F7C">
        <w:rPr>
          <w:rFonts w:asciiTheme="minorEastAsia" w:hAnsiTheme="minorEastAsia" w:hint="eastAsia"/>
          <w:sz w:val="20"/>
          <w:szCs w:val="20"/>
        </w:rPr>
        <w:t>前掲</w:t>
      </w:r>
      <w:r w:rsidR="002C0F7C" w:rsidRPr="002C0F7C">
        <w:rPr>
          <w:rFonts w:asciiTheme="minorEastAsia" w:hAnsiTheme="minorEastAsia" w:hint="eastAsia"/>
          <w:sz w:val="20"/>
          <w:szCs w:val="20"/>
        </w:rPr>
        <w:t>出典Ｐ５～９から抜粋）</w:t>
      </w:r>
    </w:p>
    <w:p w:rsidR="00833330" w:rsidRPr="00E570FD" w:rsidRDefault="00833330" w:rsidP="00E570FD">
      <w:pPr>
        <w:tabs>
          <w:tab w:val="left" w:pos="1005"/>
        </w:tabs>
        <w:spacing w:line="400" w:lineRule="exact"/>
        <w:ind w:left="220" w:hangingChars="100" w:hanging="220"/>
        <w:rPr>
          <w:sz w:val="22"/>
        </w:rPr>
      </w:pPr>
      <w:r w:rsidRPr="00E570FD">
        <w:rPr>
          <w:rFonts w:hint="eastAsia"/>
          <w:sz w:val="22"/>
        </w:rPr>
        <w:t xml:space="preserve">　　国家公務員の退職手当の性格について、現行制度の仕組み・内容からみると、勤続報償、生活保障、賃金後払いの要素がいずれも含まれており、ひとつの要素だけですべてを説明することは難しいが、勤続・功績報償的考え方が基本にあるものと理解される。このような基本的な考え方は、平成</w:t>
      </w:r>
      <w:r w:rsidRPr="00E570FD">
        <w:rPr>
          <w:rFonts w:hint="eastAsia"/>
          <w:sz w:val="22"/>
        </w:rPr>
        <w:t>17</w:t>
      </w:r>
      <w:r w:rsidRPr="00E570FD">
        <w:rPr>
          <w:rFonts w:hint="eastAsia"/>
          <w:sz w:val="22"/>
        </w:rPr>
        <w:t>年度改正により在職期間中の貢献度をより的確に反映する制度とされた後も維持されているところ。</w:t>
      </w:r>
    </w:p>
    <w:p w:rsidR="00833330" w:rsidRPr="00E570FD" w:rsidRDefault="00833330" w:rsidP="00E570FD">
      <w:pPr>
        <w:tabs>
          <w:tab w:val="left" w:pos="1005"/>
        </w:tabs>
        <w:spacing w:line="400" w:lineRule="exact"/>
        <w:ind w:left="220" w:hangingChars="100" w:hanging="220"/>
        <w:rPr>
          <w:sz w:val="22"/>
        </w:rPr>
      </w:pPr>
      <w:r w:rsidRPr="00E570FD">
        <w:rPr>
          <w:rFonts w:hint="eastAsia"/>
          <w:sz w:val="22"/>
        </w:rPr>
        <w:t xml:space="preserve">　　</w:t>
      </w:r>
      <w:r w:rsidR="00B44E85" w:rsidRPr="00E570FD">
        <w:rPr>
          <w:rFonts w:hint="eastAsia"/>
          <w:sz w:val="22"/>
        </w:rPr>
        <w:t>国家公務員の退職手当は、勤続報償的、生活保障的、賃金後払い的な性格をそれぞれ有し、これらの要素が不可分的に混合しているものであるが、</w:t>
      </w:r>
      <w:r w:rsidR="00B44E85" w:rsidRPr="00E570FD">
        <w:rPr>
          <w:rFonts w:hint="eastAsia"/>
          <w:sz w:val="22"/>
          <w:u w:val="single"/>
        </w:rPr>
        <w:t>基本的には、職員が長期間継続勤務して退職する場合の勤務報償としての要素が強いものと理解してよいであろう。</w:t>
      </w:r>
      <w:r w:rsidR="00B44E85" w:rsidRPr="00E570FD">
        <w:rPr>
          <w:rFonts w:hint="eastAsia"/>
          <w:sz w:val="22"/>
        </w:rPr>
        <w:t>この勤続報償説は、退職手当制度創設以来、政府が一貫してとってきた考え方である。</w:t>
      </w:r>
    </w:p>
    <w:p w:rsidR="00B44E85" w:rsidRPr="00E570FD" w:rsidRDefault="00B44E85" w:rsidP="00E570FD">
      <w:pPr>
        <w:tabs>
          <w:tab w:val="left" w:pos="1005"/>
        </w:tabs>
        <w:spacing w:line="400" w:lineRule="exact"/>
        <w:ind w:left="220" w:hangingChars="100" w:hanging="220"/>
        <w:rPr>
          <w:sz w:val="22"/>
        </w:rPr>
      </w:pPr>
    </w:p>
    <w:p w:rsidR="00B44E85" w:rsidRPr="00E570FD" w:rsidRDefault="00B44E85" w:rsidP="00E570FD">
      <w:pPr>
        <w:tabs>
          <w:tab w:val="left" w:pos="1005"/>
        </w:tabs>
        <w:spacing w:line="400" w:lineRule="exact"/>
        <w:ind w:left="220" w:hangingChars="100" w:hanging="220"/>
        <w:rPr>
          <w:rFonts w:asciiTheme="majorEastAsia" w:eastAsiaTheme="majorEastAsia" w:hAnsiTheme="majorEastAsia"/>
          <w:sz w:val="22"/>
        </w:rPr>
      </w:pPr>
      <w:r w:rsidRPr="00E570FD">
        <w:rPr>
          <w:rFonts w:asciiTheme="majorEastAsia" w:eastAsiaTheme="majorEastAsia" w:hAnsiTheme="majorEastAsia" w:hint="eastAsia"/>
          <w:sz w:val="22"/>
        </w:rPr>
        <w:t>○最高裁判所裁判官の退職手当の考え方</w:t>
      </w:r>
      <w:r w:rsidR="002C0F7C" w:rsidRPr="002C0F7C">
        <w:rPr>
          <w:rFonts w:asciiTheme="minorEastAsia" w:hAnsiTheme="minorEastAsia" w:hint="eastAsia"/>
          <w:sz w:val="20"/>
          <w:szCs w:val="20"/>
        </w:rPr>
        <w:t>（</w:t>
      </w:r>
      <w:r w:rsidR="002C0F7C">
        <w:rPr>
          <w:rFonts w:asciiTheme="minorEastAsia" w:hAnsiTheme="minorEastAsia" w:hint="eastAsia"/>
          <w:sz w:val="20"/>
          <w:szCs w:val="20"/>
        </w:rPr>
        <w:t>前掲</w:t>
      </w:r>
      <w:r w:rsidR="002C0F7C" w:rsidRPr="002C0F7C">
        <w:rPr>
          <w:rFonts w:asciiTheme="minorEastAsia" w:hAnsiTheme="minorEastAsia" w:hint="eastAsia"/>
          <w:sz w:val="20"/>
          <w:szCs w:val="20"/>
        </w:rPr>
        <w:t>出典Ｐ</w:t>
      </w:r>
      <w:r w:rsidR="002C0F7C">
        <w:rPr>
          <w:rFonts w:asciiTheme="minorEastAsia" w:hAnsiTheme="minorEastAsia" w:hint="eastAsia"/>
          <w:sz w:val="20"/>
          <w:szCs w:val="20"/>
        </w:rPr>
        <w:t>６２１</w:t>
      </w:r>
      <w:r w:rsidR="002C0F7C" w:rsidRPr="002C0F7C">
        <w:rPr>
          <w:rFonts w:asciiTheme="minorEastAsia" w:hAnsiTheme="minorEastAsia" w:hint="eastAsia"/>
          <w:sz w:val="20"/>
          <w:szCs w:val="20"/>
        </w:rPr>
        <w:t>から抜粋）</w:t>
      </w:r>
    </w:p>
    <w:p w:rsidR="00B44E85" w:rsidRPr="00E570FD" w:rsidRDefault="00B44E85" w:rsidP="00E570FD">
      <w:pPr>
        <w:tabs>
          <w:tab w:val="left" w:pos="1005"/>
        </w:tabs>
        <w:spacing w:line="400" w:lineRule="exact"/>
        <w:ind w:left="220" w:hangingChars="100" w:hanging="220"/>
        <w:rPr>
          <w:sz w:val="22"/>
        </w:rPr>
      </w:pPr>
      <w:r w:rsidRPr="00E570FD">
        <w:rPr>
          <w:rFonts w:hint="eastAsia"/>
          <w:sz w:val="22"/>
        </w:rPr>
        <w:t xml:space="preserve">　　司法界の頂点に立ち、</w:t>
      </w:r>
      <w:r w:rsidRPr="00E570FD">
        <w:rPr>
          <w:rFonts w:hint="eastAsia"/>
          <w:sz w:val="22"/>
          <w:u w:val="single"/>
        </w:rPr>
        <w:t>重大な役割を担っている最高裁判所は、その裁判官に広く各界から識見の高い人物を得なければならず、その地位、役割にふさわしい処遇を必要</w:t>
      </w:r>
      <w:r w:rsidRPr="00E570FD">
        <w:rPr>
          <w:rFonts w:hint="eastAsia"/>
          <w:sz w:val="22"/>
        </w:rPr>
        <w:t>とする。また、最高裁判所の裁判官としてその職務を安んじて行うに足りるだけのものでなければならない。</w:t>
      </w:r>
    </w:p>
    <w:p w:rsidR="00B44E85" w:rsidRPr="00E570FD" w:rsidRDefault="00B44E85" w:rsidP="00E570FD">
      <w:pPr>
        <w:tabs>
          <w:tab w:val="left" w:pos="1005"/>
        </w:tabs>
        <w:spacing w:line="400" w:lineRule="exact"/>
        <w:ind w:left="220" w:hangingChars="100" w:hanging="220"/>
        <w:rPr>
          <w:sz w:val="22"/>
        </w:rPr>
      </w:pPr>
      <w:r w:rsidRPr="00E570FD">
        <w:rPr>
          <w:rFonts w:hint="eastAsia"/>
          <w:sz w:val="22"/>
        </w:rPr>
        <w:t xml:space="preserve">　　</w:t>
      </w:r>
      <w:r w:rsidRPr="00E570FD">
        <w:rPr>
          <w:rFonts w:hint="eastAsia"/>
          <w:sz w:val="22"/>
          <w:u w:val="single"/>
        </w:rPr>
        <w:t>最高裁判所の裁判官は、地方裁判所や高等裁判所と異なり、各界から選ばれ</w:t>
      </w:r>
      <w:r w:rsidR="00B32DB0" w:rsidRPr="00E570FD">
        <w:rPr>
          <w:rFonts w:hint="eastAsia"/>
          <w:sz w:val="22"/>
          <w:u w:val="single"/>
        </w:rPr>
        <w:t>、しかも比較的短期間でその職を去るケースが多いため、長期勤続に対する報償という基本的性格を有する国家公務員退職手当法の特例として、「最高裁判所裁判官退職手当特例法」が定められている。</w:t>
      </w:r>
      <w:r w:rsidR="00B32DB0" w:rsidRPr="00E570FD">
        <w:rPr>
          <w:rFonts w:hint="eastAsia"/>
          <w:sz w:val="22"/>
        </w:rPr>
        <w:t>もちろん、これは国家公務員退職手当法の特例法たる性格を有するものであり、当該特例法に規定のない事項については、退職手当法の適用があるのは当然である。</w:t>
      </w:r>
    </w:p>
    <w:p w:rsidR="008E048C" w:rsidRDefault="008E048C" w:rsidP="00E570FD">
      <w:pPr>
        <w:tabs>
          <w:tab w:val="left" w:pos="1005"/>
        </w:tabs>
        <w:spacing w:line="400" w:lineRule="exact"/>
        <w:ind w:left="220" w:hangingChars="100" w:hanging="220"/>
        <w:rPr>
          <w:sz w:val="22"/>
        </w:rPr>
      </w:pPr>
    </w:p>
    <w:p w:rsidR="008E048C" w:rsidRDefault="008E048C" w:rsidP="00E570FD">
      <w:pPr>
        <w:tabs>
          <w:tab w:val="left" w:pos="1005"/>
        </w:tabs>
        <w:spacing w:line="400" w:lineRule="exact"/>
        <w:ind w:left="220" w:hangingChars="100" w:hanging="220"/>
        <w:rPr>
          <w:sz w:val="22"/>
        </w:rPr>
      </w:pPr>
    </w:p>
    <w:p w:rsidR="008E048C" w:rsidRDefault="008E048C" w:rsidP="00E570FD">
      <w:pPr>
        <w:tabs>
          <w:tab w:val="left" w:pos="1005"/>
        </w:tabs>
        <w:spacing w:line="400" w:lineRule="exact"/>
        <w:ind w:left="220" w:hangingChars="100" w:hanging="220"/>
        <w:rPr>
          <w:sz w:val="22"/>
        </w:rPr>
      </w:pPr>
    </w:p>
    <w:p w:rsidR="008E048C" w:rsidRPr="00B32DB0" w:rsidRDefault="008E048C" w:rsidP="00E570FD">
      <w:pPr>
        <w:tabs>
          <w:tab w:val="left" w:pos="1005"/>
        </w:tabs>
        <w:spacing w:line="400" w:lineRule="exact"/>
        <w:ind w:left="220" w:hangingChars="100" w:hanging="220"/>
        <w:rPr>
          <w:rFonts w:asciiTheme="majorEastAsia" w:eastAsiaTheme="majorEastAsia" w:hAnsiTheme="majorEastAsia"/>
          <w:sz w:val="22"/>
        </w:rPr>
      </w:pPr>
      <w:r w:rsidRPr="00B32DB0">
        <w:rPr>
          <w:rFonts w:asciiTheme="majorEastAsia" w:eastAsiaTheme="majorEastAsia" w:hAnsiTheme="majorEastAsia" w:hint="eastAsia"/>
          <w:sz w:val="22"/>
        </w:rPr>
        <w:t>○</w:t>
      </w:r>
      <w:r>
        <w:rPr>
          <w:rFonts w:asciiTheme="majorEastAsia" w:eastAsiaTheme="majorEastAsia" w:hAnsiTheme="majorEastAsia" w:hint="eastAsia"/>
          <w:sz w:val="22"/>
        </w:rPr>
        <w:t>民間企業の</w:t>
      </w:r>
      <w:r w:rsidRPr="00B32DB0">
        <w:rPr>
          <w:rFonts w:asciiTheme="majorEastAsia" w:eastAsiaTheme="majorEastAsia" w:hAnsiTheme="majorEastAsia" w:hint="eastAsia"/>
          <w:sz w:val="22"/>
        </w:rPr>
        <w:t>退職手当の考え方</w:t>
      </w:r>
      <w:r w:rsidR="002C0F7C" w:rsidRPr="002C0F7C">
        <w:rPr>
          <w:rFonts w:asciiTheme="minorEastAsia" w:hAnsiTheme="minorEastAsia" w:hint="eastAsia"/>
          <w:sz w:val="20"/>
          <w:szCs w:val="20"/>
        </w:rPr>
        <w:t>（</w:t>
      </w:r>
      <w:r w:rsidR="002C0F7C">
        <w:rPr>
          <w:rFonts w:asciiTheme="minorEastAsia" w:hAnsiTheme="minorEastAsia" w:hint="eastAsia"/>
          <w:sz w:val="20"/>
          <w:szCs w:val="20"/>
        </w:rPr>
        <w:t>前掲</w:t>
      </w:r>
      <w:r w:rsidR="002C0F7C" w:rsidRPr="002C0F7C">
        <w:rPr>
          <w:rFonts w:asciiTheme="minorEastAsia" w:hAnsiTheme="minorEastAsia" w:hint="eastAsia"/>
          <w:sz w:val="20"/>
          <w:szCs w:val="20"/>
        </w:rPr>
        <w:t>出典Ｐ</w:t>
      </w:r>
      <w:r w:rsidR="002C0F7C">
        <w:rPr>
          <w:rFonts w:asciiTheme="minorEastAsia" w:hAnsiTheme="minorEastAsia" w:hint="eastAsia"/>
          <w:sz w:val="20"/>
          <w:szCs w:val="20"/>
        </w:rPr>
        <w:t>４</w:t>
      </w:r>
      <w:r w:rsidR="002C0F7C" w:rsidRPr="002C0F7C">
        <w:rPr>
          <w:rFonts w:asciiTheme="minorEastAsia" w:hAnsiTheme="minorEastAsia" w:hint="eastAsia"/>
          <w:sz w:val="20"/>
          <w:szCs w:val="20"/>
        </w:rPr>
        <w:t>～</w:t>
      </w:r>
      <w:r w:rsidR="002C0F7C">
        <w:rPr>
          <w:rFonts w:asciiTheme="minorEastAsia" w:hAnsiTheme="minorEastAsia" w:hint="eastAsia"/>
          <w:sz w:val="20"/>
          <w:szCs w:val="20"/>
        </w:rPr>
        <w:t>５</w:t>
      </w:r>
      <w:r w:rsidR="002C0F7C" w:rsidRPr="002C0F7C">
        <w:rPr>
          <w:rFonts w:asciiTheme="minorEastAsia" w:hAnsiTheme="minorEastAsia" w:hint="eastAsia"/>
          <w:sz w:val="20"/>
          <w:szCs w:val="20"/>
        </w:rPr>
        <w:t>から抜粋）</w:t>
      </w:r>
    </w:p>
    <w:p w:rsidR="008E048C" w:rsidRDefault="008E048C" w:rsidP="00E570FD">
      <w:pPr>
        <w:tabs>
          <w:tab w:val="left" w:pos="1005"/>
        </w:tabs>
        <w:spacing w:line="400" w:lineRule="exact"/>
        <w:ind w:left="220" w:hangingChars="100" w:hanging="220"/>
        <w:rPr>
          <w:sz w:val="22"/>
        </w:rPr>
      </w:pPr>
      <w:r>
        <w:rPr>
          <w:rFonts w:hint="eastAsia"/>
          <w:sz w:val="22"/>
        </w:rPr>
        <w:t xml:space="preserve">　　民間企業における退職金の性格については諸説あるが、一般的な見解として大別すれば、勤続報償説、</w:t>
      </w:r>
      <w:r w:rsidR="003F129B">
        <w:rPr>
          <w:rFonts w:hint="eastAsia"/>
          <w:sz w:val="22"/>
        </w:rPr>
        <w:t>賃金後払説、生活保障説の３つがあり、これら三説もそれぞれがさらに種々のニュアンスをもって主張されている。</w:t>
      </w:r>
    </w:p>
    <w:p w:rsidR="003F129B" w:rsidRDefault="003F129B" w:rsidP="00E570FD">
      <w:pPr>
        <w:tabs>
          <w:tab w:val="left" w:pos="1005"/>
        </w:tabs>
        <w:spacing w:line="400" w:lineRule="exact"/>
        <w:ind w:left="220" w:hangingChars="100" w:hanging="220"/>
        <w:rPr>
          <w:sz w:val="22"/>
        </w:rPr>
      </w:pPr>
      <w:r>
        <w:rPr>
          <w:rFonts w:hint="eastAsia"/>
          <w:sz w:val="22"/>
        </w:rPr>
        <w:t xml:space="preserve">　　また、これら三説と併行して、別の観点から、退職金は、使用者の恩恵的給付であるとする考え方と、労働者が権利として要求し得る給与であるとする考え方とがある。</w:t>
      </w:r>
      <w:r w:rsidRPr="00E570FD">
        <w:rPr>
          <w:rFonts w:hint="eastAsia"/>
          <w:sz w:val="22"/>
          <w:u w:val="single"/>
        </w:rPr>
        <w:t>勤続報償説と恩恵説とは使用者の考え方</w:t>
      </w:r>
      <w:r>
        <w:rPr>
          <w:rFonts w:hint="eastAsia"/>
          <w:sz w:val="22"/>
        </w:rPr>
        <w:t>であり、</w:t>
      </w:r>
      <w:r w:rsidRPr="00E570FD">
        <w:rPr>
          <w:rFonts w:hint="eastAsia"/>
          <w:sz w:val="22"/>
          <w:u w:val="single"/>
        </w:rPr>
        <w:t>賃金後払説と権利説は労働者側の考え方</w:t>
      </w:r>
      <w:r>
        <w:rPr>
          <w:rFonts w:hint="eastAsia"/>
          <w:sz w:val="22"/>
        </w:rPr>
        <w:t>である。生活保障説は、これらとは若干趣を異にしており、特に、高齢化社会の到来という背景の下に有力に主張されてきたもの。</w:t>
      </w:r>
    </w:p>
    <w:p w:rsidR="003F129B" w:rsidRDefault="003F129B" w:rsidP="00E570FD">
      <w:pPr>
        <w:tabs>
          <w:tab w:val="left" w:pos="1005"/>
        </w:tabs>
        <w:spacing w:line="400" w:lineRule="exact"/>
        <w:ind w:left="220" w:hangingChars="100" w:hanging="220"/>
        <w:rPr>
          <w:sz w:val="22"/>
        </w:rPr>
      </w:pPr>
      <w:r>
        <w:rPr>
          <w:rFonts w:hint="eastAsia"/>
          <w:sz w:val="22"/>
        </w:rPr>
        <w:t xml:space="preserve">　</w:t>
      </w:r>
      <w:r w:rsidRPr="006B737F">
        <w:rPr>
          <w:rFonts w:hint="eastAsia"/>
          <w:sz w:val="22"/>
        </w:rPr>
        <w:t xml:space="preserve">　</w:t>
      </w:r>
      <w:r w:rsidRPr="006B737F">
        <w:rPr>
          <w:rFonts w:hint="eastAsia"/>
          <w:sz w:val="22"/>
          <w:u w:val="single"/>
        </w:rPr>
        <w:t>民間企業における退職金は、その制度、考え方等は様々なものがあり、その性格についても必ずしも定説があるわけではない。退職金は、最終的には企業の支払能力等によって定まるが、その配分方法にはそれぞれの考え方が混在している</w:t>
      </w:r>
      <w:r>
        <w:rPr>
          <w:rFonts w:hint="eastAsia"/>
          <w:sz w:val="22"/>
        </w:rPr>
        <w:t>わけである。</w:t>
      </w:r>
    </w:p>
    <w:p w:rsidR="003F129B" w:rsidRDefault="003F129B" w:rsidP="00E570FD">
      <w:pPr>
        <w:tabs>
          <w:tab w:val="left" w:pos="1005"/>
        </w:tabs>
        <w:spacing w:line="400" w:lineRule="exact"/>
        <w:ind w:left="220" w:hangingChars="100" w:hanging="220"/>
        <w:rPr>
          <w:sz w:val="22"/>
        </w:rPr>
      </w:pPr>
      <w:r>
        <w:rPr>
          <w:rFonts w:hint="eastAsia"/>
          <w:sz w:val="22"/>
        </w:rPr>
        <w:t xml:space="preserve">　　例えば、勤続年数に比例する支給額の決定、功労加算金の支給等は明らかに勤続・功績報償の考え方に基づいている。さらに、退職金の多くは、企業の一方的負担によって支払われ、労働者側の分担拠出を必要とする事例は少ない。ここに、企業の労務管理の要請が加わって退職金の功績報償的性格を強くしている一因があるとされている。他方、退職金の最低保障額等は、生活保障の考え方によるものと思われる。また、確定拠出</w:t>
      </w:r>
      <w:r w:rsidR="0028378C">
        <w:rPr>
          <w:rFonts w:hint="eastAsia"/>
          <w:sz w:val="22"/>
        </w:rPr>
        <w:t>年金や賃金に上乗せして退職金相当額を支払う「退職金前払い」との選択制などの多様な形態が登場するようになり、その性格は複雑化しつつある。</w:t>
      </w:r>
    </w:p>
    <w:p w:rsidR="0028378C" w:rsidRDefault="0028378C" w:rsidP="00E570FD">
      <w:pPr>
        <w:tabs>
          <w:tab w:val="left" w:pos="1005"/>
        </w:tabs>
        <w:spacing w:line="400" w:lineRule="exact"/>
        <w:ind w:left="220" w:hangingChars="100" w:hanging="220"/>
        <w:rPr>
          <w:sz w:val="22"/>
        </w:rPr>
      </w:pPr>
      <w:r>
        <w:rPr>
          <w:rFonts w:hint="eastAsia"/>
          <w:sz w:val="22"/>
        </w:rPr>
        <w:t xml:space="preserve">　　いずれにせよ、</w:t>
      </w:r>
      <w:r w:rsidRPr="006B737F">
        <w:rPr>
          <w:rFonts w:hint="eastAsia"/>
          <w:sz w:val="22"/>
          <w:u w:val="single"/>
        </w:rPr>
        <w:t>今日の退職金はその多くが就業規則や労働協約によって定められ、これらに基づいて労働者が権利として要求し得る給付であるということは一般的に認められているところ</w:t>
      </w:r>
      <w:r>
        <w:rPr>
          <w:rFonts w:hint="eastAsia"/>
          <w:sz w:val="22"/>
        </w:rPr>
        <w:t>である。</w:t>
      </w:r>
      <w:bookmarkStart w:id="0" w:name="_GoBack"/>
      <w:bookmarkEnd w:id="0"/>
    </w:p>
    <w:p w:rsidR="002C0F7C" w:rsidRDefault="002C0F7C" w:rsidP="00E570FD">
      <w:pPr>
        <w:tabs>
          <w:tab w:val="left" w:pos="1005"/>
        </w:tabs>
        <w:spacing w:line="400" w:lineRule="exact"/>
        <w:ind w:left="220" w:hangingChars="100" w:hanging="220"/>
        <w:rPr>
          <w:rFonts w:hint="eastAsia"/>
          <w:sz w:val="22"/>
        </w:rPr>
      </w:pPr>
    </w:p>
    <w:p w:rsidR="003F129B" w:rsidRPr="003F129B" w:rsidRDefault="002C0F7C" w:rsidP="00E570FD">
      <w:pPr>
        <w:tabs>
          <w:tab w:val="left" w:pos="1005"/>
        </w:tabs>
        <w:spacing w:line="400" w:lineRule="exact"/>
        <w:ind w:left="220" w:hangingChars="100" w:hanging="220"/>
        <w:rPr>
          <w:sz w:val="22"/>
        </w:rPr>
      </w:pPr>
      <w:r>
        <w:rPr>
          <w:rFonts w:hint="eastAsia"/>
          <w:noProof/>
          <w:sz w:val="22"/>
        </w:rPr>
        <mc:AlternateContent>
          <mc:Choice Requires="wps">
            <w:drawing>
              <wp:anchor distT="0" distB="0" distL="114300" distR="114300" simplePos="0" relativeHeight="251663360" behindDoc="0" locked="0" layoutInCell="1" allowOverlap="1">
                <wp:simplePos x="0" y="0"/>
                <wp:positionH relativeFrom="column">
                  <wp:posOffset>89534</wp:posOffset>
                </wp:positionH>
                <wp:positionV relativeFrom="paragraph">
                  <wp:posOffset>32385</wp:posOffset>
                </wp:positionV>
                <wp:extent cx="6257925"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2579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05pt,2.55pt" to="49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" strokecolor="#4579b8 [3044]">
                <v:stroke dashstyle="dash"/>
              </v:line>
            </w:pict>
          </mc:Fallback>
        </mc:AlternateContent>
      </w:r>
      <w:r w:rsidR="003F129B">
        <w:rPr>
          <w:rFonts w:hint="eastAsia"/>
          <w:sz w:val="22"/>
        </w:rPr>
        <w:t xml:space="preserve">　</w:t>
      </w:r>
    </w:p>
    <w:p w:rsidR="008E048C" w:rsidRPr="005F2BB4" w:rsidRDefault="005F2BB4" w:rsidP="00E570FD">
      <w:pPr>
        <w:tabs>
          <w:tab w:val="left" w:pos="1005"/>
        </w:tabs>
        <w:spacing w:line="400" w:lineRule="exact"/>
        <w:ind w:left="220" w:hangingChars="100" w:hanging="220"/>
        <w:rPr>
          <w:rFonts w:asciiTheme="majorEastAsia" w:eastAsiaTheme="majorEastAsia" w:hAnsiTheme="majorEastAsia"/>
          <w:sz w:val="22"/>
        </w:rPr>
      </w:pPr>
      <w:r w:rsidRPr="005F2BB4">
        <w:rPr>
          <w:rFonts w:asciiTheme="majorEastAsia" w:eastAsiaTheme="majorEastAsia" w:hAnsiTheme="majorEastAsia" w:hint="eastAsia"/>
          <w:sz w:val="22"/>
        </w:rPr>
        <w:t>○本審議会の意見（H16.12.16）</w:t>
      </w:r>
    </w:p>
    <w:p w:rsidR="005F2BB4" w:rsidRPr="005F2BB4" w:rsidRDefault="005F2BB4" w:rsidP="00E570FD">
      <w:pPr>
        <w:tabs>
          <w:tab w:val="left" w:pos="1005"/>
        </w:tabs>
        <w:spacing w:line="400" w:lineRule="exact"/>
        <w:ind w:left="220" w:hangingChars="100" w:hanging="220"/>
        <w:rPr>
          <w:sz w:val="22"/>
        </w:rPr>
      </w:pPr>
      <w:r>
        <w:rPr>
          <w:rFonts w:hint="eastAsia"/>
          <w:sz w:val="22"/>
        </w:rPr>
        <w:t xml:space="preserve">　　</w:t>
      </w:r>
      <w:r w:rsidRPr="005F2BB4">
        <w:rPr>
          <w:rFonts w:hint="eastAsia"/>
          <w:sz w:val="22"/>
        </w:rPr>
        <w:t>知事等常勤の特別職については、任期の定めがあることや、職務内容や責務の重要性等に鑑み、一般職の職員とは異なる支給水準や支給方法を定めていることについては一定合理性がある。</w:t>
      </w:r>
    </w:p>
    <w:p w:rsidR="005F2BB4" w:rsidRPr="005F2BB4" w:rsidRDefault="005F2BB4" w:rsidP="00E570FD">
      <w:pPr>
        <w:tabs>
          <w:tab w:val="left" w:pos="1005"/>
        </w:tabs>
        <w:spacing w:line="400" w:lineRule="exact"/>
        <w:ind w:leftChars="105" w:left="220" w:firstLineChars="100" w:firstLine="220"/>
        <w:rPr>
          <w:sz w:val="22"/>
        </w:rPr>
      </w:pPr>
      <w:r w:rsidRPr="005F2BB4">
        <w:rPr>
          <w:rFonts w:hint="eastAsia"/>
          <w:sz w:val="22"/>
        </w:rPr>
        <w:t>他の比較対象である民間役員の退職慰労金との比較については、公表データが少ないことなどから、その水準を一概に比較できるものではない。</w:t>
      </w:r>
    </w:p>
    <w:p w:rsidR="005F2BB4" w:rsidRPr="005F2BB4" w:rsidRDefault="005F2BB4" w:rsidP="00E570FD">
      <w:pPr>
        <w:tabs>
          <w:tab w:val="left" w:pos="1005"/>
        </w:tabs>
        <w:spacing w:line="400" w:lineRule="exact"/>
        <w:ind w:leftChars="105" w:left="220" w:firstLineChars="100" w:firstLine="220"/>
        <w:rPr>
          <w:sz w:val="22"/>
        </w:rPr>
      </w:pPr>
      <w:r w:rsidRPr="005F2BB4">
        <w:rPr>
          <w:rFonts w:hint="eastAsia"/>
          <w:sz w:val="22"/>
        </w:rPr>
        <w:t>このことから、知事等常勤の特別職の退職手当については､その職責・性格を同じくする地方公共団体との比較において水準を議論せざるを得ないと考える。</w:t>
      </w:r>
    </w:p>
    <w:p w:rsidR="005F2BB4" w:rsidRPr="005F2BB4" w:rsidRDefault="005F2BB4" w:rsidP="00A63892">
      <w:pPr>
        <w:tabs>
          <w:tab w:val="left" w:pos="1005"/>
        </w:tabs>
        <w:spacing w:line="400" w:lineRule="exact"/>
        <w:ind w:leftChars="105" w:left="220" w:firstLineChars="100" w:firstLine="220"/>
        <w:rPr>
          <w:sz w:val="22"/>
        </w:rPr>
      </w:pPr>
      <w:r w:rsidRPr="005F2BB4">
        <w:rPr>
          <w:rFonts w:hint="eastAsia"/>
          <w:sz w:val="22"/>
        </w:rPr>
        <w:t>他の都道府県知事の退職手当については、全て給料月額に在職月数を乗じ、これに一定の支給割合を乗じて算出している。その支給割合は、</w:t>
      </w:r>
      <w:r w:rsidRPr="005F2BB4">
        <w:rPr>
          <w:rFonts w:hint="eastAsia"/>
          <w:sz w:val="22"/>
        </w:rPr>
        <w:t>80</w:t>
      </w:r>
      <w:r w:rsidRPr="005F2BB4">
        <w:rPr>
          <w:rFonts w:hint="eastAsia"/>
          <w:sz w:val="22"/>
        </w:rPr>
        <w:t>／</w:t>
      </w:r>
      <w:r w:rsidRPr="005F2BB4">
        <w:rPr>
          <w:rFonts w:hint="eastAsia"/>
          <w:sz w:val="22"/>
        </w:rPr>
        <w:t>100</w:t>
      </w:r>
      <w:r w:rsidRPr="005F2BB4">
        <w:rPr>
          <w:rFonts w:hint="eastAsia"/>
          <w:sz w:val="22"/>
        </w:rPr>
        <w:t>～</w:t>
      </w:r>
      <w:r w:rsidRPr="005F2BB4">
        <w:rPr>
          <w:rFonts w:hint="eastAsia"/>
          <w:sz w:val="22"/>
        </w:rPr>
        <w:t>60</w:t>
      </w:r>
      <w:r w:rsidRPr="005F2BB4">
        <w:rPr>
          <w:rFonts w:hint="eastAsia"/>
          <w:sz w:val="22"/>
        </w:rPr>
        <w:t>／</w:t>
      </w:r>
      <w:r w:rsidRPr="005F2BB4">
        <w:rPr>
          <w:rFonts w:hint="eastAsia"/>
          <w:sz w:val="22"/>
        </w:rPr>
        <w:t>100</w:t>
      </w:r>
      <w:r w:rsidRPr="005F2BB4">
        <w:rPr>
          <w:rFonts w:hint="eastAsia"/>
          <w:sz w:val="22"/>
        </w:rPr>
        <w:t>の範囲内であり、大阪府知事の退職手当の支給割合は、平成</w:t>
      </w:r>
      <w:r w:rsidRPr="005F2BB4">
        <w:rPr>
          <w:rFonts w:hint="eastAsia"/>
          <w:sz w:val="22"/>
        </w:rPr>
        <w:t>13</w:t>
      </w:r>
      <w:r w:rsidRPr="005F2BB4">
        <w:rPr>
          <w:rFonts w:hint="eastAsia"/>
          <w:sz w:val="22"/>
        </w:rPr>
        <w:t>年</w:t>
      </w:r>
      <w:r w:rsidRPr="005F2BB4">
        <w:rPr>
          <w:rFonts w:hint="eastAsia"/>
          <w:sz w:val="22"/>
        </w:rPr>
        <w:t>4</w:t>
      </w:r>
      <w:r w:rsidRPr="005F2BB4">
        <w:rPr>
          <w:rFonts w:hint="eastAsia"/>
          <w:sz w:val="22"/>
        </w:rPr>
        <w:t>月に</w:t>
      </w:r>
      <w:r w:rsidRPr="005F2BB4">
        <w:rPr>
          <w:rFonts w:hint="eastAsia"/>
          <w:sz w:val="22"/>
        </w:rPr>
        <w:t>25</w:t>
      </w:r>
      <w:r w:rsidRPr="005F2BB4">
        <w:rPr>
          <w:rFonts w:hint="eastAsia"/>
          <w:sz w:val="22"/>
        </w:rPr>
        <w:t>％引き下げられ、</w:t>
      </w:r>
      <w:r w:rsidRPr="005F2BB4">
        <w:rPr>
          <w:rFonts w:hint="eastAsia"/>
          <w:sz w:val="22"/>
        </w:rPr>
        <w:t>60</w:t>
      </w:r>
      <w:r w:rsidRPr="005F2BB4">
        <w:rPr>
          <w:rFonts w:hint="eastAsia"/>
          <w:sz w:val="22"/>
        </w:rPr>
        <w:t>／</w:t>
      </w:r>
      <w:r w:rsidRPr="005F2BB4">
        <w:rPr>
          <w:rFonts w:hint="eastAsia"/>
          <w:sz w:val="22"/>
        </w:rPr>
        <w:t>100</w:t>
      </w:r>
      <w:r w:rsidRPr="005F2BB4">
        <w:rPr>
          <w:rFonts w:hint="eastAsia"/>
          <w:sz w:val="22"/>
        </w:rPr>
        <w:t>となっている。</w:t>
      </w:r>
    </w:p>
    <w:p w:rsidR="005F2BB4" w:rsidRPr="005F2BB4" w:rsidRDefault="005F2BB4" w:rsidP="00E570FD">
      <w:pPr>
        <w:tabs>
          <w:tab w:val="left" w:pos="1005"/>
        </w:tabs>
        <w:spacing w:line="400" w:lineRule="exact"/>
        <w:ind w:leftChars="105" w:left="220" w:firstLineChars="100" w:firstLine="220"/>
        <w:rPr>
          <w:sz w:val="22"/>
        </w:rPr>
      </w:pPr>
      <w:r w:rsidRPr="005F2BB4">
        <w:rPr>
          <w:rFonts w:hint="eastAsia"/>
          <w:sz w:val="22"/>
        </w:rPr>
        <w:t>また、支給額も低位の水準にあり、同じ職責の他の都道府県知事との比較においては、見直し、改定を直ちに行う水準ではないと考える。</w:t>
      </w:r>
    </w:p>
    <w:p w:rsidR="005F2BB4" w:rsidRPr="008E048C" w:rsidRDefault="005F2BB4" w:rsidP="00E570FD">
      <w:pPr>
        <w:tabs>
          <w:tab w:val="left" w:pos="1005"/>
        </w:tabs>
        <w:spacing w:line="400" w:lineRule="exact"/>
        <w:ind w:leftChars="105" w:left="220" w:firstLineChars="100" w:firstLine="220"/>
        <w:rPr>
          <w:sz w:val="22"/>
        </w:rPr>
      </w:pPr>
      <w:r w:rsidRPr="005F2BB4">
        <w:rPr>
          <w:rFonts w:hint="eastAsia"/>
          <w:sz w:val="22"/>
        </w:rPr>
        <w:t>ただし、退職手当については昨今の世論の中でも種々の議論があるところであり、今後とも、この動向を見極め、必要に応じて適切に対応する必要があると考える。</w:t>
      </w:r>
    </w:p>
    <w:p w:rsidR="00833330" w:rsidRPr="00833330" w:rsidRDefault="00833330" w:rsidP="005F2BB4">
      <w:pPr>
        <w:tabs>
          <w:tab w:val="left" w:pos="1005"/>
        </w:tabs>
        <w:rPr>
          <w:sz w:val="22"/>
        </w:rPr>
      </w:pPr>
    </w:p>
    <w:sectPr w:rsidR="00833330" w:rsidRPr="00833330" w:rsidSect="00032B0D">
      <w:pgSz w:w="11906" w:h="16838"/>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E1" w:rsidRDefault="00C26CE1" w:rsidP="00330B8D">
      <w:r>
        <w:separator/>
      </w:r>
    </w:p>
  </w:endnote>
  <w:endnote w:type="continuationSeparator" w:id="0">
    <w:p w:rsidR="00C26CE1" w:rsidRDefault="00C26CE1" w:rsidP="0033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E1" w:rsidRDefault="00C26CE1" w:rsidP="00330B8D">
      <w:r>
        <w:separator/>
      </w:r>
    </w:p>
  </w:footnote>
  <w:footnote w:type="continuationSeparator" w:id="0">
    <w:p w:rsidR="00C26CE1" w:rsidRDefault="00C26CE1" w:rsidP="00330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0D"/>
    <w:rsid w:val="00032B0D"/>
    <w:rsid w:val="0028378C"/>
    <w:rsid w:val="002C0F7C"/>
    <w:rsid w:val="00330B8D"/>
    <w:rsid w:val="003F129B"/>
    <w:rsid w:val="004A0A7B"/>
    <w:rsid w:val="005F2BB4"/>
    <w:rsid w:val="00616057"/>
    <w:rsid w:val="006B737F"/>
    <w:rsid w:val="006C7011"/>
    <w:rsid w:val="00833330"/>
    <w:rsid w:val="0085084B"/>
    <w:rsid w:val="008E048C"/>
    <w:rsid w:val="00992735"/>
    <w:rsid w:val="00A01DE0"/>
    <w:rsid w:val="00A63892"/>
    <w:rsid w:val="00B32DB0"/>
    <w:rsid w:val="00B44E85"/>
    <w:rsid w:val="00B726DF"/>
    <w:rsid w:val="00B9343A"/>
    <w:rsid w:val="00C26CE1"/>
    <w:rsid w:val="00C37D30"/>
    <w:rsid w:val="00DE69B4"/>
    <w:rsid w:val="00E570FD"/>
    <w:rsid w:val="00FD5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2B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2B0D"/>
    <w:rPr>
      <w:rFonts w:asciiTheme="majorHAnsi" w:eastAsiaTheme="majorEastAsia" w:hAnsiTheme="majorHAnsi" w:cstheme="majorBidi"/>
      <w:sz w:val="18"/>
      <w:szCs w:val="18"/>
    </w:rPr>
  </w:style>
  <w:style w:type="paragraph" w:styleId="Web">
    <w:name w:val="Normal (Web)"/>
    <w:basedOn w:val="a"/>
    <w:uiPriority w:val="99"/>
    <w:semiHidden/>
    <w:unhideWhenUsed/>
    <w:rsid w:val="00FD5F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330B8D"/>
    <w:pPr>
      <w:tabs>
        <w:tab w:val="center" w:pos="4252"/>
        <w:tab w:val="right" w:pos="8504"/>
      </w:tabs>
      <w:snapToGrid w:val="0"/>
    </w:pPr>
  </w:style>
  <w:style w:type="character" w:customStyle="1" w:styleId="a7">
    <w:name w:val="ヘッダー (文字)"/>
    <w:basedOn w:val="a0"/>
    <w:link w:val="a6"/>
    <w:uiPriority w:val="99"/>
    <w:rsid w:val="00330B8D"/>
  </w:style>
  <w:style w:type="paragraph" w:styleId="a8">
    <w:name w:val="footer"/>
    <w:basedOn w:val="a"/>
    <w:link w:val="a9"/>
    <w:uiPriority w:val="99"/>
    <w:unhideWhenUsed/>
    <w:rsid w:val="00330B8D"/>
    <w:pPr>
      <w:tabs>
        <w:tab w:val="center" w:pos="4252"/>
        <w:tab w:val="right" w:pos="8504"/>
      </w:tabs>
      <w:snapToGrid w:val="0"/>
    </w:pPr>
  </w:style>
  <w:style w:type="character" w:customStyle="1" w:styleId="a9">
    <w:name w:val="フッター (文字)"/>
    <w:basedOn w:val="a0"/>
    <w:link w:val="a8"/>
    <w:uiPriority w:val="99"/>
    <w:rsid w:val="00330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2B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2B0D"/>
    <w:rPr>
      <w:rFonts w:asciiTheme="majorHAnsi" w:eastAsiaTheme="majorEastAsia" w:hAnsiTheme="majorHAnsi" w:cstheme="majorBidi"/>
      <w:sz w:val="18"/>
      <w:szCs w:val="18"/>
    </w:rPr>
  </w:style>
  <w:style w:type="paragraph" w:styleId="Web">
    <w:name w:val="Normal (Web)"/>
    <w:basedOn w:val="a"/>
    <w:uiPriority w:val="99"/>
    <w:semiHidden/>
    <w:unhideWhenUsed/>
    <w:rsid w:val="00FD5F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330B8D"/>
    <w:pPr>
      <w:tabs>
        <w:tab w:val="center" w:pos="4252"/>
        <w:tab w:val="right" w:pos="8504"/>
      </w:tabs>
      <w:snapToGrid w:val="0"/>
    </w:pPr>
  </w:style>
  <w:style w:type="character" w:customStyle="1" w:styleId="a7">
    <w:name w:val="ヘッダー (文字)"/>
    <w:basedOn w:val="a0"/>
    <w:link w:val="a6"/>
    <w:uiPriority w:val="99"/>
    <w:rsid w:val="00330B8D"/>
  </w:style>
  <w:style w:type="paragraph" w:styleId="a8">
    <w:name w:val="footer"/>
    <w:basedOn w:val="a"/>
    <w:link w:val="a9"/>
    <w:uiPriority w:val="99"/>
    <w:unhideWhenUsed/>
    <w:rsid w:val="00330B8D"/>
    <w:pPr>
      <w:tabs>
        <w:tab w:val="center" w:pos="4252"/>
        <w:tab w:val="right" w:pos="8504"/>
      </w:tabs>
      <w:snapToGrid w:val="0"/>
    </w:pPr>
  </w:style>
  <w:style w:type="character" w:customStyle="1" w:styleId="a9">
    <w:name w:val="フッター (文字)"/>
    <w:basedOn w:val="a0"/>
    <w:link w:val="a8"/>
    <w:uiPriority w:val="99"/>
    <w:rsid w:val="0033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12</cp:revision>
  <cp:lastPrinted>2011-11-02T00:58:00Z</cp:lastPrinted>
  <dcterms:created xsi:type="dcterms:W3CDTF">2011-09-26T02:29:00Z</dcterms:created>
  <dcterms:modified xsi:type="dcterms:W3CDTF">2011-11-08T09:21:00Z</dcterms:modified>
</cp:coreProperties>
</file>