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C9" w:rsidRDefault="005408C9" w:rsidP="005408C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6278" wp14:editId="3E4C7162">
                <wp:simplePos x="0" y="0"/>
                <wp:positionH relativeFrom="column">
                  <wp:posOffset>4893945</wp:posOffset>
                </wp:positionH>
                <wp:positionV relativeFrom="paragraph">
                  <wp:posOffset>-234315</wp:posOffset>
                </wp:positionV>
                <wp:extent cx="1609725" cy="456565"/>
                <wp:effectExtent l="0" t="0" r="28575" b="1968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8C9" w:rsidRPr="00097CFE" w:rsidRDefault="005408C9" w:rsidP="005408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48FB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85.35pt;margin-top:-18.45pt;width:126.75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oe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" fillcolor="window" strokecolor="#f79646" strokeweight="2pt">
                <v:textbox>
                  <w:txbxContent>
                    <w:p w:rsidR="005408C9" w:rsidRPr="00097CFE" w:rsidRDefault="005408C9" w:rsidP="005408C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2548FB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5408C9" w:rsidRDefault="005408C9" w:rsidP="005408C9">
      <w:pPr>
        <w:rPr>
          <w:b/>
          <w:bCs/>
        </w:rPr>
      </w:pPr>
    </w:p>
    <w:p w:rsidR="005408C9" w:rsidRPr="00E70E30" w:rsidRDefault="005408C9" w:rsidP="005408C9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E70E30">
        <w:rPr>
          <w:rFonts w:asciiTheme="majorEastAsia" w:eastAsiaTheme="majorEastAsia" w:hAnsiTheme="majorEastAsia" w:hint="eastAsia"/>
          <w:bCs/>
          <w:sz w:val="28"/>
          <w:szCs w:val="28"/>
        </w:rPr>
        <w:t>平成２２年国民生活基礎調査（厚生労働省）</w:t>
      </w:r>
      <w:bookmarkStart w:id="0" w:name="_GoBack"/>
      <w:bookmarkEnd w:id="0"/>
    </w:p>
    <w:p w:rsidR="005408C9" w:rsidRDefault="005408C9" w:rsidP="005408C9">
      <w:pPr>
        <w:rPr>
          <w:b/>
          <w:bCs/>
        </w:rPr>
      </w:pPr>
    </w:p>
    <w:p w:rsidR="005408C9" w:rsidRPr="005408C9" w:rsidRDefault="005408C9" w:rsidP="005408C9">
      <w:pPr>
        <w:rPr>
          <w:b/>
          <w:bCs/>
        </w:rPr>
      </w:pPr>
      <w:r w:rsidRPr="005408C9">
        <w:rPr>
          <w:rFonts w:hint="eastAsia"/>
          <w:b/>
          <w:bCs/>
        </w:rPr>
        <w:t>2</w:t>
      </w:r>
      <w:r w:rsidRPr="005408C9">
        <w:rPr>
          <w:rFonts w:hint="eastAsia"/>
          <w:b/>
          <w:bCs/>
        </w:rPr>
        <w:t xml:space="preserve">　所得の分布状況</w:t>
      </w:r>
    </w:p>
    <w:p w:rsidR="005408C9" w:rsidRPr="005408C9" w:rsidRDefault="005408C9" w:rsidP="005408C9">
      <w:r w:rsidRPr="005408C9">
        <w:rPr>
          <w:rFonts w:hint="eastAsia"/>
        </w:rPr>
        <w:t xml:space="preserve">　所得金額階級別に世帯数の相対度数分布をみると、「</w:t>
      </w:r>
      <w:r w:rsidRPr="005408C9">
        <w:rPr>
          <w:rFonts w:hint="eastAsia"/>
        </w:rPr>
        <w:t>200</w:t>
      </w:r>
      <w:r w:rsidRPr="005408C9">
        <w:rPr>
          <w:rFonts w:hint="eastAsia"/>
        </w:rPr>
        <w:t>～</w:t>
      </w:r>
      <w:r w:rsidRPr="005408C9">
        <w:rPr>
          <w:rFonts w:hint="eastAsia"/>
        </w:rPr>
        <w:t>300</w:t>
      </w:r>
      <w:r w:rsidRPr="005408C9">
        <w:rPr>
          <w:rFonts w:hint="eastAsia"/>
        </w:rPr>
        <w:t>万円未満」が</w:t>
      </w:r>
      <w:r w:rsidRPr="005408C9">
        <w:rPr>
          <w:rFonts w:hint="eastAsia"/>
        </w:rPr>
        <w:t xml:space="preserve"> 13.5</w:t>
      </w:r>
      <w:r w:rsidRPr="005408C9">
        <w:rPr>
          <w:rFonts w:hint="eastAsia"/>
        </w:rPr>
        <w:t>％、「</w:t>
      </w:r>
      <w:r w:rsidRPr="005408C9">
        <w:rPr>
          <w:rFonts w:hint="eastAsia"/>
        </w:rPr>
        <w:t>300</w:t>
      </w:r>
      <w:r w:rsidRPr="005408C9">
        <w:rPr>
          <w:rFonts w:hint="eastAsia"/>
        </w:rPr>
        <w:t>～</w:t>
      </w:r>
      <w:r w:rsidRPr="005408C9">
        <w:rPr>
          <w:rFonts w:hint="eastAsia"/>
        </w:rPr>
        <w:t>400</w:t>
      </w:r>
      <w:r w:rsidRPr="005408C9">
        <w:rPr>
          <w:rFonts w:hint="eastAsia"/>
        </w:rPr>
        <w:t>万円未満」が</w:t>
      </w:r>
      <w:r w:rsidRPr="005408C9">
        <w:rPr>
          <w:rFonts w:hint="eastAsia"/>
        </w:rPr>
        <w:t xml:space="preserve"> 13.1</w:t>
      </w:r>
      <w:r w:rsidRPr="005408C9">
        <w:rPr>
          <w:rFonts w:hint="eastAsia"/>
        </w:rPr>
        <w:t>％と多くなっている。</w:t>
      </w:r>
      <w:r w:rsidRPr="005408C9">
        <w:rPr>
          <w:rFonts w:hint="eastAsia"/>
        </w:rPr>
        <w:br/>
      </w:r>
      <w:r w:rsidRPr="005408C9">
        <w:rPr>
          <w:rFonts w:hint="eastAsia"/>
        </w:rPr>
        <w:t xml:space="preserve">　中央値</w:t>
      </w:r>
      <w:r w:rsidRPr="005408C9">
        <w:rPr>
          <w:rFonts w:hint="eastAsia"/>
        </w:rPr>
        <w:t>(</w:t>
      </w:r>
      <w:r w:rsidRPr="005408C9">
        <w:rPr>
          <w:rFonts w:hint="eastAsia"/>
        </w:rPr>
        <w:t>所得を低いものから高いものへと順に並べて</w:t>
      </w:r>
      <w:r w:rsidRPr="005408C9">
        <w:rPr>
          <w:rFonts w:hint="eastAsia"/>
        </w:rPr>
        <w:t>2</w:t>
      </w:r>
      <w:r w:rsidRPr="005408C9">
        <w:rPr>
          <w:rFonts w:hint="eastAsia"/>
        </w:rPr>
        <w:t>等分する境界値</w:t>
      </w:r>
      <w:r w:rsidRPr="005408C9">
        <w:rPr>
          <w:rFonts w:hint="eastAsia"/>
        </w:rPr>
        <w:t>)</w:t>
      </w:r>
      <w:r w:rsidRPr="005408C9">
        <w:rPr>
          <w:rFonts w:hint="eastAsia"/>
        </w:rPr>
        <w:t>は</w:t>
      </w:r>
      <w:r w:rsidRPr="005408C9">
        <w:rPr>
          <w:rFonts w:hint="eastAsia"/>
        </w:rPr>
        <w:t xml:space="preserve"> 438</w:t>
      </w:r>
      <w:r w:rsidRPr="005408C9">
        <w:rPr>
          <w:rFonts w:hint="eastAsia"/>
        </w:rPr>
        <w:t>万円であり、平均所得金額</w:t>
      </w:r>
      <w:r w:rsidRPr="005408C9">
        <w:rPr>
          <w:rFonts w:hint="eastAsia"/>
        </w:rPr>
        <w:t>(549</w:t>
      </w:r>
      <w:r w:rsidRPr="005408C9">
        <w:rPr>
          <w:rFonts w:hint="eastAsia"/>
        </w:rPr>
        <w:t>万</w:t>
      </w:r>
      <w:r w:rsidRPr="005408C9">
        <w:rPr>
          <w:rFonts w:hint="eastAsia"/>
        </w:rPr>
        <w:t>6</w:t>
      </w:r>
      <w:r w:rsidRPr="005408C9">
        <w:rPr>
          <w:rFonts w:hint="eastAsia"/>
        </w:rPr>
        <w:t>千円</w:t>
      </w:r>
      <w:r w:rsidRPr="005408C9">
        <w:rPr>
          <w:rFonts w:hint="eastAsia"/>
        </w:rPr>
        <w:t>)</w:t>
      </w:r>
      <w:r w:rsidRPr="005408C9">
        <w:rPr>
          <w:rFonts w:hint="eastAsia"/>
        </w:rPr>
        <w:t>以下の割合は</w:t>
      </w:r>
      <w:r w:rsidRPr="005408C9">
        <w:rPr>
          <w:rFonts w:hint="eastAsia"/>
        </w:rPr>
        <w:t xml:space="preserve"> 61.4</w:t>
      </w:r>
      <w:r w:rsidRPr="005408C9">
        <w:rPr>
          <w:rFonts w:hint="eastAsia"/>
        </w:rPr>
        <w:t>％となっている。</w:t>
      </w:r>
      <w:r w:rsidRPr="005408C9">
        <w:rPr>
          <w:rFonts w:hint="eastAsia"/>
        </w:rPr>
        <w:t>(</w:t>
      </w:r>
      <w:r w:rsidRPr="005408C9">
        <w:rPr>
          <w:rFonts w:hint="eastAsia"/>
        </w:rPr>
        <w:t>図</w:t>
      </w:r>
      <w:r w:rsidRPr="005408C9">
        <w:rPr>
          <w:rFonts w:hint="eastAsia"/>
        </w:rPr>
        <w:t>14)</w:t>
      </w:r>
    </w:p>
    <w:p w:rsidR="005408C9" w:rsidRPr="005408C9" w:rsidRDefault="005408C9" w:rsidP="005408C9">
      <w:r w:rsidRPr="005408C9">
        <w:rPr>
          <w:rFonts w:hint="eastAsia"/>
        </w:rPr>
        <w:t>図</w:t>
      </w:r>
      <w:r w:rsidRPr="005408C9">
        <w:rPr>
          <w:rFonts w:hint="eastAsia"/>
        </w:rPr>
        <w:t>14</w:t>
      </w:r>
      <w:r w:rsidRPr="005408C9">
        <w:rPr>
          <w:rFonts w:hint="eastAsia"/>
        </w:rPr>
        <w:t xml:space="preserve">　所得金額階級別にみた世帯数の相対度数分布</w:t>
      </w:r>
    </w:p>
    <w:p w:rsidR="005408C9" w:rsidRPr="005408C9" w:rsidRDefault="005408C9" w:rsidP="005408C9">
      <w:r w:rsidRPr="005408C9">
        <w:rPr>
          <w:noProof/>
        </w:rPr>
        <w:drawing>
          <wp:inline distT="0" distB="0" distL="0" distR="0">
            <wp:extent cx="6553200" cy="4401536"/>
            <wp:effectExtent l="0" t="0" r="0" b="0"/>
            <wp:docPr id="3" name="図 3" descr="図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図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042" cy="440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C9" w:rsidRPr="005408C9" w:rsidRDefault="005408C9" w:rsidP="005408C9">
      <w:r w:rsidRPr="005408C9">
        <w:rPr>
          <w:rFonts w:hint="eastAsia"/>
        </w:rPr>
        <w:t xml:space="preserve">　「平均所得金額以下」の世帯について、所得金額階級別に累積度数分布をみると、「</w:t>
      </w:r>
      <w:r w:rsidRPr="005408C9">
        <w:rPr>
          <w:rFonts w:hint="eastAsia"/>
        </w:rPr>
        <w:t>500</w:t>
      </w:r>
      <w:r w:rsidRPr="005408C9">
        <w:rPr>
          <w:rFonts w:hint="eastAsia"/>
        </w:rPr>
        <w:t>万円未満」は</w:t>
      </w:r>
      <w:r w:rsidRPr="005408C9">
        <w:rPr>
          <w:rFonts w:hint="eastAsia"/>
        </w:rPr>
        <w:t xml:space="preserve"> 56.3</w:t>
      </w:r>
      <w:r w:rsidRPr="005408C9">
        <w:rPr>
          <w:rFonts w:hint="eastAsia"/>
        </w:rPr>
        <w:t>％となっており、平成</w:t>
      </w:r>
      <w:r w:rsidRPr="005408C9">
        <w:rPr>
          <w:rFonts w:hint="eastAsia"/>
        </w:rPr>
        <w:t>13</w:t>
      </w:r>
      <w:r w:rsidRPr="005408C9">
        <w:rPr>
          <w:rFonts w:hint="eastAsia"/>
        </w:rPr>
        <w:t>年以降、</w:t>
      </w:r>
      <w:r w:rsidRPr="005408C9">
        <w:rPr>
          <w:rFonts w:hint="eastAsia"/>
        </w:rPr>
        <w:t>5</w:t>
      </w:r>
      <w:r w:rsidRPr="005408C9">
        <w:rPr>
          <w:rFonts w:hint="eastAsia"/>
        </w:rPr>
        <w:t>割を超えている</w:t>
      </w:r>
      <w:r w:rsidRPr="005408C9">
        <w:rPr>
          <w:rFonts w:hint="eastAsia"/>
        </w:rPr>
        <w:t>(</w:t>
      </w:r>
      <w:r w:rsidRPr="005408C9">
        <w:rPr>
          <w:rFonts w:hint="eastAsia"/>
        </w:rPr>
        <w:t>図</w:t>
      </w:r>
      <w:r w:rsidRPr="005408C9">
        <w:rPr>
          <w:rFonts w:hint="eastAsia"/>
        </w:rPr>
        <w:t>15)</w:t>
      </w:r>
      <w:r w:rsidRPr="005408C9">
        <w:rPr>
          <w:rFonts w:hint="eastAsia"/>
        </w:rPr>
        <w:t>。</w:t>
      </w:r>
    </w:p>
    <w:p w:rsidR="00DE69B4" w:rsidRPr="005408C9" w:rsidRDefault="00DE69B4"/>
    <w:sectPr w:rsidR="00DE69B4" w:rsidRPr="005408C9" w:rsidSect="005408C9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FB" w:rsidRDefault="002548FB" w:rsidP="002548FB">
      <w:r>
        <w:separator/>
      </w:r>
    </w:p>
  </w:endnote>
  <w:endnote w:type="continuationSeparator" w:id="0">
    <w:p w:rsidR="002548FB" w:rsidRDefault="002548FB" w:rsidP="002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FB" w:rsidRDefault="002548FB" w:rsidP="002548FB">
      <w:r>
        <w:separator/>
      </w:r>
    </w:p>
  </w:footnote>
  <w:footnote w:type="continuationSeparator" w:id="0">
    <w:p w:rsidR="002548FB" w:rsidRDefault="002548FB" w:rsidP="0025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C9"/>
    <w:rsid w:val="002548FB"/>
    <w:rsid w:val="005408C9"/>
    <w:rsid w:val="00B726DF"/>
    <w:rsid w:val="00B9343A"/>
    <w:rsid w:val="00DE69B4"/>
    <w:rsid w:val="00E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FB"/>
  </w:style>
  <w:style w:type="paragraph" w:styleId="a7">
    <w:name w:val="footer"/>
    <w:basedOn w:val="a"/>
    <w:link w:val="a8"/>
    <w:uiPriority w:val="99"/>
    <w:unhideWhenUsed/>
    <w:rsid w:val="00254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FB"/>
  </w:style>
  <w:style w:type="paragraph" w:styleId="a7">
    <w:name w:val="footer"/>
    <w:basedOn w:val="a"/>
    <w:link w:val="a8"/>
    <w:uiPriority w:val="99"/>
    <w:unhideWhenUsed/>
    <w:rsid w:val="00254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699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74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4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97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4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833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7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6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654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4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14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7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大阪府庁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2011-08-16T01:30:00Z</cp:lastPrinted>
  <dcterms:created xsi:type="dcterms:W3CDTF">2011-08-12T00:25:00Z</dcterms:created>
  <dcterms:modified xsi:type="dcterms:W3CDTF">2011-08-16T01:30:00Z</dcterms:modified>
</cp:coreProperties>
</file>