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6D89" w14:textId="77777777" w:rsidR="004341EA" w:rsidRPr="000E3C5D" w:rsidRDefault="004341EA" w:rsidP="004341EA">
      <w:pPr>
        <w:jc w:val="center"/>
        <w:rPr>
          <w:rFonts w:asciiTheme="minorEastAsia" w:eastAsiaTheme="minorEastAsia" w:hAnsiTheme="minorEastAsia" w:cs="Times New Roman"/>
          <w:spacing w:val="2"/>
        </w:rPr>
      </w:pPr>
      <w:r w:rsidRPr="000E3C5D">
        <w:rPr>
          <w:rFonts w:asciiTheme="minorEastAsia" w:eastAsiaTheme="minorEastAsia" w:hAnsiTheme="minorEastAsia" w:hint="eastAsia"/>
          <w:spacing w:val="2"/>
          <w:sz w:val="40"/>
          <w:szCs w:val="40"/>
        </w:rPr>
        <w:t>大阪府広域火葬事務処理要領</w:t>
      </w:r>
    </w:p>
    <w:p w14:paraId="4B04F55D"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（目的）</w:t>
      </w:r>
    </w:p>
    <w:p w14:paraId="1845CD66"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spacing w:val="2"/>
        </w:rPr>
      </w:pPr>
      <w:r w:rsidRPr="000E3C5D">
        <w:rPr>
          <w:rFonts w:asciiTheme="minorEastAsia" w:eastAsiaTheme="minorEastAsia" w:hAnsiTheme="minorEastAsia" w:hint="eastAsia"/>
        </w:rPr>
        <w:t>第１条　この要領は、大阪府広域火葬計画（以下「火葬計画」という。）に基づき、府、市町村（一部事務組合を含む。）及び近隣府県間の広域火葬に係る速やかな情報の伝達に必要な事項を定める。</w:t>
      </w:r>
    </w:p>
    <w:p w14:paraId="48E58903" w14:textId="77777777" w:rsidR="004341EA" w:rsidRPr="000E3C5D" w:rsidRDefault="004341EA" w:rsidP="004341EA">
      <w:pPr>
        <w:spacing w:line="278" w:lineRule="exact"/>
        <w:rPr>
          <w:rFonts w:asciiTheme="minorEastAsia" w:eastAsiaTheme="minorEastAsia" w:hAnsiTheme="minorEastAsia" w:cs="Times New Roman"/>
          <w:spacing w:val="2"/>
        </w:rPr>
      </w:pPr>
    </w:p>
    <w:p w14:paraId="28C61275"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（基礎資料の整備）</w:t>
      </w:r>
    </w:p>
    <w:p w14:paraId="51BEC83A"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spacing w:val="2"/>
        </w:rPr>
      </w:pPr>
      <w:r w:rsidRPr="000E3C5D">
        <w:rPr>
          <w:rFonts w:asciiTheme="minorEastAsia" w:eastAsiaTheme="minorEastAsia" w:hAnsiTheme="minorEastAsia" w:hint="eastAsia"/>
        </w:rPr>
        <w:t>第２条　府は、火葬計画第２－１の規定により、次に掲げる基礎資料を作成し、市町村に周知する。</w:t>
      </w:r>
    </w:p>
    <w:p w14:paraId="5911FD66" w14:textId="77777777" w:rsidR="00F9158D" w:rsidRDefault="004341EA" w:rsidP="004341EA">
      <w:pPr>
        <w:spacing w:line="278" w:lineRule="exact"/>
        <w:rPr>
          <w:rFonts w:asciiTheme="minorEastAsia" w:eastAsiaTheme="minorEastAsia" w:hAnsiTheme="minorEastAsia"/>
        </w:rPr>
      </w:pPr>
      <w:r w:rsidRPr="000E3C5D">
        <w:rPr>
          <w:rFonts w:asciiTheme="minorEastAsia" w:eastAsiaTheme="minorEastAsia" w:hAnsiTheme="minorEastAsia" w:hint="eastAsia"/>
        </w:rPr>
        <w:t xml:space="preserve"> 　(1)市町村等連絡調整担当部局一覧</w:t>
      </w:r>
      <w:r w:rsidR="006E2A26">
        <w:rPr>
          <w:rFonts w:asciiTheme="minorEastAsia" w:eastAsiaTheme="minorEastAsia" w:hAnsiTheme="minorEastAsia" w:hint="eastAsia"/>
        </w:rPr>
        <w:t>、</w:t>
      </w:r>
      <w:r w:rsidR="006E2A26" w:rsidRPr="000E3C5D">
        <w:rPr>
          <w:rFonts w:asciiTheme="minorEastAsia" w:eastAsiaTheme="minorEastAsia" w:hAnsiTheme="minorEastAsia" w:hint="eastAsia"/>
        </w:rPr>
        <w:t>火葬場連絡調整主管課等一覧</w:t>
      </w:r>
    </w:p>
    <w:p w14:paraId="6BF36991" w14:textId="01EE1DDA" w:rsidR="004341EA" w:rsidRPr="000E3C5D" w:rsidRDefault="004341EA" w:rsidP="00F9158D">
      <w:pPr>
        <w:spacing w:line="278" w:lineRule="exact"/>
        <w:ind w:firstLineChars="150" w:firstLine="318"/>
        <w:rPr>
          <w:rFonts w:asciiTheme="minorEastAsia" w:eastAsiaTheme="minorEastAsia" w:hAnsiTheme="minorEastAsia" w:cs="Times New Roman"/>
          <w:spacing w:val="2"/>
        </w:rPr>
      </w:pPr>
      <w:r w:rsidRPr="000E3C5D">
        <w:rPr>
          <w:rFonts w:asciiTheme="minorEastAsia" w:eastAsiaTheme="minorEastAsia" w:hAnsiTheme="minorEastAsia" w:hint="eastAsia"/>
        </w:rPr>
        <w:t>(</w:t>
      </w:r>
      <w:r w:rsidR="006E2A26">
        <w:rPr>
          <w:rFonts w:asciiTheme="minorEastAsia" w:eastAsiaTheme="minorEastAsia" w:hAnsiTheme="minorEastAsia" w:hint="eastAsia"/>
        </w:rPr>
        <w:t>2</w:t>
      </w:r>
      <w:r w:rsidRPr="000E3C5D">
        <w:rPr>
          <w:rFonts w:asciiTheme="minorEastAsia" w:eastAsiaTheme="minorEastAsia" w:hAnsiTheme="minorEastAsia" w:hint="eastAsia"/>
        </w:rPr>
        <w:t>)火葬場整備状況一覧</w:t>
      </w:r>
      <w:r w:rsidR="006E2A26">
        <w:rPr>
          <w:rFonts w:asciiTheme="minorEastAsia" w:eastAsiaTheme="minorEastAsia" w:hAnsiTheme="minorEastAsia" w:hint="eastAsia"/>
        </w:rPr>
        <w:t>、火葬場案内図</w:t>
      </w:r>
    </w:p>
    <w:p w14:paraId="7425D263" w14:textId="1863CF8C"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w:t>
      </w:r>
      <w:r w:rsidR="006E2A26">
        <w:rPr>
          <w:rFonts w:asciiTheme="minorEastAsia" w:eastAsiaTheme="minorEastAsia" w:hAnsiTheme="minorEastAsia" w:hint="eastAsia"/>
        </w:rPr>
        <w:t>3</w:t>
      </w:r>
      <w:r w:rsidRPr="000E3C5D">
        <w:rPr>
          <w:rFonts w:asciiTheme="minorEastAsia" w:eastAsiaTheme="minorEastAsia" w:hAnsiTheme="minorEastAsia" w:hint="eastAsia"/>
        </w:rPr>
        <w:t>)その他必要な資料</w:t>
      </w:r>
    </w:p>
    <w:p w14:paraId="6A0523C3"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spacing w:val="2"/>
        </w:rPr>
      </w:pPr>
      <w:r w:rsidRPr="000E3C5D">
        <w:rPr>
          <w:rFonts w:asciiTheme="minorEastAsia" w:eastAsiaTheme="minorEastAsia" w:hAnsiTheme="minorEastAsia" w:hint="eastAsia"/>
        </w:rPr>
        <w:t>２　市町村は、大規模災害時において資器材の調達・運搬、火葬等の広域的応援の円滑な推進を確保するため、前項に掲げられた資料を常備・活用する。</w:t>
      </w:r>
    </w:p>
    <w:p w14:paraId="6239DD29" w14:textId="77777777" w:rsidR="004341EA" w:rsidRPr="000E3C5D" w:rsidRDefault="004341EA" w:rsidP="004341EA">
      <w:pPr>
        <w:spacing w:line="278" w:lineRule="exact"/>
        <w:rPr>
          <w:rFonts w:asciiTheme="minorEastAsia" w:eastAsiaTheme="minorEastAsia" w:hAnsiTheme="minorEastAsia" w:cs="Times New Roman"/>
          <w:spacing w:val="2"/>
        </w:rPr>
      </w:pPr>
    </w:p>
    <w:p w14:paraId="60E64842"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（通報先及び方法）</w:t>
      </w:r>
    </w:p>
    <w:p w14:paraId="7D6EE80F"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第３条　府がこの要領の規定に基づき行う通知等は、市町村へ行うものとする。</w:t>
      </w:r>
    </w:p>
    <w:p w14:paraId="22C990B8"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 xml:space="preserve">２　</w:t>
      </w:r>
      <w:r w:rsidRPr="000E3C5D">
        <w:rPr>
          <w:rFonts w:asciiTheme="minorEastAsia" w:eastAsiaTheme="minorEastAsia" w:hAnsiTheme="minorEastAsia" w:hint="eastAsia"/>
          <w:color w:val="auto"/>
        </w:rPr>
        <w:t>市町村が</w:t>
      </w:r>
      <w:r w:rsidRPr="000E3C5D">
        <w:rPr>
          <w:rFonts w:asciiTheme="minorEastAsia" w:eastAsiaTheme="minorEastAsia" w:hAnsiTheme="minorEastAsia" w:hint="eastAsia"/>
        </w:rPr>
        <w:t>この要領の規定に基づき行う報告等は、府へ行うものとする。</w:t>
      </w:r>
    </w:p>
    <w:p w14:paraId="29C1B3B1" w14:textId="77777777" w:rsidR="004341EA" w:rsidRPr="000E3C5D" w:rsidRDefault="004341EA" w:rsidP="004341EA">
      <w:pPr>
        <w:spacing w:line="278" w:lineRule="exact"/>
        <w:rPr>
          <w:rFonts w:asciiTheme="minorEastAsia" w:eastAsiaTheme="minorEastAsia" w:hAnsiTheme="minorEastAsia" w:cs="Times New Roman"/>
          <w:spacing w:val="2"/>
        </w:rPr>
      </w:pPr>
    </w:p>
    <w:p w14:paraId="071766C5"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（火葬場被害状況報告）</w:t>
      </w:r>
    </w:p>
    <w:p w14:paraId="27CE4266" w14:textId="5B021CC8"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第４条　火葬計画第３－２の規定による報告は、火葬場被害（復旧）状況報告</w:t>
      </w:r>
      <w:r w:rsidR="006E2A26">
        <w:rPr>
          <w:rFonts w:asciiTheme="minorEastAsia" w:eastAsiaTheme="minorEastAsia" w:hAnsiTheme="minorEastAsia" w:hint="eastAsia"/>
        </w:rPr>
        <w:t>（オンライン入力</w:t>
      </w:r>
      <w:r w:rsidR="003C0089">
        <w:rPr>
          <w:rFonts w:asciiTheme="minorEastAsia" w:eastAsiaTheme="minorEastAsia" w:hAnsiTheme="minorEastAsia" w:hint="eastAsia"/>
        </w:rPr>
        <w:t>を基本とし</w:t>
      </w:r>
      <w:r w:rsidR="006E2A26">
        <w:rPr>
          <w:rFonts w:asciiTheme="minorEastAsia" w:eastAsiaTheme="minorEastAsia" w:hAnsiTheme="minorEastAsia" w:hint="eastAsia"/>
        </w:rPr>
        <w:t>、これにより難い場合は</w:t>
      </w:r>
      <w:r w:rsidRPr="000E3C5D">
        <w:rPr>
          <w:rFonts w:asciiTheme="minorEastAsia" w:eastAsiaTheme="minorEastAsia" w:hAnsiTheme="minorEastAsia" w:hint="eastAsia"/>
        </w:rPr>
        <w:t>様式第１号</w:t>
      </w:r>
      <w:r w:rsidR="003C0089">
        <w:rPr>
          <w:rFonts w:asciiTheme="minorEastAsia" w:eastAsiaTheme="minorEastAsia" w:hAnsiTheme="minorEastAsia" w:hint="eastAsia"/>
        </w:rPr>
        <w:t>を用いる）</w:t>
      </w:r>
      <w:r w:rsidRPr="000E3C5D">
        <w:rPr>
          <w:rFonts w:asciiTheme="minorEastAsia" w:eastAsiaTheme="minorEastAsia" w:hAnsiTheme="minorEastAsia" w:hint="eastAsia"/>
        </w:rPr>
        <w:t>により行うものとする。</w:t>
      </w:r>
    </w:p>
    <w:p w14:paraId="2ED60AB0" w14:textId="77777777" w:rsidR="004341EA" w:rsidRPr="000E3C5D" w:rsidRDefault="004341EA" w:rsidP="004341EA">
      <w:pPr>
        <w:spacing w:line="278" w:lineRule="exact"/>
        <w:rPr>
          <w:rFonts w:asciiTheme="minorEastAsia" w:eastAsiaTheme="minorEastAsia" w:hAnsiTheme="minorEastAsia" w:cs="Times New Roman"/>
          <w:spacing w:val="2"/>
        </w:rPr>
      </w:pPr>
    </w:p>
    <w:p w14:paraId="6464CE4A"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（広域火葬応援の要請）</w:t>
      </w:r>
    </w:p>
    <w:p w14:paraId="0A4ACA3F"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strike/>
        </w:rPr>
      </w:pPr>
      <w:r w:rsidRPr="000E3C5D">
        <w:rPr>
          <w:rFonts w:asciiTheme="minorEastAsia" w:eastAsiaTheme="minorEastAsia" w:hAnsiTheme="minorEastAsia" w:hint="eastAsia"/>
        </w:rPr>
        <w:t>第５条　火葬計画第３－３の規定による広域火葬応援の要請は、府へ電話等で、死亡者数、火葬依頼遺体数等を速やかに通報し、おって広域火葬応援要請（様式第２号）を送付することにより行うものとする。</w:t>
      </w:r>
    </w:p>
    <w:p w14:paraId="723D92CC"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spacing w:val="2"/>
        </w:rPr>
      </w:pPr>
      <w:r w:rsidRPr="000E3C5D">
        <w:rPr>
          <w:rFonts w:asciiTheme="minorEastAsia" w:eastAsiaTheme="minorEastAsia" w:hAnsiTheme="minorEastAsia" w:hint="eastAsia"/>
        </w:rPr>
        <w:t>２　前項の広域火葬応援要請は、被災市町村の区域内における死亡者数の大幅な変動等により、新たにその必要が生じたときはその都度行うものとする。</w:t>
      </w:r>
    </w:p>
    <w:p w14:paraId="3F3599FD" w14:textId="77777777" w:rsidR="004341EA" w:rsidRPr="000E3C5D" w:rsidRDefault="004341EA" w:rsidP="004341EA">
      <w:pPr>
        <w:spacing w:line="278" w:lineRule="exact"/>
        <w:rPr>
          <w:rFonts w:asciiTheme="minorEastAsia" w:eastAsiaTheme="minorEastAsia" w:hAnsiTheme="minorEastAsia" w:cs="Times New Roman"/>
          <w:spacing w:val="2"/>
        </w:rPr>
      </w:pPr>
    </w:p>
    <w:p w14:paraId="06615EBF"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（広域火葬の協力依頼）</w:t>
      </w:r>
    </w:p>
    <w:p w14:paraId="607C8513"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第６条　府は、前条の規定による被災市町村から受けた広域火葬応援要請に基づき、協力依頼するときは、広域火葬協力依頼（様式第３号）により行うものとする。</w:t>
      </w:r>
    </w:p>
    <w:p w14:paraId="240A12E1"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２　前項の広域火葬協力依頼は、</w:t>
      </w:r>
      <w:r w:rsidRPr="000E3C5D">
        <w:rPr>
          <w:rFonts w:asciiTheme="minorEastAsia" w:eastAsiaTheme="minorEastAsia" w:hAnsiTheme="minorEastAsia" w:hint="eastAsia"/>
          <w:color w:val="auto"/>
        </w:rPr>
        <w:t>前</w:t>
      </w:r>
      <w:r w:rsidRPr="000E3C5D">
        <w:rPr>
          <w:rFonts w:asciiTheme="minorEastAsia" w:eastAsiaTheme="minorEastAsia" w:hAnsiTheme="minorEastAsia" w:hint="eastAsia"/>
        </w:rPr>
        <w:t>条第２項に対応してその都度行う。</w:t>
      </w:r>
    </w:p>
    <w:p w14:paraId="31830793" w14:textId="77777777" w:rsidR="004341EA" w:rsidRPr="000E3C5D" w:rsidRDefault="004341EA" w:rsidP="004341EA">
      <w:pPr>
        <w:spacing w:line="278" w:lineRule="exact"/>
        <w:rPr>
          <w:rFonts w:asciiTheme="minorEastAsia" w:eastAsiaTheme="minorEastAsia" w:hAnsiTheme="minorEastAsia" w:cs="Times New Roman"/>
          <w:spacing w:val="2"/>
        </w:rPr>
      </w:pPr>
    </w:p>
    <w:p w14:paraId="0AC650F9"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（広域火葬の受入回答）</w:t>
      </w:r>
    </w:p>
    <w:p w14:paraId="751D0744"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strike/>
        </w:rPr>
      </w:pPr>
      <w:r w:rsidRPr="000E3C5D">
        <w:rPr>
          <w:rFonts w:asciiTheme="minorEastAsia" w:eastAsiaTheme="minorEastAsia" w:hAnsiTheme="minorEastAsia" w:hint="eastAsia"/>
        </w:rPr>
        <w:t>第７条　前条により依頼を受けた場合、市町村は直ちに火葬受入計画等を検討し、府へ速やかに広域火葬受入報告（様式第４号）を送付するものとする。</w:t>
      </w:r>
    </w:p>
    <w:p w14:paraId="75ACBF59" w14:textId="77777777" w:rsidR="004341EA" w:rsidRPr="000E3C5D" w:rsidRDefault="004341EA" w:rsidP="004341EA">
      <w:pPr>
        <w:rPr>
          <w:rFonts w:asciiTheme="minorEastAsia" w:eastAsiaTheme="minorEastAsia" w:hAnsiTheme="minorEastAsia" w:cs="Times New Roman"/>
          <w:spacing w:val="2"/>
        </w:rPr>
      </w:pPr>
    </w:p>
    <w:p w14:paraId="7F35BF13"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（応援火葬場の割り振り、連絡等）</w:t>
      </w:r>
    </w:p>
    <w:p w14:paraId="4BF044F2"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第８条　火葬計画第３－４による割り振りは、前条に規定する広域火葬応援受入報告の到達後、応援火葬場割り振り（計画）表（様式第５号）を作成することにより行うものとする。</w:t>
      </w:r>
    </w:p>
    <w:p w14:paraId="5B91DA4B"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２　府は、被災市町村へ応援火葬場割り振り通知（様式第６号）を、また、広域火葬応援を行う市町村へ応援火葬場割り振り通知（様式第７号）を送付するものとする。</w:t>
      </w:r>
    </w:p>
    <w:p w14:paraId="05705C0C"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３　火葬計画第３－１０による報告は、広域火葬実施日報（様式第８号）により毎日行う</w:t>
      </w:r>
      <w:r w:rsidRPr="000E3C5D">
        <w:rPr>
          <w:rFonts w:asciiTheme="minorEastAsia" w:eastAsiaTheme="minorEastAsia" w:hAnsiTheme="minorEastAsia" w:hint="eastAsia"/>
        </w:rPr>
        <w:lastRenderedPageBreak/>
        <w:t>ものとする。</w:t>
      </w:r>
    </w:p>
    <w:p w14:paraId="4287E1F2" w14:textId="77777777" w:rsidR="004341EA" w:rsidRPr="000E3C5D" w:rsidRDefault="004341EA" w:rsidP="004341EA">
      <w:pPr>
        <w:spacing w:line="278" w:lineRule="exact"/>
        <w:rPr>
          <w:rFonts w:asciiTheme="minorEastAsia" w:eastAsiaTheme="minorEastAsia" w:hAnsiTheme="minorEastAsia" w:cs="Times New Roman"/>
          <w:spacing w:val="2"/>
        </w:rPr>
      </w:pPr>
    </w:p>
    <w:p w14:paraId="71F3D37B"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（広域火葬応援依頼の終了）</w:t>
      </w:r>
    </w:p>
    <w:p w14:paraId="32051C55"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第９条　被災市町村の担当部局は、広域火葬応援の必要がなくなる前日までに府へ電話等でその旨を連絡し、完了したときは、速やかに広域火葬依頼実績報告（様式第９号）を提出するものとする。</w:t>
      </w:r>
    </w:p>
    <w:p w14:paraId="091CAC18" w14:textId="77777777" w:rsidR="004341EA" w:rsidRPr="000E3C5D" w:rsidRDefault="004341EA" w:rsidP="004341EA">
      <w:pPr>
        <w:spacing w:line="278" w:lineRule="exact"/>
        <w:rPr>
          <w:rFonts w:asciiTheme="minorEastAsia" w:eastAsiaTheme="minorEastAsia" w:hAnsiTheme="minorEastAsia" w:cs="Times New Roman"/>
          <w:spacing w:val="2"/>
        </w:rPr>
      </w:pPr>
    </w:p>
    <w:p w14:paraId="2C02C593"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（広域火葬応援実績の報告）</w:t>
      </w:r>
    </w:p>
    <w:p w14:paraId="01625C5E"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第10条　府は、前条の連絡を受けたときは直ちに広域火葬応援を行っている市町村にその旨を連絡するものとする。</w:t>
      </w:r>
    </w:p>
    <w:p w14:paraId="357E2BF6" w14:textId="77777777" w:rsidR="004341EA" w:rsidRPr="000E3C5D" w:rsidRDefault="004341EA" w:rsidP="004341EA">
      <w:pPr>
        <w:spacing w:line="278" w:lineRule="exact"/>
        <w:rPr>
          <w:rFonts w:asciiTheme="minorEastAsia" w:eastAsiaTheme="minorEastAsia" w:hAnsiTheme="minorEastAsia" w:cs="Times New Roman"/>
        </w:rPr>
      </w:pPr>
      <w:r w:rsidRPr="000E3C5D">
        <w:rPr>
          <w:rFonts w:asciiTheme="minorEastAsia" w:eastAsiaTheme="minorEastAsia" w:hAnsiTheme="minorEastAsia" w:hint="eastAsia"/>
        </w:rPr>
        <w:t>２　前項の連絡を受けた市町村及び民間の火葬場設置者は、速やかに府へ広域火葬実施報告（様式第10号）を提出するものとする。</w:t>
      </w:r>
    </w:p>
    <w:p w14:paraId="44693D7B" w14:textId="77777777" w:rsidR="004341EA" w:rsidRPr="000E3C5D" w:rsidRDefault="004341EA" w:rsidP="004341EA">
      <w:pPr>
        <w:spacing w:line="278" w:lineRule="exact"/>
        <w:rPr>
          <w:rFonts w:asciiTheme="minorEastAsia" w:eastAsiaTheme="minorEastAsia" w:hAnsiTheme="minorEastAsia" w:cs="Times New Roman"/>
          <w:spacing w:val="2"/>
        </w:rPr>
      </w:pPr>
    </w:p>
    <w:p w14:paraId="14687712"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（近隣府県等からの広域火葬応援に係る対応）</w:t>
      </w:r>
    </w:p>
    <w:p w14:paraId="06ACA9C9"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第11条　近隣府県等から広域火葬応援の要請があった場合は、第７条から前条</w:t>
      </w:r>
      <w:r w:rsidRPr="000E3C5D">
        <w:rPr>
          <w:rFonts w:asciiTheme="minorEastAsia" w:eastAsiaTheme="minorEastAsia" w:hAnsiTheme="minorEastAsia" w:hint="eastAsia"/>
          <w:color w:val="auto"/>
        </w:rPr>
        <w:t>までの</w:t>
      </w:r>
      <w:r w:rsidRPr="000E3C5D">
        <w:rPr>
          <w:rFonts w:asciiTheme="minorEastAsia" w:eastAsiaTheme="minorEastAsia" w:hAnsiTheme="minorEastAsia" w:hint="eastAsia"/>
        </w:rPr>
        <w:t>規定に基づき対応する。</w:t>
      </w:r>
    </w:p>
    <w:p w14:paraId="28FA38FF" w14:textId="77777777" w:rsidR="004341EA" w:rsidRPr="000E3C5D" w:rsidRDefault="004341EA" w:rsidP="004341EA">
      <w:pPr>
        <w:spacing w:line="278" w:lineRule="exact"/>
        <w:rPr>
          <w:rFonts w:asciiTheme="minorEastAsia" w:eastAsiaTheme="minorEastAsia" w:hAnsiTheme="minorEastAsia" w:cs="Times New Roman"/>
          <w:spacing w:val="2"/>
        </w:rPr>
      </w:pPr>
    </w:p>
    <w:p w14:paraId="22695239"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（その他）</w:t>
      </w:r>
    </w:p>
    <w:p w14:paraId="3D842867" w14:textId="77777777" w:rsidR="004341EA" w:rsidRPr="000E3C5D" w:rsidRDefault="004341EA" w:rsidP="004341EA">
      <w:pPr>
        <w:spacing w:line="278" w:lineRule="exact"/>
        <w:ind w:left="212" w:hangingChars="100" w:hanging="212"/>
        <w:rPr>
          <w:rFonts w:asciiTheme="minorEastAsia" w:eastAsiaTheme="minorEastAsia" w:hAnsiTheme="minorEastAsia" w:cs="Times New Roman"/>
        </w:rPr>
      </w:pPr>
      <w:r w:rsidRPr="000E3C5D">
        <w:rPr>
          <w:rFonts w:asciiTheme="minorEastAsia" w:eastAsiaTheme="minorEastAsia" w:hAnsiTheme="minorEastAsia" w:hint="eastAsia"/>
        </w:rPr>
        <w:t>第12条　この要領の実施に関しその他必要な事項は、府が適宜開催する市町村火葬等主管課長会議において協議し、別に定める。</w:t>
      </w:r>
    </w:p>
    <w:p w14:paraId="120ECD24" w14:textId="77777777" w:rsidR="004341EA" w:rsidRPr="000E3C5D" w:rsidRDefault="004341EA" w:rsidP="004341EA">
      <w:pPr>
        <w:spacing w:line="278" w:lineRule="exact"/>
        <w:rPr>
          <w:rFonts w:asciiTheme="minorEastAsia" w:eastAsiaTheme="minorEastAsia" w:hAnsiTheme="minorEastAsia" w:cs="Times New Roman"/>
          <w:spacing w:val="2"/>
        </w:rPr>
      </w:pPr>
    </w:p>
    <w:p w14:paraId="5CE089C3"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附　則</w:t>
      </w:r>
    </w:p>
    <w:p w14:paraId="2D11D3B6"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この要領は、平成11年４月１日から適用する。</w:t>
      </w:r>
    </w:p>
    <w:p w14:paraId="1FF3A6BD"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附　則</w:t>
      </w:r>
    </w:p>
    <w:p w14:paraId="61506E49"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この要領は、平成12年４月13日から適用する。</w:t>
      </w:r>
    </w:p>
    <w:p w14:paraId="65A3C740" w14:textId="77777777" w:rsidR="004341EA" w:rsidRPr="000E3C5D" w:rsidRDefault="004341EA" w:rsidP="004341EA">
      <w:pPr>
        <w:spacing w:line="278" w:lineRule="exact"/>
        <w:rPr>
          <w:rFonts w:asciiTheme="minorEastAsia" w:eastAsiaTheme="minorEastAsia" w:hAnsiTheme="minorEastAsia" w:cs="Times New Roman"/>
          <w:spacing w:val="2"/>
        </w:rPr>
      </w:pPr>
      <w:r w:rsidRPr="000E3C5D">
        <w:rPr>
          <w:rFonts w:asciiTheme="minorEastAsia" w:eastAsiaTheme="minorEastAsia" w:hAnsiTheme="minorEastAsia" w:hint="eastAsia"/>
        </w:rPr>
        <w:t xml:space="preserve">　　附　則</w:t>
      </w:r>
    </w:p>
    <w:p w14:paraId="571FCF32" w14:textId="77777777" w:rsidR="004341EA" w:rsidRPr="000E3C5D" w:rsidRDefault="004341EA" w:rsidP="004341EA">
      <w:pPr>
        <w:spacing w:line="278" w:lineRule="exact"/>
        <w:rPr>
          <w:rFonts w:asciiTheme="minorEastAsia" w:eastAsiaTheme="minorEastAsia" w:hAnsiTheme="minorEastAsia"/>
        </w:rPr>
      </w:pPr>
      <w:r w:rsidRPr="000E3C5D">
        <w:rPr>
          <w:rFonts w:asciiTheme="minorEastAsia" w:eastAsiaTheme="minorEastAsia" w:hAnsiTheme="minorEastAsia" w:hint="eastAsia"/>
        </w:rPr>
        <w:t xml:space="preserve">　この要領は、平成16年２月24日から適用する。</w:t>
      </w:r>
    </w:p>
    <w:p w14:paraId="7A5C8F0C" w14:textId="77777777" w:rsidR="004341EA" w:rsidRPr="000E3C5D" w:rsidRDefault="004341EA" w:rsidP="004341EA">
      <w:pPr>
        <w:spacing w:line="278" w:lineRule="exact"/>
        <w:ind w:firstLineChars="200" w:firstLine="424"/>
        <w:rPr>
          <w:rFonts w:asciiTheme="minorEastAsia" w:eastAsiaTheme="minorEastAsia" w:hAnsiTheme="minorEastAsia" w:cs="Times New Roman"/>
          <w:color w:val="auto"/>
          <w:spacing w:val="2"/>
        </w:rPr>
      </w:pPr>
      <w:r w:rsidRPr="000E3C5D">
        <w:rPr>
          <w:rFonts w:asciiTheme="minorEastAsia" w:eastAsiaTheme="minorEastAsia" w:hAnsiTheme="minorEastAsia" w:hint="eastAsia"/>
          <w:color w:val="auto"/>
        </w:rPr>
        <w:t>附　則</w:t>
      </w:r>
    </w:p>
    <w:p w14:paraId="38B6C3C1" w14:textId="7D0716AE" w:rsidR="004341EA" w:rsidRDefault="004341EA" w:rsidP="00163F8E">
      <w:pPr>
        <w:spacing w:line="278" w:lineRule="exact"/>
        <w:rPr>
          <w:rFonts w:asciiTheme="minorEastAsia" w:eastAsiaTheme="minorEastAsia" w:hAnsiTheme="minorEastAsia" w:cs="Times New Roman"/>
          <w:color w:val="auto"/>
          <w:spacing w:val="2"/>
        </w:rPr>
      </w:pPr>
      <w:r w:rsidRPr="000E3C5D">
        <w:rPr>
          <w:rFonts w:asciiTheme="minorEastAsia" w:eastAsiaTheme="minorEastAsia" w:hAnsiTheme="minorEastAsia" w:hint="eastAsia"/>
          <w:color w:val="auto"/>
        </w:rPr>
        <w:t xml:space="preserve">　この要領は、平成26年７月７日から適用する。</w:t>
      </w:r>
    </w:p>
    <w:p w14:paraId="13FE117E" w14:textId="7A340D2C" w:rsidR="00163F8E" w:rsidRDefault="00163F8E" w:rsidP="00163F8E">
      <w:pPr>
        <w:spacing w:line="278" w:lineRule="exact"/>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 xml:space="preserve">　　附　則</w:t>
      </w:r>
    </w:p>
    <w:p w14:paraId="39EA41C1" w14:textId="642760A1" w:rsidR="00163F8E" w:rsidRPr="00163F8E" w:rsidRDefault="00163F8E" w:rsidP="00163F8E">
      <w:pPr>
        <w:spacing w:line="278" w:lineRule="exact"/>
        <w:rPr>
          <w:rFonts w:asciiTheme="minorEastAsia" w:eastAsiaTheme="minorEastAsia" w:hAnsiTheme="minorEastAsia" w:cs="Times New Roman"/>
          <w:color w:val="auto"/>
          <w:spacing w:val="2"/>
        </w:rPr>
      </w:pPr>
      <w:r>
        <w:rPr>
          <w:rFonts w:asciiTheme="minorEastAsia" w:eastAsiaTheme="minorEastAsia" w:hAnsiTheme="minorEastAsia" w:cs="Times New Roman" w:hint="eastAsia"/>
          <w:color w:val="auto"/>
          <w:spacing w:val="2"/>
        </w:rPr>
        <w:t xml:space="preserve">　この要領は、令和６年３月</w:t>
      </w:r>
      <w:r w:rsidR="001A53E4">
        <w:rPr>
          <w:rFonts w:asciiTheme="minorEastAsia" w:eastAsiaTheme="minorEastAsia" w:hAnsiTheme="minorEastAsia" w:cs="Times New Roman" w:hint="eastAsia"/>
          <w:color w:val="auto"/>
          <w:spacing w:val="2"/>
        </w:rPr>
        <w:t>６</w:t>
      </w:r>
      <w:r>
        <w:rPr>
          <w:rFonts w:asciiTheme="minorEastAsia" w:eastAsiaTheme="minorEastAsia" w:hAnsiTheme="minorEastAsia" w:cs="Times New Roman" w:hint="eastAsia"/>
          <w:color w:val="auto"/>
          <w:spacing w:val="2"/>
        </w:rPr>
        <w:t>日から適用する。</w:t>
      </w:r>
    </w:p>
    <w:sectPr w:rsidR="00163F8E" w:rsidRPr="00163F8E" w:rsidSect="007D5F29">
      <w:footerReference w:type="default" r:id="rId7"/>
      <w:pgSz w:w="11906" w:h="16838"/>
      <w:pgMar w:top="1700" w:right="1700" w:bottom="1700" w:left="1700" w:header="720" w:footer="720" w:gutter="0"/>
      <w:pgNumType w:start="9"/>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5D55" w14:textId="77777777" w:rsidR="00AE51E2" w:rsidRDefault="00AE51E2">
      <w:r>
        <w:separator/>
      </w:r>
    </w:p>
  </w:endnote>
  <w:endnote w:type="continuationSeparator" w:id="0">
    <w:p w14:paraId="62FEEDE9" w14:textId="77777777" w:rsidR="00AE51E2" w:rsidRDefault="00AE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FE84" w14:textId="77777777" w:rsidR="00011496" w:rsidRDefault="00011496">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807FFC">
      <w:rPr>
        <w:noProof/>
        <w:sz w:val="20"/>
        <w:szCs w:val="20"/>
      </w:rPr>
      <w:t>9</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A591" w14:textId="77777777" w:rsidR="00AE51E2" w:rsidRDefault="00AE51E2">
      <w:pPr>
        <w:rPr>
          <w:rFonts w:cs="Times New Roman"/>
        </w:rPr>
      </w:pPr>
      <w:r>
        <w:rPr>
          <w:rFonts w:hAnsi="Century" w:cs="Times New Roman"/>
          <w:color w:val="auto"/>
          <w:sz w:val="2"/>
          <w:szCs w:val="2"/>
        </w:rPr>
        <w:continuationSeparator/>
      </w:r>
    </w:p>
  </w:footnote>
  <w:footnote w:type="continuationSeparator" w:id="0">
    <w:p w14:paraId="1C5D7DE1" w14:textId="77777777" w:rsidR="00AE51E2" w:rsidRDefault="00AE5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defaultTabStop w:val="720"/>
  <w:hyphenationZone w:val="0"/>
  <w:doNotHyphenateCaps/>
  <w:drawingGridHorizontalSpacing w:val="409"/>
  <w:drawingGridVerticalSpacing w:val="2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1E"/>
    <w:rsid w:val="00011496"/>
    <w:rsid w:val="00090BF3"/>
    <w:rsid w:val="000E3C5D"/>
    <w:rsid w:val="00163F8E"/>
    <w:rsid w:val="0017499C"/>
    <w:rsid w:val="001A53E4"/>
    <w:rsid w:val="003C0089"/>
    <w:rsid w:val="004341EA"/>
    <w:rsid w:val="004E505C"/>
    <w:rsid w:val="00516478"/>
    <w:rsid w:val="0062041E"/>
    <w:rsid w:val="006934BC"/>
    <w:rsid w:val="006E2A26"/>
    <w:rsid w:val="00787374"/>
    <w:rsid w:val="007D5F29"/>
    <w:rsid w:val="00807FFC"/>
    <w:rsid w:val="008444B8"/>
    <w:rsid w:val="0089353E"/>
    <w:rsid w:val="0092650A"/>
    <w:rsid w:val="00992023"/>
    <w:rsid w:val="009C163F"/>
    <w:rsid w:val="009E1E5B"/>
    <w:rsid w:val="009F67F8"/>
    <w:rsid w:val="00AE51E2"/>
    <w:rsid w:val="00B5781C"/>
    <w:rsid w:val="00B80CF6"/>
    <w:rsid w:val="00DA4450"/>
    <w:rsid w:val="00DE2461"/>
    <w:rsid w:val="00E10A26"/>
    <w:rsid w:val="00E4354B"/>
    <w:rsid w:val="00E61B7A"/>
    <w:rsid w:val="00E6611C"/>
    <w:rsid w:val="00F9158D"/>
    <w:rsid w:val="00FE2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2EBDD35C"/>
  <w14:defaultImageDpi w14:val="0"/>
  <w15:docId w15:val="{80368C52-F2F9-4343-A745-19960D5D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EA"/>
    <w:pPr>
      <w:tabs>
        <w:tab w:val="center" w:pos="4252"/>
        <w:tab w:val="right" w:pos="8504"/>
      </w:tabs>
      <w:snapToGrid w:val="0"/>
    </w:pPr>
  </w:style>
  <w:style w:type="character" w:customStyle="1" w:styleId="a4">
    <w:name w:val="ヘッダー (文字)"/>
    <w:basedOn w:val="a0"/>
    <w:link w:val="a3"/>
    <w:uiPriority w:val="99"/>
    <w:rsid w:val="004341EA"/>
    <w:rPr>
      <w:rFonts w:ascii="ＭＳ 明朝" w:hAnsi="ＭＳ 明朝" w:cs="ＭＳ 明朝"/>
      <w:color w:val="000000"/>
      <w:kern w:val="0"/>
      <w:szCs w:val="21"/>
    </w:rPr>
  </w:style>
  <w:style w:type="paragraph" w:styleId="a5">
    <w:name w:val="footer"/>
    <w:basedOn w:val="a"/>
    <w:link w:val="a6"/>
    <w:uiPriority w:val="99"/>
    <w:unhideWhenUsed/>
    <w:rsid w:val="004341EA"/>
    <w:pPr>
      <w:tabs>
        <w:tab w:val="center" w:pos="4252"/>
        <w:tab w:val="right" w:pos="8504"/>
      </w:tabs>
      <w:snapToGrid w:val="0"/>
    </w:pPr>
  </w:style>
  <w:style w:type="character" w:customStyle="1" w:styleId="a6">
    <w:name w:val="フッター (文字)"/>
    <w:basedOn w:val="a0"/>
    <w:link w:val="a5"/>
    <w:uiPriority w:val="99"/>
    <w:rsid w:val="004341EA"/>
    <w:rPr>
      <w:rFonts w:ascii="ＭＳ 明朝" w:hAnsi="ＭＳ 明朝" w:cs="ＭＳ 明朝"/>
      <w:color w:val="000000"/>
      <w:kern w:val="0"/>
      <w:szCs w:val="21"/>
    </w:rPr>
  </w:style>
  <w:style w:type="paragraph" w:customStyle="1" w:styleId="a7">
    <w:name w:val="一太郎"/>
    <w:rsid w:val="000E3C5D"/>
    <w:pPr>
      <w:widowControl w:val="0"/>
      <w:wordWrap w:val="0"/>
      <w:autoSpaceDE w:val="0"/>
      <w:autoSpaceDN w:val="0"/>
      <w:adjustRightInd w:val="0"/>
      <w:spacing w:line="262" w:lineRule="exact"/>
      <w:jc w:val="both"/>
    </w:pPr>
    <w:rPr>
      <w:rFonts w:cs="ＭＳ 明朝"/>
      <w:kern w:val="0"/>
      <w:szCs w:val="21"/>
    </w:rPr>
  </w:style>
  <w:style w:type="character" w:styleId="a8">
    <w:name w:val="annotation reference"/>
    <w:basedOn w:val="a0"/>
    <w:uiPriority w:val="99"/>
    <w:semiHidden/>
    <w:unhideWhenUsed/>
    <w:rsid w:val="006E2A26"/>
    <w:rPr>
      <w:sz w:val="18"/>
      <w:szCs w:val="18"/>
    </w:rPr>
  </w:style>
  <w:style w:type="paragraph" w:styleId="a9">
    <w:name w:val="annotation text"/>
    <w:basedOn w:val="a"/>
    <w:link w:val="aa"/>
    <w:uiPriority w:val="99"/>
    <w:semiHidden/>
    <w:unhideWhenUsed/>
    <w:rsid w:val="006E2A26"/>
    <w:pPr>
      <w:jc w:val="left"/>
    </w:pPr>
  </w:style>
  <w:style w:type="character" w:customStyle="1" w:styleId="aa">
    <w:name w:val="コメント文字列 (文字)"/>
    <w:basedOn w:val="a0"/>
    <w:link w:val="a9"/>
    <w:uiPriority w:val="99"/>
    <w:semiHidden/>
    <w:rsid w:val="006E2A26"/>
    <w:rPr>
      <w:rFonts w:ascii="ＭＳ 明朝" w:hAnsi="ＭＳ 明朝" w:cs="ＭＳ 明朝"/>
      <w:color w:val="000000"/>
      <w:kern w:val="0"/>
      <w:szCs w:val="21"/>
    </w:rPr>
  </w:style>
  <w:style w:type="paragraph" w:styleId="ab">
    <w:name w:val="annotation subject"/>
    <w:basedOn w:val="a9"/>
    <w:next w:val="a9"/>
    <w:link w:val="ac"/>
    <w:uiPriority w:val="99"/>
    <w:semiHidden/>
    <w:unhideWhenUsed/>
    <w:rsid w:val="006E2A26"/>
    <w:rPr>
      <w:b/>
      <w:bCs/>
    </w:rPr>
  </w:style>
  <w:style w:type="character" w:customStyle="1" w:styleId="ac">
    <w:name w:val="コメント内容 (文字)"/>
    <w:basedOn w:val="aa"/>
    <w:link w:val="ab"/>
    <w:uiPriority w:val="99"/>
    <w:semiHidden/>
    <w:rsid w:val="006E2A26"/>
    <w:rPr>
      <w:rFonts w:ascii="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2EBD-F733-4BCF-95E5-478C6839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1501</Words>
  <Characters>114</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1999-04-06T06:39:00Z</cp:lastPrinted>
  <dcterms:created xsi:type="dcterms:W3CDTF">2024-03-06T03:11:00Z</dcterms:created>
  <dcterms:modified xsi:type="dcterms:W3CDTF">2024-03-06T03:11:00Z</dcterms:modified>
</cp:coreProperties>
</file>