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8CB" w:rsidRDefault="000528CB" w:rsidP="00247259">
      <w:pPr>
        <w:jc w:val="right"/>
        <w:rPr>
          <w:rFonts w:hint="eastAsia"/>
          <w:b/>
          <w:sz w:val="24"/>
        </w:rPr>
      </w:pPr>
      <w:r w:rsidRPr="00D81798">
        <w:rPr>
          <w:rFonts w:hint="eastAsia"/>
          <w:b/>
          <w:sz w:val="24"/>
        </w:rPr>
        <w:t>別添</w:t>
      </w:r>
      <w:r w:rsidR="004E6BBA" w:rsidRPr="00D81798">
        <w:rPr>
          <w:rFonts w:hint="eastAsia"/>
          <w:b/>
          <w:sz w:val="24"/>
        </w:rPr>
        <w:t>１</w:t>
      </w:r>
    </w:p>
    <w:p w:rsidR="00D81798" w:rsidRPr="00D81798" w:rsidRDefault="00D81798" w:rsidP="00247259">
      <w:pPr>
        <w:jc w:val="right"/>
        <w:rPr>
          <w:b/>
          <w:sz w:val="24"/>
        </w:rPr>
      </w:pPr>
    </w:p>
    <w:p w:rsidR="00247259" w:rsidRDefault="00247259" w:rsidP="00247259">
      <w:pPr>
        <w:jc w:val="right"/>
        <w:rPr>
          <w:sz w:val="24"/>
        </w:rPr>
      </w:pPr>
      <w:r>
        <w:rPr>
          <w:rFonts w:hint="eastAsia"/>
          <w:sz w:val="24"/>
        </w:rPr>
        <w:t>平成</w:t>
      </w:r>
      <w:r>
        <w:rPr>
          <w:rFonts w:hint="eastAsia"/>
          <w:sz w:val="24"/>
        </w:rPr>
        <w:t>25</w:t>
      </w:r>
      <w:r>
        <w:rPr>
          <w:rFonts w:hint="eastAsia"/>
          <w:sz w:val="24"/>
        </w:rPr>
        <w:t>年</w:t>
      </w:r>
      <w:r>
        <w:rPr>
          <w:rFonts w:hint="eastAsia"/>
          <w:sz w:val="24"/>
        </w:rPr>
        <w:t>10</w:t>
      </w:r>
      <w:r>
        <w:rPr>
          <w:rFonts w:hint="eastAsia"/>
          <w:sz w:val="24"/>
        </w:rPr>
        <w:t>月</w:t>
      </w:r>
      <w:r>
        <w:rPr>
          <w:rFonts w:hint="eastAsia"/>
          <w:sz w:val="24"/>
        </w:rPr>
        <w:t>28</w:t>
      </w:r>
      <w:r>
        <w:rPr>
          <w:rFonts w:hint="eastAsia"/>
          <w:sz w:val="24"/>
        </w:rPr>
        <w:t>日</w:t>
      </w:r>
    </w:p>
    <w:p w:rsidR="00247259" w:rsidRDefault="00247259" w:rsidP="00247259">
      <w:pPr>
        <w:jc w:val="right"/>
        <w:rPr>
          <w:sz w:val="24"/>
        </w:rPr>
      </w:pPr>
    </w:p>
    <w:p w:rsidR="00247259" w:rsidRDefault="00247259" w:rsidP="00247259">
      <w:pPr>
        <w:jc w:val="center"/>
        <w:rPr>
          <w:sz w:val="24"/>
        </w:rPr>
      </w:pPr>
      <w:r>
        <w:rPr>
          <w:rFonts w:hint="eastAsia"/>
          <w:sz w:val="24"/>
        </w:rPr>
        <w:t>地方独立行政法人大阪健康安全基盤研究所への移行に伴う</w:t>
      </w:r>
    </w:p>
    <w:p w:rsidR="00247259" w:rsidRDefault="00247259" w:rsidP="00247259">
      <w:pPr>
        <w:ind w:firstLineChars="500" w:firstLine="1200"/>
        <w:rPr>
          <w:sz w:val="24"/>
        </w:rPr>
      </w:pPr>
      <w:r>
        <w:rPr>
          <w:rFonts w:hint="eastAsia"/>
          <w:sz w:val="24"/>
        </w:rPr>
        <w:t>職員の承継・派遣及び勤務労働条件等について</w:t>
      </w:r>
    </w:p>
    <w:p w:rsidR="00247259" w:rsidRDefault="00247259" w:rsidP="00247259">
      <w:pPr>
        <w:rPr>
          <w:sz w:val="24"/>
        </w:rPr>
      </w:pPr>
    </w:p>
    <w:p w:rsidR="00247259" w:rsidRDefault="00247259" w:rsidP="00247259">
      <w:pPr>
        <w:rPr>
          <w:sz w:val="24"/>
        </w:rPr>
      </w:pPr>
    </w:p>
    <w:p w:rsidR="00247259" w:rsidRPr="00E973C7" w:rsidRDefault="00247259" w:rsidP="00247259">
      <w:pPr>
        <w:rPr>
          <w:sz w:val="24"/>
        </w:rPr>
      </w:pPr>
      <w:r>
        <w:rPr>
          <w:rFonts w:hint="eastAsia"/>
          <w:sz w:val="24"/>
        </w:rPr>
        <w:t xml:space="preserve">　大阪府立公衆衛生研究所と大阪市立環境科学研究所は、平成</w:t>
      </w:r>
      <w:r>
        <w:rPr>
          <w:rFonts w:hint="eastAsia"/>
          <w:sz w:val="24"/>
        </w:rPr>
        <w:t>26</w:t>
      </w:r>
      <w:r>
        <w:rPr>
          <w:rFonts w:hint="eastAsia"/>
          <w:sz w:val="24"/>
        </w:rPr>
        <w:t>年</w:t>
      </w:r>
      <w:r>
        <w:rPr>
          <w:rFonts w:hint="eastAsia"/>
          <w:sz w:val="24"/>
        </w:rPr>
        <w:t>4</w:t>
      </w:r>
      <w:r>
        <w:rPr>
          <w:rFonts w:hint="eastAsia"/>
          <w:sz w:val="24"/>
        </w:rPr>
        <w:t>月に統合の上、府市共同設立による地方独立行政法人大阪健康安全基盤研究所（以下「法人」という）へ移行する予定であり、法人への移行に伴う</w:t>
      </w:r>
      <w:r w:rsidRPr="00F927D1">
        <w:rPr>
          <w:rFonts w:hint="eastAsia"/>
          <w:sz w:val="24"/>
        </w:rPr>
        <w:t>府</w:t>
      </w:r>
      <w:r>
        <w:rPr>
          <w:rFonts w:hint="eastAsia"/>
          <w:sz w:val="24"/>
        </w:rPr>
        <w:t>職員の承継及び派遣並びに勤務労働条件等について下記のとおり提案する。</w:t>
      </w:r>
    </w:p>
    <w:p w:rsidR="00247259" w:rsidRDefault="00247259" w:rsidP="00247259">
      <w:pPr>
        <w:rPr>
          <w:sz w:val="24"/>
        </w:rPr>
      </w:pPr>
    </w:p>
    <w:p w:rsidR="00247259" w:rsidRPr="00E973C7" w:rsidRDefault="00247259" w:rsidP="00247259">
      <w:pPr>
        <w:rPr>
          <w:sz w:val="24"/>
        </w:rPr>
      </w:pPr>
    </w:p>
    <w:p w:rsidR="00247259" w:rsidRDefault="00247259" w:rsidP="00247259">
      <w:pPr>
        <w:rPr>
          <w:sz w:val="24"/>
        </w:rPr>
      </w:pPr>
      <w:r>
        <w:rPr>
          <w:rFonts w:hint="eastAsia"/>
          <w:sz w:val="24"/>
        </w:rPr>
        <w:t>１．</w:t>
      </w:r>
      <w:r w:rsidRPr="00F927D1">
        <w:rPr>
          <w:rFonts w:hint="eastAsia"/>
          <w:sz w:val="24"/>
        </w:rPr>
        <w:t>府</w:t>
      </w:r>
      <w:r>
        <w:rPr>
          <w:rFonts w:hint="eastAsia"/>
          <w:sz w:val="24"/>
        </w:rPr>
        <w:t>職員の承継及び派遣の取扱いについて</w:t>
      </w:r>
    </w:p>
    <w:p w:rsidR="00247259" w:rsidRDefault="00247259" w:rsidP="00247259">
      <w:pPr>
        <w:rPr>
          <w:sz w:val="24"/>
        </w:rPr>
      </w:pPr>
      <w:r>
        <w:rPr>
          <w:rFonts w:hint="eastAsia"/>
          <w:sz w:val="24"/>
        </w:rPr>
        <w:t xml:space="preserve">　</w:t>
      </w:r>
      <w:r>
        <w:rPr>
          <w:rFonts w:hint="eastAsia"/>
          <w:sz w:val="24"/>
        </w:rPr>
        <w:t>(1)</w:t>
      </w:r>
      <w:r>
        <w:rPr>
          <w:rFonts w:hint="eastAsia"/>
          <w:sz w:val="24"/>
        </w:rPr>
        <w:t>承継職種</w:t>
      </w:r>
    </w:p>
    <w:p w:rsidR="00247259" w:rsidRDefault="00247259" w:rsidP="00247259">
      <w:pPr>
        <w:ind w:left="480" w:hangingChars="200" w:hanging="480"/>
        <w:rPr>
          <w:sz w:val="24"/>
        </w:rPr>
      </w:pPr>
      <w:r>
        <w:rPr>
          <w:rFonts w:hint="eastAsia"/>
          <w:sz w:val="24"/>
        </w:rPr>
        <w:t xml:space="preserve">　　　地方独立行政法人法では、現に研究所に在籍する職員の身分については「承継」が基本とされていることから、研究職員については同法第</w:t>
      </w:r>
      <w:r>
        <w:rPr>
          <w:rFonts w:hint="eastAsia"/>
          <w:sz w:val="24"/>
        </w:rPr>
        <w:t>59</w:t>
      </w:r>
      <w:r>
        <w:rPr>
          <w:rFonts w:hint="eastAsia"/>
          <w:sz w:val="24"/>
        </w:rPr>
        <w:t>条第</w:t>
      </w:r>
      <w:r>
        <w:rPr>
          <w:rFonts w:hint="eastAsia"/>
          <w:sz w:val="24"/>
        </w:rPr>
        <w:t>2</w:t>
      </w:r>
      <w:r>
        <w:rPr>
          <w:rFonts w:hint="eastAsia"/>
          <w:sz w:val="24"/>
        </w:rPr>
        <w:t>項の規定による「承継」とする。</w:t>
      </w:r>
    </w:p>
    <w:p w:rsidR="00247259" w:rsidRDefault="00247259" w:rsidP="00247259">
      <w:pPr>
        <w:ind w:left="480" w:hangingChars="200" w:hanging="480"/>
        <w:rPr>
          <w:sz w:val="24"/>
        </w:rPr>
      </w:pPr>
    </w:p>
    <w:p w:rsidR="00247259" w:rsidRDefault="00247259" w:rsidP="00247259">
      <w:pPr>
        <w:ind w:left="480" w:hangingChars="200" w:hanging="480"/>
        <w:rPr>
          <w:sz w:val="24"/>
        </w:rPr>
      </w:pPr>
      <w:r>
        <w:rPr>
          <w:rFonts w:hint="eastAsia"/>
          <w:sz w:val="24"/>
        </w:rPr>
        <w:t xml:space="preserve">　</w:t>
      </w:r>
      <w:r>
        <w:rPr>
          <w:rFonts w:hint="eastAsia"/>
          <w:sz w:val="24"/>
        </w:rPr>
        <w:t>(2)</w:t>
      </w:r>
      <w:r>
        <w:rPr>
          <w:rFonts w:hint="eastAsia"/>
          <w:sz w:val="24"/>
        </w:rPr>
        <w:t>派遣職種</w:t>
      </w:r>
    </w:p>
    <w:p w:rsidR="00247259" w:rsidRDefault="00247259" w:rsidP="00247259">
      <w:pPr>
        <w:ind w:left="480" w:hangingChars="200" w:hanging="480"/>
        <w:rPr>
          <w:sz w:val="24"/>
        </w:rPr>
      </w:pPr>
      <w:r>
        <w:rPr>
          <w:rFonts w:hint="eastAsia"/>
          <w:sz w:val="24"/>
        </w:rPr>
        <w:t xml:space="preserve">　　　一般事務・技術職員及び技能労務職員については、法人内での人事管理や人材育成が現時点では困難で、将来的にはアウトソーシング等により規模縮小も見込まれることから、公益法人等派遣法による「派遣」とする。</w:t>
      </w:r>
    </w:p>
    <w:p w:rsidR="00247259" w:rsidRDefault="00247259" w:rsidP="00247259">
      <w:pPr>
        <w:ind w:left="480" w:hangingChars="200" w:hanging="480"/>
        <w:rPr>
          <w:sz w:val="24"/>
        </w:rPr>
      </w:pPr>
    </w:p>
    <w:p w:rsidR="00247259" w:rsidRDefault="00247259" w:rsidP="00247259">
      <w:pPr>
        <w:ind w:left="480" w:hangingChars="200" w:hanging="480"/>
        <w:rPr>
          <w:sz w:val="24"/>
        </w:rPr>
      </w:pPr>
      <w:r>
        <w:rPr>
          <w:rFonts w:hint="eastAsia"/>
          <w:sz w:val="24"/>
        </w:rPr>
        <w:t xml:space="preserve">　</w:t>
      </w:r>
      <w:r>
        <w:rPr>
          <w:rFonts w:hint="eastAsia"/>
          <w:sz w:val="24"/>
        </w:rPr>
        <w:t>(3)</w:t>
      </w:r>
      <w:r>
        <w:rPr>
          <w:rFonts w:hint="eastAsia"/>
          <w:sz w:val="24"/>
        </w:rPr>
        <w:t>承継及び派遣の時期</w:t>
      </w:r>
    </w:p>
    <w:p w:rsidR="00247259" w:rsidRPr="00F63D59" w:rsidRDefault="00247259" w:rsidP="00247259">
      <w:pPr>
        <w:ind w:left="480" w:hangingChars="200" w:hanging="480"/>
        <w:rPr>
          <w:sz w:val="24"/>
        </w:rPr>
      </w:pPr>
      <w:r>
        <w:rPr>
          <w:rFonts w:hint="eastAsia"/>
          <w:sz w:val="24"/>
        </w:rPr>
        <w:t xml:space="preserve">　　　法人設立日（平成</w:t>
      </w:r>
      <w:r>
        <w:rPr>
          <w:rFonts w:hint="eastAsia"/>
          <w:sz w:val="24"/>
        </w:rPr>
        <w:t>26</w:t>
      </w:r>
      <w:r>
        <w:rPr>
          <w:rFonts w:hint="eastAsia"/>
          <w:sz w:val="24"/>
        </w:rPr>
        <w:t>年</w:t>
      </w:r>
      <w:r>
        <w:rPr>
          <w:rFonts w:hint="eastAsia"/>
          <w:sz w:val="24"/>
        </w:rPr>
        <w:t>4</w:t>
      </w:r>
      <w:r>
        <w:rPr>
          <w:rFonts w:hint="eastAsia"/>
          <w:sz w:val="24"/>
        </w:rPr>
        <w:t>月</w:t>
      </w:r>
      <w:r>
        <w:rPr>
          <w:rFonts w:hint="eastAsia"/>
          <w:sz w:val="24"/>
        </w:rPr>
        <w:t>1</w:t>
      </w:r>
      <w:r>
        <w:rPr>
          <w:rFonts w:hint="eastAsia"/>
          <w:sz w:val="24"/>
        </w:rPr>
        <w:t>日の予定）</w:t>
      </w:r>
    </w:p>
    <w:p w:rsidR="00247259" w:rsidRDefault="00247259" w:rsidP="00247259">
      <w:pPr>
        <w:ind w:left="480" w:hangingChars="200" w:hanging="480"/>
        <w:rPr>
          <w:sz w:val="24"/>
        </w:rPr>
      </w:pPr>
    </w:p>
    <w:p w:rsidR="00247259" w:rsidRDefault="00247259" w:rsidP="00247259">
      <w:pPr>
        <w:ind w:left="480" w:hangingChars="200" w:hanging="480"/>
        <w:rPr>
          <w:sz w:val="24"/>
        </w:rPr>
      </w:pPr>
    </w:p>
    <w:p w:rsidR="00247259" w:rsidRPr="00F927D1" w:rsidRDefault="00247259" w:rsidP="00247259">
      <w:pPr>
        <w:ind w:left="480" w:hangingChars="200" w:hanging="480"/>
        <w:rPr>
          <w:sz w:val="24"/>
        </w:rPr>
      </w:pPr>
      <w:r w:rsidRPr="00F927D1">
        <w:rPr>
          <w:rFonts w:hint="eastAsia"/>
          <w:sz w:val="24"/>
        </w:rPr>
        <w:t>２．府から法人に承継される職員の給与、労働条件等の取扱い</w:t>
      </w:r>
    </w:p>
    <w:p w:rsidR="00247259" w:rsidRPr="00F927D1" w:rsidRDefault="00247259" w:rsidP="00247259">
      <w:pPr>
        <w:ind w:left="480" w:hangingChars="200" w:hanging="480"/>
        <w:rPr>
          <w:sz w:val="24"/>
        </w:rPr>
      </w:pPr>
      <w:r w:rsidRPr="00F927D1">
        <w:rPr>
          <w:rFonts w:hint="eastAsia"/>
          <w:sz w:val="24"/>
        </w:rPr>
        <w:t xml:space="preserve">　</w:t>
      </w:r>
      <w:r w:rsidRPr="00F927D1">
        <w:rPr>
          <w:rFonts w:hint="eastAsia"/>
          <w:sz w:val="24"/>
        </w:rPr>
        <w:t>(1)</w:t>
      </w:r>
      <w:r w:rsidRPr="00F927D1">
        <w:rPr>
          <w:rFonts w:hint="eastAsia"/>
          <w:sz w:val="24"/>
        </w:rPr>
        <w:t>職員の給与・退職手当について</w:t>
      </w:r>
    </w:p>
    <w:p w:rsidR="00247259" w:rsidRPr="00F927D1" w:rsidRDefault="00247259" w:rsidP="00247259">
      <w:pPr>
        <w:ind w:left="480" w:hangingChars="200" w:hanging="480"/>
        <w:rPr>
          <w:sz w:val="24"/>
        </w:rPr>
      </w:pPr>
      <w:r>
        <w:rPr>
          <w:rFonts w:hint="eastAsia"/>
          <w:sz w:val="24"/>
        </w:rPr>
        <w:t xml:space="preserve">　</w:t>
      </w:r>
      <w:r w:rsidRPr="00F927D1">
        <w:rPr>
          <w:rFonts w:hint="eastAsia"/>
          <w:sz w:val="24"/>
        </w:rPr>
        <w:t>・職員の給与・退職手当の支給等は、府に準じる。</w:t>
      </w:r>
    </w:p>
    <w:p w:rsidR="00247259" w:rsidRDefault="00247259" w:rsidP="00247259">
      <w:pPr>
        <w:ind w:left="480" w:hangingChars="200" w:hanging="480"/>
        <w:rPr>
          <w:sz w:val="24"/>
        </w:rPr>
      </w:pPr>
      <w:r w:rsidRPr="00F927D1">
        <w:rPr>
          <w:rFonts w:hint="eastAsia"/>
          <w:sz w:val="24"/>
        </w:rPr>
        <w:t xml:space="preserve">　・移行時に適用する給料表の職務の級は、法人に承継される前日の給料表における職務の級とする。</w:t>
      </w:r>
    </w:p>
    <w:p w:rsidR="00247259" w:rsidRPr="00F927D1" w:rsidRDefault="00247259" w:rsidP="00247259">
      <w:pPr>
        <w:ind w:leftChars="100" w:left="450" w:hangingChars="100" w:hanging="240"/>
        <w:rPr>
          <w:sz w:val="24"/>
        </w:rPr>
      </w:pPr>
      <w:r w:rsidRPr="00F927D1">
        <w:rPr>
          <w:rFonts w:hint="eastAsia"/>
          <w:sz w:val="24"/>
        </w:rPr>
        <w:t>・</w:t>
      </w:r>
      <w:r>
        <w:rPr>
          <w:rFonts w:hint="eastAsia"/>
          <w:sz w:val="24"/>
        </w:rPr>
        <w:t>主任研究員級と総括研究員級の間に</w:t>
      </w:r>
      <w:r w:rsidRPr="00F927D1">
        <w:rPr>
          <w:rFonts w:hint="eastAsia"/>
          <w:sz w:val="24"/>
        </w:rPr>
        <w:t>主幹研究員級を</w:t>
      </w:r>
      <w:r>
        <w:rPr>
          <w:rFonts w:hint="eastAsia"/>
          <w:sz w:val="24"/>
        </w:rPr>
        <w:t>設け、</w:t>
      </w:r>
      <w:r w:rsidRPr="00F927D1">
        <w:rPr>
          <w:rFonts w:hint="eastAsia"/>
          <w:sz w:val="24"/>
        </w:rPr>
        <w:t>適用する給料については新たな職務の級</w:t>
      </w:r>
      <w:r>
        <w:rPr>
          <w:rFonts w:hint="eastAsia"/>
          <w:sz w:val="24"/>
        </w:rPr>
        <w:t>を定める</w:t>
      </w:r>
      <w:r w:rsidRPr="00F927D1">
        <w:rPr>
          <w:rFonts w:hint="eastAsia"/>
          <w:sz w:val="24"/>
        </w:rPr>
        <w:t>。</w:t>
      </w:r>
    </w:p>
    <w:p w:rsidR="00247259" w:rsidRPr="00F927D1" w:rsidRDefault="00247259" w:rsidP="00247259">
      <w:pPr>
        <w:ind w:left="480" w:hangingChars="200" w:hanging="480"/>
        <w:rPr>
          <w:sz w:val="24"/>
        </w:rPr>
      </w:pPr>
      <w:r w:rsidRPr="00F927D1">
        <w:rPr>
          <w:rFonts w:hint="eastAsia"/>
          <w:sz w:val="24"/>
        </w:rPr>
        <w:t xml:space="preserve">　・新規採用職員の初任給格付けは</w:t>
      </w:r>
      <w:r>
        <w:rPr>
          <w:rFonts w:hint="eastAsia"/>
          <w:sz w:val="24"/>
        </w:rPr>
        <w:t>、</w:t>
      </w:r>
      <w:r w:rsidRPr="00F927D1">
        <w:rPr>
          <w:rFonts w:hint="eastAsia"/>
          <w:sz w:val="24"/>
        </w:rPr>
        <w:t>府に準じる。</w:t>
      </w:r>
    </w:p>
    <w:p w:rsidR="00247259" w:rsidRPr="00F927D1" w:rsidRDefault="00247259" w:rsidP="00247259">
      <w:pPr>
        <w:ind w:left="480" w:hangingChars="200" w:hanging="480"/>
        <w:rPr>
          <w:sz w:val="24"/>
        </w:rPr>
      </w:pPr>
      <w:r w:rsidRPr="00F927D1">
        <w:rPr>
          <w:rFonts w:hint="eastAsia"/>
          <w:sz w:val="24"/>
        </w:rPr>
        <w:t xml:space="preserve">　・期末</w:t>
      </w:r>
      <w:r>
        <w:rPr>
          <w:rFonts w:hint="eastAsia"/>
          <w:sz w:val="24"/>
        </w:rPr>
        <w:t>・勤勉手当の支給月数は、府に準じる。</w:t>
      </w:r>
    </w:p>
    <w:p w:rsidR="00247259" w:rsidRDefault="00247259" w:rsidP="00247259">
      <w:pPr>
        <w:ind w:left="480" w:hangingChars="200" w:hanging="480"/>
        <w:rPr>
          <w:sz w:val="24"/>
        </w:rPr>
      </w:pPr>
      <w:r w:rsidRPr="00F927D1">
        <w:rPr>
          <w:rFonts w:hint="eastAsia"/>
          <w:sz w:val="24"/>
        </w:rPr>
        <w:t xml:space="preserve">　・特殊勤務手当は支給しない。</w:t>
      </w:r>
    </w:p>
    <w:p w:rsidR="00247259" w:rsidRPr="00F927D1" w:rsidRDefault="00247259" w:rsidP="00247259">
      <w:pPr>
        <w:ind w:firstLineChars="100" w:firstLine="240"/>
        <w:rPr>
          <w:sz w:val="24"/>
        </w:rPr>
      </w:pPr>
      <w:r>
        <w:rPr>
          <w:rFonts w:hint="eastAsia"/>
          <w:sz w:val="24"/>
        </w:rPr>
        <w:t>・現に公衆衛生研究所職員に適用されている</w:t>
      </w:r>
      <w:r w:rsidRPr="00F927D1">
        <w:rPr>
          <w:rFonts w:hint="eastAsia"/>
          <w:sz w:val="24"/>
        </w:rPr>
        <w:t>その他の手当は</w:t>
      </w:r>
      <w:r>
        <w:rPr>
          <w:rFonts w:hint="eastAsia"/>
          <w:sz w:val="24"/>
        </w:rPr>
        <w:t>、</w:t>
      </w:r>
      <w:r w:rsidRPr="00F927D1">
        <w:rPr>
          <w:rFonts w:hint="eastAsia"/>
          <w:sz w:val="24"/>
        </w:rPr>
        <w:t>府に準じる。</w:t>
      </w:r>
    </w:p>
    <w:p w:rsidR="00247259" w:rsidRPr="00F927D1" w:rsidRDefault="00247259" w:rsidP="00247259">
      <w:pPr>
        <w:ind w:left="480" w:hangingChars="200" w:hanging="480"/>
        <w:rPr>
          <w:sz w:val="24"/>
        </w:rPr>
      </w:pPr>
      <w:r w:rsidRPr="00F927D1">
        <w:rPr>
          <w:rFonts w:hint="eastAsia"/>
          <w:sz w:val="24"/>
        </w:rPr>
        <w:t xml:space="preserve">　・退職手当は、府の支給基準に準じて支給するとともに、在職期間については、府及び他の地方公共団体等での在職期間を通算するものとする。</w:t>
      </w:r>
    </w:p>
    <w:p w:rsidR="00247259" w:rsidRDefault="00247259" w:rsidP="00247259">
      <w:pPr>
        <w:ind w:left="480" w:hangingChars="200" w:hanging="480"/>
        <w:rPr>
          <w:sz w:val="24"/>
        </w:rPr>
      </w:pPr>
    </w:p>
    <w:p w:rsidR="000528CB" w:rsidRPr="00F927D1" w:rsidRDefault="000528CB" w:rsidP="00247259">
      <w:pPr>
        <w:ind w:left="480" w:hangingChars="200" w:hanging="480"/>
        <w:rPr>
          <w:sz w:val="24"/>
        </w:rPr>
      </w:pPr>
    </w:p>
    <w:p w:rsidR="00247259" w:rsidRPr="00F927D1" w:rsidRDefault="00247259" w:rsidP="00247259">
      <w:pPr>
        <w:ind w:left="480" w:hangingChars="200" w:hanging="480"/>
        <w:rPr>
          <w:sz w:val="24"/>
        </w:rPr>
      </w:pPr>
      <w:r w:rsidRPr="00F927D1">
        <w:rPr>
          <w:rFonts w:hint="eastAsia"/>
          <w:sz w:val="24"/>
        </w:rPr>
        <w:t xml:space="preserve">　</w:t>
      </w:r>
      <w:r w:rsidRPr="00F927D1">
        <w:rPr>
          <w:rFonts w:hint="eastAsia"/>
          <w:sz w:val="24"/>
        </w:rPr>
        <w:t>(2)</w:t>
      </w:r>
      <w:r w:rsidRPr="00F927D1">
        <w:rPr>
          <w:rFonts w:hint="eastAsia"/>
          <w:sz w:val="24"/>
        </w:rPr>
        <w:t>勤務時間等について</w:t>
      </w:r>
    </w:p>
    <w:p w:rsidR="00247259" w:rsidRPr="00F927D1" w:rsidRDefault="00247259" w:rsidP="00247259">
      <w:pPr>
        <w:ind w:left="480" w:hangingChars="200" w:hanging="480"/>
        <w:rPr>
          <w:sz w:val="24"/>
        </w:rPr>
      </w:pPr>
      <w:r w:rsidRPr="00F927D1">
        <w:rPr>
          <w:rFonts w:hint="eastAsia"/>
          <w:sz w:val="24"/>
        </w:rPr>
        <w:t xml:space="preserve">　・勤務時間、休憩、休日、休暇等については、別紙によるものを除き、府に準じる。</w:t>
      </w:r>
    </w:p>
    <w:p w:rsidR="00247259" w:rsidRPr="00F927D1" w:rsidRDefault="00247259" w:rsidP="00247259">
      <w:pPr>
        <w:ind w:left="480" w:hangingChars="200" w:hanging="480"/>
        <w:rPr>
          <w:sz w:val="24"/>
        </w:rPr>
      </w:pPr>
      <w:r>
        <w:rPr>
          <w:rFonts w:hint="eastAsia"/>
          <w:sz w:val="24"/>
        </w:rPr>
        <w:t xml:space="preserve">　</w:t>
      </w:r>
      <w:r w:rsidRPr="00F927D1">
        <w:rPr>
          <w:rFonts w:hint="eastAsia"/>
          <w:sz w:val="24"/>
        </w:rPr>
        <w:t>・育児休業、介護休暇は、育児・介護休業法を適用するが、別紙によるものを除き、府に準じた取扱いとする。</w:t>
      </w:r>
    </w:p>
    <w:p w:rsidR="00247259" w:rsidRPr="00F927D1" w:rsidRDefault="00247259" w:rsidP="00247259">
      <w:pPr>
        <w:ind w:left="480" w:hangingChars="200" w:hanging="480"/>
        <w:rPr>
          <w:sz w:val="24"/>
        </w:rPr>
      </w:pPr>
    </w:p>
    <w:p w:rsidR="00247259" w:rsidRPr="00F927D1" w:rsidRDefault="00247259" w:rsidP="00247259">
      <w:pPr>
        <w:ind w:left="480" w:hangingChars="200" w:hanging="480"/>
        <w:rPr>
          <w:sz w:val="24"/>
        </w:rPr>
      </w:pPr>
      <w:r w:rsidRPr="00F927D1">
        <w:rPr>
          <w:rFonts w:hint="eastAsia"/>
          <w:sz w:val="24"/>
        </w:rPr>
        <w:t xml:space="preserve">　</w:t>
      </w:r>
      <w:r w:rsidRPr="00F927D1">
        <w:rPr>
          <w:rFonts w:hint="eastAsia"/>
          <w:sz w:val="24"/>
        </w:rPr>
        <w:t>(3)</w:t>
      </w:r>
      <w:r w:rsidRPr="00F927D1">
        <w:rPr>
          <w:rFonts w:hint="eastAsia"/>
          <w:sz w:val="24"/>
        </w:rPr>
        <w:t>人事制度等について</w:t>
      </w:r>
    </w:p>
    <w:p w:rsidR="00247259" w:rsidRPr="00F927D1" w:rsidRDefault="00247259" w:rsidP="00247259">
      <w:pPr>
        <w:ind w:left="480" w:hangingChars="200" w:hanging="480"/>
        <w:rPr>
          <w:sz w:val="24"/>
        </w:rPr>
      </w:pPr>
      <w:r w:rsidRPr="00F927D1">
        <w:rPr>
          <w:rFonts w:hint="eastAsia"/>
          <w:sz w:val="24"/>
        </w:rPr>
        <w:t xml:space="preserve">　・定年制度及び退職制度は、府に準じる。</w:t>
      </w:r>
    </w:p>
    <w:p w:rsidR="00247259" w:rsidRPr="00F927D1" w:rsidRDefault="00247259" w:rsidP="00247259">
      <w:pPr>
        <w:ind w:left="480" w:hangingChars="200" w:hanging="480"/>
        <w:rPr>
          <w:sz w:val="24"/>
        </w:rPr>
      </w:pPr>
      <w:r w:rsidRPr="00F927D1">
        <w:rPr>
          <w:rFonts w:hint="eastAsia"/>
          <w:sz w:val="24"/>
        </w:rPr>
        <w:t xml:space="preserve">　・再雇用制度は、府の再任用制度に準じる。</w:t>
      </w:r>
      <w:r>
        <w:rPr>
          <w:rFonts w:hint="eastAsia"/>
          <w:sz w:val="24"/>
        </w:rPr>
        <w:t>但し、現に再任用されている職員及び今年度末の定年退職者で再任用を希望する職員については、法人において暫定措置を講じる。</w:t>
      </w:r>
    </w:p>
    <w:p w:rsidR="00247259" w:rsidRPr="00F927D1" w:rsidRDefault="00247259" w:rsidP="00247259">
      <w:pPr>
        <w:ind w:left="480" w:hangingChars="200" w:hanging="480"/>
        <w:rPr>
          <w:sz w:val="24"/>
        </w:rPr>
      </w:pPr>
      <w:r w:rsidRPr="00F927D1">
        <w:rPr>
          <w:rFonts w:hint="eastAsia"/>
          <w:sz w:val="24"/>
        </w:rPr>
        <w:t xml:space="preserve">　・人事評価制度は、法人において創設する。</w:t>
      </w:r>
    </w:p>
    <w:p w:rsidR="00247259" w:rsidRPr="00F927D1" w:rsidRDefault="00247259" w:rsidP="00247259">
      <w:pPr>
        <w:ind w:left="480" w:hangingChars="200" w:hanging="480"/>
        <w:rPr>
          <w:sz w:val="24"/>
        </w:rPr>
      </w:pPr>
    </w:p>
    <w:p w:rsidR="00247259" w:rsidRDefault="00247259" w:rsidP="00247259">
      <w:pPr>
        <w:ind w:left="480" w:hangingChars="200" w:hanging="480"/>
        <w:rPr>
          <w:sz w:val="24"/>
        </w:rPr>
      </w:pPr>
      <w:r>
        <w:rPr>
          <w:rFonts w:hint="eastAsia"/>
          <w:sz w:val="24"/>
        </w:rPr>
        <w:t xml:space="preserve">　</w:t>
      </w:r>
      <w:r>
        <w:rPr>
          <w:rFonts w:hint="eastAsia"/>
          <w:sz w:val="24"/>
        </w:rPr>
        <w:t>(4)</w:t>
      </w:r>
      <w:r>
        <w:rPr>
          <w:rFonts w:hint="eastAsia"/>
          <w:sz w:val="24"/>
        </w:rPr>
        <w:t>福利厚生等</w:t>
      </w:r>
    </w:p>
    <w:p w:rsidR="00247259" w:rsidRDefault="00247259" w:rsidP="00247259">
      <w:pPr>
        <w:ind w:left="480" w:hangingChars="200" w:hanging="480"/>
        <w:rPr>
          <w:sz w:val="24"/>
        </w:rPr>
      </w:pPr>
      <w:r>
        <w:rPr>
          <w:rFonts w:hint="eastAsia"/>
          <w:sz w:val="24"/>
        </w:rPr>
        <w:t xml:space="preserve">　・共済（長期・短期）、災害補償は、地方公務員共済組合法、地方公務員災害補償法を適用する。</w:t>
      </w:r>
    </w:p>
    <w:p w:rsidR="00247259" w:rsidRDefault="00247259" w:rsidP="00247259">
      <w:pPr>
        <w:ind w:left="480" w:hangingChars="200" w:hanging="480"/>
        <w:rPr>
          <w:sz w:val="24"/>
        </w:rPr>
      </w:pPr>
      <w:r>
        <w:rPr>
          <w:rFonts w:hint="eastAsia"/>
          <w:sz w:val="24"/>
        </w:rPr>
        <w:t xml:space="preserve">　・財形貯蓄制度は、金融機関等と今後調整の上、別途お示しする。</w:t>
      </w:r>
    </w:p>
    <w:p w:rsidR="00247259" w:rsidRDefault="00247259" w:rsidP="00247259">
      <w:pPr>
        <w:ind w:left="480" w:hangingChars="200" w:hanging="480"/>
        <w:rPr>
          <w:sz w:val="24"/>
        </w:rPr>
      </w:pPr>
      <w:r>
        <w:rPr>
          <w:rFonts w:hint="eastAsia"/>
          <w:sz w:val="24"/>
        </w:rPr>
        <w:t xml:space="preserve">　・大阪府職員互助会には加入できない。今後、法人として検討する。</w:t>
      </w:r>
    </w:p>
    <w:p w:rsidR="00247259" w:rsidRDefault="00247259" w:rsidP="00247259">
      <w:pPr>
        <w:ind w:left="480" w:hangingChars="200" w:hanging="480"/>
        <w:rPr>
          <w:sz w:val="24"/>
        </w:rPr>
      </w:pPr>
      <w:r>
        <w:rPr>
          <w:rFonts w:hint="eastAsia"/>
          <w:sz w:val="24"/>
        </w:rPr>
        <w:t xml:space="preserve">　・雇用保険については、雇用保険法が適用されるため、給料（諸手当を含んだ賃金総額）や期末勤勉手当等の支給額に応じて、本人負担が生じる。</w:t>
      </w:r>
    </w:p>
    <w:p w:rsidR="00247259" w:rsidRDefault="00247259" w:rsidP="00247259">
      <w:pPr>
        <w:ind w:left="480" w:hangingChars="200" w:hanging="480"/>
        <w:rPr>
          <w:sz w:val="24"/>
        </w:rPr>
      </w:pPr>
    </w:p>
    <w:p w:rsidR="00247259" w:rsidRPr="00B913C3" w:rsidRDefault="00247259" w:rsidP="00247259">
      <w:pPr>
        <w:ind w:left="480" w:hangingChars="200" w:hanging="480"/>
        <w:rPr>
          <w:sz w:val="24"/>
        </w:rPr>
      </w:pPr>
    </w:p>
    <w:p w:rsidR="00247259" w:rsidRDefault="00247259" w:rsidP="00247259">
      <w:pPr>
        <w:ind w:left="480" w:hangingChars="200" w:hanging="480"/>
        <w:rPr>
          <w:sz w:val="24"/>
        </w:rPr>
      </w:pPr>
      <w:r>
        <w:rPr>
          <w:rFonts w:hint="eastAsia"/>
          <w:sz w:val="24"/>
        </w:rPr>
        <w:t>３．府から法人に派遣される職員の給与、労働条件等の取扱い</w:t>
      </w:r>
    </w:p>
    <w:p w:rsidR="00247259" w:rsidRDefault="00247259" w:rsidP="00247259">
      <w:pPr>
        <w:ind w:left="480" w:hangingChars="200" w:hanging="480"/>
        <w:rPr>
          <w:sz w:val="24"/>
        </w:rPr>
      </w:pPr>
      <w:r>
        <w:rPr>
          <w:rFonts w:hint="eastAsia"/>
          <w:sz w:val="24"/>
        </w:rPr>
        <w:t xml:space="preserve">　・派遣職員の給与は、府と協定書を締結し、府職員との均衡を図る。</w:t>
      </w:r>
    </w:p>
    <w:p w:rsidR="00247259" w:rsidRDefault="00247259" w:rsidP="00247259">
      <w:pPr>
        <w:ind w:leftChars="100" w:left="450" w:hangingChars="100" w:hanging="240"/>
        <w:rPr>
          <w:sz w:val="24"/>
        </w:rPr>
      </w:pPr>
      <w:r>
        <w:rPr>
          <w:rFonts w:hint="eastAsia"/>
          <w:sz w:val="24"/>
        </w:rPr>
        <w:t>・勤務時間、休憩、休日、休暇等は、法人の規程を適用する。（原則として府に準じる。）</w:t>
      </w:r>
    </w:p>
    <w:p w:rsidR="00247259" w:rsidRDefault="00247259" w:rsidP="00247259">
      <w:pPr>
        <w:rPr>
          <w:sz w:val="24"/>
        </w:rPr>
      </w:pPr>
    </w:p>
    <w:p w:rsidR="00247259" w:rsidRDefault="00247259" w:rsidP="00247259">
      <w:pPr>
        <w:rPr>
          <w:sz w:val="24"/>
        </w:rPr>
      </w:pPr>
    </w:p>
    <w:tbl>
      <w:tblPr>
        <w:tblStyle w:val="a3"/>
        <w:tblW w:w="0" w:type="auto"/>
        <w:tblLook w:val="04A0" w:firstRow="1" w:lastRow="0" w:firstColumn="1" w:lastColumn="0" w:noHBand="0" w:noVBand="1"/>
      </w:tblPr>
      <w:tblGrid>
        <w:gridCol w:w="1471"/>
        <w:gridCol w:w="3119"/>
        <w:gridCol w:w="4307"/>
      </w:tblGrid>
      <w:tr w:rsidR="00247259" w:rsidTr="0046326C">
        <w:tc>
          <w:tcPr>
            <w:tcW w:w="1471" w:type="dxa"/>
          </w:tcPr>
          <w:p w:rsidR="00247259" w:rsidRDefault="00247259" w:rsidP="0046326C">
            <w:pPr>
              <w:jc w:val="center"/>
              <w:rPr>
                <w:sz w:val="24"/>
              </w:rPr>
            </w:pPr>
            <w:r>
              <w:rPr>
                <w:rFonts w:hint="eastAsia"/>
                <w:sz w:val="24"/>
              </w:rPr>
              <w:t>区　　分</w:t>
            </w:r>
          </w:p>
        </w:tc>
        <w:tc>
          <w:tcPr>
            <w:tcW w:w="3119" w:type="dxa"/>
          </w:tcPr>
          <w:p w:rsidR="00247259" w:rsidRDefault="00247259" w:rsidP="0046326C">
            <w:pPr>
              <w:jc w:val="center"/>
              <w:rPr>
                <w:sz w:val="24"/>
              </w:rPr>
            </w:pPr>
            <w:r>
              <w:rPr>
                <w:rFonts w:hint="eastAsia"/>
                <w:sz w:val="24"/>
              </w:rPr>
              <w:t>承継職員</w:t>
            </w:r>
          </w:p>
        </w:tc>
        <w:tc>
          <w:tcPr>
            <w:tcW w:w="4307" w:type="dxa"/>
          </w:tcPr>
          <w:p w:rsidR="00247259" w:rsidRDefault="00247259" w:rsidP="0046326C">
            <w:pPr>
              <w:jc w:val="center"/>
              <w:rPr>
                <w:sz w:val="24"/>
              </w:rPr>
            </w:pPr>
            <w:r>
              <w:rPr>
                <w:rFonts w:hint="eastAsia"/>
                <w:sz w:val="24"/>
              </w:rPr>
              <w:t>派遣職員</w:t>
            </w:r>
          </w:p>
        </w:tc>
      </w:tr>
      <w:tr w:rsidR="00247259" w:rsidTr="0046326C">
        <w:tc>
          <w:tcPr>
            <w:tcW w:w="1471" w:type="dxa"/>
          </w:tcPr>
          <w:p w:rsidR="00247259" w:rsidRDefault="00247259" w:rsidP="0046326C">
            <w:pPr>
              <w:jc w:val="center"/>
              <w:rPr>
                <w:sz w:val="24"/>
              </w:rPr>
            </w:pPr>
            <w:r>
              <w:rPr>
                <w:rFonts w:hint="eastAsia"/>
                <w:sz w:val="24"/>
              </w:rPr>
              <w:t>身　　分</w:t>
            </w:r>
          </w:p>
        </w:tc>
        <w:tc>
          <w:tcPr>
            <w:tcW w:w="3119" w:type="dxa"/>
          </w:tcPr>
          <w:p w:rsidR="00247259" w:rsidRDefault="00247259" w:rsidP="0046326C">
            <w:pPr>
              <w:rPr>
                <w:sz w:val="24"/>
              </w:rPr>
            </w:pPr>
            <w:r>
              <w:rPr>
                <w:rFonts w:hint="eastAsia"/>
                <w:sz w:val="24"/>
              </w:rPr>
              <w:t>法人職員（非公務員）</w:t>
            </w:r>
          </w:p>
        </w:tc>
        <w:tc>
          <w:tcPr>
            <w:tcW w:w="4307" w:type="dxa"/>
          </w:tcPr>
          <w:p w:rsidR="00247259" w:rsidRDefault="00247259" w:rsidP="0046326C">
            <w:pPr>
              <w:rPr>
                <w:sz w:val="24"/>
              </w:rPr>
            </w:pPr>
            <w:r>
              <w:rPr>
                <w:rFonts w:hint="eastAsia"/>
                <w:sz w:val="24"/>
              </w:rPr>
              <w:t>法人職員と府職員の身分を併有</w:t>
            </w:r>
          </w:p>
        </w:tc>
      </w:tr>
      <w:tr w:rsidR="00247259" w:rsidTr="0046326C">
        <w:tc>
          <w:tcPr>
            <w:tcW w:w="1471" w:type="dxa"/>
          </w:tcPr>
          <w:p w:rsidR="00247259" w:rsidRDefault="00247259" w:rsidP="0046326C">
            <w:pPr>
              <w:jc w:val="center"/>
              <w:rPr>
                <w:sz w:val="24"/>
              </w:rPr>
            </w:pPr>
            <w:r>
              <w:rPr>
                <w:rFonts w:hint="eastAsia"/>
                <w:sz w:val="24"/>
              </w:rPr>
              <w:t>給　　与</w:t>
            </w:r>
          </w:p>
        </w:tc>
        <w:tc>
          <w:tcPr>
            <w:tcW w:w="3119" w:type="dxa"/>
          </w:tcPr>
          <w:p w:rsidR="00247259" w:rsidRDefault="00247259" w:rsidP="0046326C">
            <w:pPr>
              <w:rPr>
                <w:sz w:val="24"/>
              </w:rPr>
            </w:pPr>
            <w:r>
              <w:rPr>
                <w:rFonts w:hint="eastAsia"/>
                <w:sz w:val="24"/>
              </w:rPr>
              <w:t>法人の給与規定による</w:t>
            </w:r>
          </w:p>
        </w:tc>
        <w:tc>
          <w:tcPr>
            <w:tcW w:w="4307" w:type="dxa"/>
          </w:tcPr>
          <w:p w:rsidR="00247259" w:rsidRDefault="00247259" w:rsidP="0046326C">
            <w:pPr>
              <w:rPr>
                <w:sz w:val="24"/>
              </w:rPr>
            </w:pPr>
            <w:r>
              <w:rPr>
                <w:rFonts w:hint="eastAsia"/>
                <w:sz w:val="24"/>
              </w:rPr>
              <w:t>法人の給与規定による</w:t>
            </w:r>
          </w:p>
          <w:p w:rsidR="00247259" w:rsidRDefault="00247259" w:rsidP="0046326C">
            <w:pPr>
              <w:rPr>
                <w:sz w:val="24"/>
              </w:rPr>
            </w:pPr>
            <w:r>
              <w:rPr>
                <w:rFonts w:hint="eastAsia"/>
                <w:sz w:val="24"/>
              </w:rPr>
              <w:t>但し、本府との取決めにより決定</w:t>
            </w:r>
          </w:p>
        </w:tc>
      </w:tr>
      <w:tr w:rsidR="00247259" w:rsidTr="0046326C">
        <w:tc>
          <w:tcPr>
            <w:tcW w:w="1471" w:type="dxa"/>
          </w:tcPr>
          <w:p w:rsidR="00247259" w:rsidRDefault="00247259" w:rsidP="0046326C">
            <w:pPr>
              <w:jc w:val="center"/>
              <w:rPr>
                <w:sz w:val="24"/>
              </w:rPr>
            </w:pPr>
            <w:r>
              <w:rPr>
                <w:rFonts w:hint="eastAsia"/>
                <w:sz w:val="24"/>
              </w:rPr>
              <w:t>勤務時間等</w:t>
            </w:r>
          </w:p>
        </w:tc>
        <w:tc>
          <w:tcPr>
            <w:tcW w:w="3119" w:type="dxa"/>
          </w:tcPr>
          <w:p w:rsidR="00247259" w:rsidRDefault="00247259" w:rsidP="0046326C">
            <w:pPr>
              <w:rPr>
                <w:sz w:val="24"/>
              </w:rPr>
            </w:pPr>
            <w:r>
              <w:rPr>
                <w:rFonts w:hint="eastAsia"/>
                <w:sz w:val="24"/>
              </w:rPr>
              <w:t>法人の就業規則による</w:t>
            </w:r>
          </w:p>
        </w:tc>
        <w:tc>
          <w:tcPr>
            <w:tcW w:w="4307" w:type="dxa"/>
          </w:tcPr>
          <w:p w:rsidR="00247259" w:rsidRDefault="00247259" w:rsidP="0046326C">
            <w:pPr>
              <w:rPr>
                <w:sz w:val="24"/>
              </w:rPr>
            </w:pPr>
            <w:r>
              <w:rPr>
                <w:rFonts w:hint="eastAsia"/>
                <w:sz w:val="24"/>
              </w:rPr>
              <w:t>法人の就業規則による</w:t>
            </w:r>
          </w:p>
          <w:p w:rsidR="00247259" w:rsidRDefault="00247259" w:rsidP="0046326C">
            <w:pPr>
              <w:rPr>
                <w:sz w:val="24"/>
              </w:rPr>
            </w:pPr>
            <w:r>
              <w:rPr>
                <w:rFonts w:hint="eastAsia"/>
                <w:sz w:val="24"/>
              </w:rPr>
              <w:t>但し、本府との取決めにより決定</w:t>
            </w:r>
          </w:p>
        </w:tc>
      </w:tr>
      <w:tr w:rsidR="00247259" w:rsidTr="0046326C">
        <w:tc>
          <w:tcPr>
            <w:tcW w:w="1471" w:type="dxa"/>
          </w:tcPr>
          <w:p w:rsidR="00247259" w:rsidRDefault="00247259" w:rsidP="0046326C">
            <w:pPr>
              <w:jc w:val="center"/>
              <w:rPr>
                <w:sz w:val="24"/>
              </w:rPr>
            </w:pPr>
            <w:r>
              <w:rPr>
                <w:rFonts w:hint="eastAsia"/>
                <w:sz w:val="24"/>
              </w:rPr>
              <w:t>退職手当</w:t>
            </w:r>
          </w:p>
        </w:tc>
        <w:tc>
          <w:tcPr>
            <w:tcW w:w="3119" w:type="dxa"/>
          </w:tcPr>
          <w:p w:rsidR="00247259" w:rsidRDefault="00247259" w:rsidP="0046326C">
            <w:pPr>
              <w:rPr>
                <w:sz w:val="24"/>
              </w:rPr>
            </w:pPr>
            <w:r>
              <w:rPr>
                <w:rFonts w:hint="eastAsia"/>
                <w:sz w:val="24"/>
              </w:rPr>
              <w:t>法人の退職手当規程による</w:t>
            </w:r>
          </w:p>
        </w:tc>
        <w:tc>
          <w:tcPr>
            <w:tcW w:w="4307" w:type="dxa"/>
          </w:tcPr>
          <w:p w:rsidR="00247259" w:rsidRDefault="00247259" w:rsidP="0046326C">
            <w:pPr>
              <w:rPr>
                <w:sz w:val="24"/>
              </w:rPr>
            </w:pPr>
            <w:r>
              <w:rPr>
                <w:rFonts w:hint="eastAsia"/>
                <w:sz w:val="24"/>
              </w:rPr>
              <w:t>本府の退職手当条例が適用</w:t>
            </w:r>
          </w:p>
        </w:tc>
      </w:tr>
      <w:tr w:rsidR="00247259" w:rsidTr="0046326C">
        <w:tc>
          <w:tcPr>
            <w:tcW w:w="1471" w:type="dxa"/>
          </w:tcPr>
          <w:p w:rsidR="00247259" w:rsidRDefault="00247259" w:rsidP="0046326C">
            <w:pPr>
              <w:jc w:val="center"/>
              <w:rPr>
                <w:sz w:val="24"/>
              </w:rPr>
            </w:pPr>
            <w:r>
              <w:rPr>
                <w:rFonts w:hint="eastAsia"/>
                <w:sz w:val="24"/>
              </w:rPr>
              <w:t>共済制度</w:t>
            </w:r>
          </w:p>
        </w:tc>
        <w:tc>
          <w:tcPr>
            <w:tcW w:w="7426" w:type="dxa"/>
            <w:gridSpan w:val="2"/>
          </w:tcPr>
          <w:p w:rsidR="00247259" w:rsidRDefault="00247259" w:rsidP="0046326C">
            <w:pPr>
              <w:jc w:val="center"/>
              <w:rPr>
                <w:sz w:val="24"/>
              </w:rPr>
            </w:pPr>
            <w:r>
              <w:rPr>
                <w:rFonts w:hint="eastAsia"/>
                <w:sz w:val="24"/>
              </w:rPr>
              <w:t>地方公務員等共済組合法が適用</w:t>
            </w:r>
          </w:p>
        </w:tc>
      </w:tr>
      <w:tr w:rsidR="00247259" w:rsidTr="0046326C">
        <w:tc>
          <w:tcPr>
            <w:tcW w:w="1471" w:type="dxa"/>
          </w:tcPr>
          <w:p w:rsidR="00247259" w:rsidRDefault="00247259" w:rsidP="0046326C">
            <w:pPr>
              <w:jc w:val="center"/>
              <w:rPr>
                <w:sz w:val="24"/>
              </w:rPr>
            </w:pPr>
            <w:r>
              <w:rPr>
                <w:rFonts w:hint="eastAsia"/>
                <w:sz w:val="24"/>
              </w:rPr>
              <w:t>互助制度</w:t>
            </w:r>
          </w:p>
        </w:tc>
        <w:tc>
          <w:tcPr>
            <w:tcW w:w="3119" w:type="dxa"/>
          </w:tcPr>
          <w:p w:rsidR="00247259" w:rsidRDefault="00247259" w:rsidP="0046326C">
            <w:pPr>
              <w:rPr>
                <w:sz w:val="24"/>
              </w:rPr>
            </w:pPr>
            <w:r>
              <w:rPr>
                <w:rFonts w:hint="eastAsia"/>
                <w:sz w:val="24"/>
              </w:rPr>
              <w:t>本府及び大阪市の職員互助会には加入不可</w:t>
            </w:r>
          </w:p>
        </w:tc>
        <w:tc>
          <w:tcPr>
            <w:tcW w:w="4307" w:type="dxa"/>
          </w:tcPr>
          <w:p w:rsidR="00247259" w:rsidRDefault="00247259" w:rsidP="0046326C">
            <w:pPr>
              <w:rPr>
                <w:sz w:val="24"/>
              </w:rPr>
            </w:pPr>
            <w:r>
              <w:rPr>
                <w:rFonts w:hint="eastAsia"/>
                <w:sz w:val="24"/>
              </w:rPr>
              <w:t>本府職員互助会</w:t>
            </w:r>
          </w:p>
        </w:tc>
      </w:tr>
      <w:tr w:rsidR="00247259" w:rsidTr="0046326C">
        <w:tc>
          <w:tcPr>
            <w:tcW w:w="1471" w:type="dxa"/>
          </w:tcPr>
          <w:p w:rsidR="00247259" w:rsidRDefault="00247259" w:rsidP="0046326C">
            <w:pPr>
              <w:jc w:val="center"/>
              <w:rPr>
                <w:sz w:val="24"/>
              </w:rPr>
            </w:pPr>
            <w:r>
              <w:rPr>
                <w:rFonts w:hint="eastAsia"/>
                <w:sz w:val="24"/>
              </w:rPr>
              <w:t>災害補償</w:t>
            </w:r>
          </w:p>
        </w:tc>
        <w:tc>
          <w:tcPr>
            <w:tcW w:w="7426" w:type="dxa"/>
            <w:gridSpan w:val="2"/>
          </w:tcPr>
          <w:p w:rsidR="00247259" w:rsidRDefault="00247259" w:rsidP="0046326C">
            <w:pPr>
              <w:jc w:val="center"/>
              <w:rPr>
                <w:sz w:val="24"/>
              </w:rPr>
            </w:pPr>
            <w:r>
              <w:rPr>
                <w:rFonts w:hint="eastAsia"/>
                <w:sz w:val="24"/>
              </w:rPr>
              <w:t>地方公務員災害補償法が適用</w:t>
            </w:r>
          </w:p>
        </w:tc>
      </w:tr>
      <w:tr w:rsidR="00247259" w:rsidTr="0046326C">
        <w:tc>
          <w:tcPr>
            <w:tcW w:w="1471" w:type="dxa"/>
          </w:tcPr>
          <w:p w:rsidR="00247259" w:rsidRDefault="00247259" w:rsidP="0046326C">
            <w:pPr>
              <w:jc w:val="center"/>
              <w:rPr>
                <w:sz w:val="24"/>
              </w:rPr>
            </w:pPr>
            <w:r>
              <w:rPr>
                <w:rFonts w:hint="eastAsia"/>
                <w:sz w:val="24"/>
              </w:rPr>
              <w:t>雇用保険</w:t>
            </w:r>
          </w:p>
        </w:tc>
        <w:tc>
          <w:tcPr>
            <w:tcW w:w="3119" w:type="dxa"/>
          </w:tcPr>
          <w:p w:rsidR="00247259" w:rsidRDefault="00247259" w:rsidP="0046326C">
            <w:pPr>
              <w:rPr>
                <w:sz w:val="24"/>
              </w:rPr>
            </w:pPr>
            <w:r>
              <w:rPr>
                <w:rFonts w:hint="eastAsia"/>
                <w:sz w:val="24"/>
              </w:rPr>
              <w:t>雇用保険法適用</w:t>
            </w:r>
          </w:p>
        </w:tc>
        <w:tc>
          <w:tcPr>
            <w:tcW w:w="4307" w:type="dxa"/>
          </w:tcPr>
          <w:p w:rsidR="00247259" w:rsidRDefault="00247259" w:rsidP="0046326C">
            <w:pPr>
              <w:rPr>
                <w:sz w:val="24"/>
              </w:rPr>
            </w:pPr>
            <w:r>
              <w:rPr>
                <w:rFonts w:hint="eastAsia"/>
                <w:sz w:val="24"/>
              </w:rPr>
              <w:t>雇用保険法適用除外</w:t>
            </w:r>
          </w:p>
        </w:tc>
      </w:tr>
    </w:tbl>
    <w:p w:rsidR="00247259" w:rsidRDefault="00247259" w:rsidP="00302AF8">
      <w:pPr>
        <w:ind w:left="480" w:hangingChars="200" w:hanging="480"/>
        <w:rPr>
          <w:sz w:val="24"/>
        </w:rPr>
      </w:pPr>
      <w:bookmarkStart w:id="0" w:name="_GoBack"/>
      <w:bookmarkEnd w:id="0"/>
    </w:p>
    <w:sectPr w:rsidR="00247259" w:rsidSect="00D45210">
      <w:footerReference w:type="default" r:id="rId8"/>
      <w:pgSz w:w="11906" w:h="16838" w:code="9"/>
      <w:pgMar w:top="1701" w:right="1418" w:bottom="1418" w:left="1701" w:header="851" w:footer="992" w:gutter="0"/>
      <w:cols w:space="425"/>
      <w:docGrid w:type="linesAndChar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68E" w:rsidRDefault="00A0368E" w:rsidP="00207A81">
      <w:r>
        <w:separator/>
      </w:r>
    </w:p>
  </w:endnote>
  <w:endnote w:type="continuationSeparator" w:id="0">
    <w:p w:rsidR="00A0368E" w:rsidRDefault="00A0368E" w:rsidP="00207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798" w:rsidRDefault="00D8179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68E" w:rsidRDefault="00A0368E" w:rsidP="00207A81">
      <w:r>
        <w:separator/>
      </w:r>
    </w:p>
  </w:footnote>
  <w:footnote w:type="continuationSeparator" w:id="0">
    <w:p w:rsidR="00A0368E" w:rsidRDefault="00A0368E" w:rsidP="00207A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A4710"/>
    <w:multiLevelType w:val="hybridMultilevel"/>
    <w:tmpl w:val="8A08F144"/>
    <w:lvl w:ilvl="0" w:tplc="5D98E9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AAA2ECF"/>
    <w:multiLevelType w:val="hybridMultilevel"/>
    <w:tmpl w:val="5D7E4766"/>
    <w:lvl w:ilvl="0" w:tplc="1024894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HorizontalSpacing w:val="105"/>
  <w:drawingGridVerticalSpacing w:val="31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334"/>
    <w:rsid w:val="000528CB"/>
    <w:rsid w:val="00087C48"/>
    <w:rsid w:val="001A044E"/>
    <w:rsid w:val="00207A81"/>
    <w:rsid w:val="00247259"/>
    <w:rsid w:val="00302AF8"/>
    <w:rsid w:val="00320202"/>
    <w:rsid w:val="003A1A73"/>
    <w:rsid w:val="003F5166"/>
    <w:rsid w:val="0042056D"/>
    <w:rsid w:val="00453080"/>
    <w:rsid w:val="004E6BBA"/>
    <w:rsid w:val="005A33F9"/>
    <w:rsid w:val="005D6D83"/>
    <w:rsid w:val="005E1F57"/>
    <w:rsid w:val="005E3EA0"/>
    <w:rsid w:val="00602089"/>
    <w:rsid w:val="006443B7"/>
    <w:rsid w:val="00652D57"/>
    <w:rsid w:val="006901CD"/>
    <w:rsid w:val="00754F0D"/>
    <w:rsid w:val="007C79E2"/>
    <w:rsid w:val="00802089"/>
    <w:rsid w:val="008554B6"/>
    <w:rsid w:val="008F2696"/>
    <w:rsid w:val="009B5269"/>
    <w:rsid w:val="009E252E"/>
    <w:rsid w:val="009F147F"/>
    <w:rsid w:val="00A0368E"/>
    <w:rsid w:val="00AC351D"/>
    <w:rsid w:val="00B11334"/>
    <w:rsid w:val="00B913C3"/>
    <w:rsid w:val="00BB48F4"/>
    <w:rsid w:val="00BD42E4"/>
    <w:rsid w:val="00C819B2"/>
    <w:rsid w:val="00C84B3B"/>
    <w:rsid w:val="00CF32D1"/>
    <w:rsid w:val="00D30A2A"/>
    <w:rsid w:val="00D45210"/>
    <w:rsid w:val="00D57389"/>
    <w:rsid w:val="00D81798"/>
    <w:rsid w:val="00DD1AB7"/>
    <w:rsid w:val="00E70402"/>
    <w:rsid w:val="00E84386"/>
    <w:rsid w:val="00E973C7"/>
    <w:rsid w:val="00EA3131"/>
    <w:rsid w:val="00F63D59"/>
    <w:rsid w:val="00F927D1"/>
    <w:rsid w:val="00FC0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3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F63D59"/>
  </w:style>
  <w:style w:type="character" w:customStyle="1" w:styleId="a5">
    <w:name w:val="日付 (文字)"/>
    <w:basedOn w:val="a0"/>
    <w:link w:val="a4"/>
    <w:uiPriority w:val="99"/>
    <w:semiHidden/>
    <w:rsid w:val="00F63D59"/>
  </w:style>
  <w:style w:type="paragraph" w:styleId="a6">
    <w:name w:val="header"/>
    <w:basedOn w:val="a"/>
    <w:link w:val="a7"/>
    <w:uiPriority w:val="99"/>
    <w:unhideWhenUsed/>
    <w:rsid w:val="00207A81"/>
    <w:pPr>
      <w:tabs>
        <w:tab w:val="center" w:pos="4252"/>
        <w:tab w:val="right" w:pos="8504"/>
      </w:tabs>
      <w:snapToGrid w:val="0"/>
    </w:pPr>
  </w:style>
  <w:style w:type="character" w:customStyle="1" w:styleId="a7">
    <w:name w:val="ヘッダー (文字)"/>
    <w:basedOn w:val="a0"/>
    <w:link w:val="a6"/>
    <w:uiPriority w:val="99"/>
    <w:rsid w:val="00207A81"/>
  </w:style>
  <w:style w:type="paragraph" w:styleId="a8">
    <w:name w:val="footer"/>
    <w:basedOn w:val="a"/>
    <w:link w:val="a9"/>
    <w:uiPriority w:val="99"/>
    <w:unhideWhenUsed/>
    <w:rsid w:val="00207A81"/>
    <w:pPr>
      <w:tabs>
        <w:tab w:val="center" w:pos="4252"/>
        <w:tab w:val="right" w:pos="8504"/>
      </w:tabs>
      <w:snapToGrid w:val="0"/>
    </w:pPr>
  </w:style>
  <w:style w:type="character" w:customStyle="1" w:styleId="a9">
    <w:name w:val="フッター (文字)"/>
    <w:basedOn w:val="a0"/>
    <w:link w:val="a8"/>
    <w:uiPriority w:val="99"/>
    <w:rsid w:val="00207A81"/>
  </w:style>
  <w:style w:type="paragraph" w:styleId="aa">
    <w:name w:val="List Paragraph"/>
    <w:basedOn w:val="a"/>
    <w:uiPriority w:val="34"/>
    <w:qFormat/>
    <w:rsid w:val="00247259"/>
    <w:pPr>
      <w:ind w:leftChars="400" w:left="840"/>
    </w:pPr>
  </w:style>
  <w:style w:type="paragraph" w:styleId="ab">
    <w:name w:val="Balloon Text"/>
    <w:basedOn w:val="a"/>
    <w:link w:val="ac"/>
    <w:uiPriority w:val="99"/>
    <w:semiHidden/>
    <w:unhideWhenUsed/>
    <w:rsid w:val="004E6BB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E6BB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3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F63D59"/>
  </w:style>
  <w:style w:type="character" w:customStyle="1" w:styleId="a5">
    <w:name w:val="日付 (文字)"/>
    <w:basedOn w:val="a0"/>
    <w:link w:val="a4"/>
    <w:uiPriority w:val="99"/>
    <w:semiHidden/>
    <w:rsid w:val="00F63D59"/>
  </w:style>
  <w:style w:type="paragraph" w:styleId="a6">
    <w:name w:val="header"/>
    <w:basedOn w:val="a"/>
    <w:link w:val="a7"/>
    <w:uiPriority w:val="99"/>
    <w:unhideWhenUsed/>
    <w:rsid w:val="00207A81"/>
    <w:pPr>
      <w:tabs>
        <w:tab w:val="center" w:pos="4252"/>
        <w:tab w:val="right" w:pos="8504"/>
      </w:tabs>
      <w:snapToGrid w:val="0"/>
    </w:pPr>
  </w:style>
  <w:style w:type="character" w:customStyle="1" w:styleId="a7">
    <w:name w:val="ヘッダー (文字)"/>
    <w:basedOn w:val="a0"/>
    <w:link w:val="a6"/>
    <w:uiPriority w:val="99"/>
    <w:rsid w:val="00207A81"/>
  </w:style>
  <w:style w:type="paragraph" w:styleId="a8">
    <w:name w:val="footer"/>
    <w:basedOn w:val="a"/>
    <w:link w:val="a9"/>
    <w:uiPriority w:val="99"/>
    <w:unhideWhenUsed/>
    <w:rsid w:val="00207A81"/>
    <w:pPr>
      <w:tabs>
        <w:tab w:val="center" w:pos="4252"/>
        <w:tab w:val="right" w:pos="8504"/>
      </w:tabs>
      <w:snapToGrid w:val="0"/>
    </w:pPr>
  </w:style>
  <w:style w:type="character" w:customStyle="1" w:styleId="a9">
    <w:name w:val="フッター (文字)"/>
    <w:basedOn w:val="a0"/>
    <w:link w:val="a8"/>
    <w:uiPriority w:val="99"/>
    <w:rsid w:val="00207A81"/>
  </w:style>
  <w:style w:type="paragraph" w:styleId="aa">
    <w:name w:val="List Paragraph"/>
    <w:basedOn w:val="a"/>
    <w:uiPriority w:val="34"/>
    <w:qFormat/>
    <w:rsid w:val="00247259"/>
    <w:pPr>
      <w:ind w:leftChars="400" w:left="840"/>
    </w:pPr>
  </w:style>
  <w:style w:type="paragraph" w:styleId="ab">
    <w:name w:val="Balloon Text"/>
    <w:basedOn w:val="a"/>
    <w:link w:val="ac"/>
    <w:uiPriority w:val="99"/>
    <w:semiHidden/>
    <w:unhideWhenUsed/>
    <w:rsid w:val="004E6BB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E6B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職員端末機23年度3月調達</dc:creator>
  <cp:lastModifiedBy>HOSTNAME</cp:lastModifiedBy>
  <cp:revision>2</cp:revision>
  <cp:lastPrinted>2016-12-02T02:21:00Z</cp:lastPrinted>
  <dcterms:created xsi:type="dcterms:W3CDTF">2016-12-14T04:50:00Z</dcterms:created>
  <dcterms:modified xsi:type="dcterms:W3CDTF">2016-12-14T04:50:00Z</dcterms:modified>
</cp:coreProperties>
</file>