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65" w:rsidRPr="00BC1765" w:rsidRDefault="00BC1765" w:rsidP="00BC1765">
      <w:pPr>
        <w:widowControl/>
        <w:jc w:val="left"/>
        <w:rPr>
          <w:rFonts w:ascii="ＭＳ ゴシック" w:eastAsia="ＭＳ ゴシック" w:hAnsi="ＭＳ ゴシック"/>
        </w:rPr>
      </w:pPr>
    </w:p>
    <w:p w:rsidR="00BC1765" w:rsidRPr="00BC1765" w:rsidRDefault="00BC1765" w:rsidP="00BC1765">
      <w:pPr>
        <w:widowControl/>
        <w:jc w:val="left"/>
        <w:rPr>
          <w:rFonts w:ascii="ＭＳ ゴシック" w:eastAsia="ＭＳ ゴシック" w:hAnsi="ＭＳ ゴシック"/>
        </w:rPr>
      </w:pPr>
    </w:p>
    <w:tbl>
      <w:tblPr>
        <w:tblStyle w:val="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blLook w:val="04A0" w:firstRow="1" w:lastRow="0" w:firstColumn="1" w:lastColumn="0" w:noHBand="0" w:noVBand="1"/>
      </w:tblPr>
      <w:tblGrid>
        <w:gridCol w:w="684"/>
        <w:gridCol w:w="1257"/>
        <w:gridCol w:w="185"/>
        <w:gridCol w:w="7728"/>
      </w:tblGrid>
      <w:tr w:rsidR="00BC1765" w:rsidRPr="00BC1765" w:rsidTr="00C54816">
        <w:tc>
          <w:tcPr>
            <w:tcW w:w="5000" w:type="pct"/>
            <w:gridSpan w:val="4"/>
            <w:tcBorders>
              <w:top w:val="single" w:sz="18" w:space="0" w:color="244061"/>
              <w:left w:val="single" w:sz="18" w:space="0" w:color="244061"/>
              <w:bottom w:val="single" w:sz="18" w:space="0" w:color="244061"/>
              <w:right w:val="single" w:sz="18" w:space="0" w:color="244061"/>
            </w:tcBorders>
            <w:shd w:val="clear" w:color="auto" w:fill="244061"/>
          </w:tcPr>
          <w:p w:rsidR="00BC1765" w:rsidRPr="00BC1765" w:rsidRDefault="00BC1765" w:rsidP="00BC1765">
            <w:pPr>
              <w:jc w:val="left"/>
              <w:rPr>
                <w:rFonts w:ascii="ＭＳ ゴシック" w:eastAsia="ＭＳ ゴシック" w:hAnsi="ＭＳ ゴシック"/>
                <w:b/>
                <w:color w:val="000000"/>
                <w:sz w:val="28"/>
                <w:szCs w:val="28"/>
              </w:rPr>
            </w:pPr>
            <w:r w:rsidRPr="00BC1765">
              <w:rPr>
                <w:rFonts w:ascii="ＭＳ ゴシック" w:eastAsia="ＭＳ ゴシック" w:hAnsi="ＭＳ ゴシック" w:hint="eastAsia"/>
                <w:b/>
                <w:color w:val="FFFFFF"/>
                <w:sz w:val="28"/>
                <w:szCs w:val="28"/>
              </w:rPr>
              <w:t>用語集</w:t>
            </w:r>
          </w:p>
        </w:tc>
      </w:tr>
      <w:tr w:rsidR="00BC1765" w:rsidRPr="00BC1765" w:rsidTr="00C54816">
        <w:trPr>
          <w:trHeight w:val="265"/>
        </w:trPr>
        <w:tc>
          <w:tcPr>
            <w:tcW w:w="5000" w:type="pct"/>
            <w:gridSpan w:val="4"/>
            <w:tcBorders>
              <w:top w:val="single" w:sz="18" w:space="0" w:color="244061"/>
            </w:tcBorders>
            <w:shd w:val="clear" w:color="auto" w:fill="auto"/>
          </w:tcPr>
          <w:p w:rsidR="00BC1765" w:rsidRPr="00BC1765" w:rsidRDefault="00BC1765" w:rsidP="00BC1765">
            <w:pPr>
              <w:jc w:val="left"/>
              <w:rPr>
                <w:rFonts w:ascii="ＭＳ ゴシック" w:eastAsia="ＭＳ ゴシック" w:hAnsi="ＭＳ ゴシック"/>
                <w:b/>
                <w:color w:val="000000"/>
                <w:szCs w:val="21"/>
              </w:rPr>
            </w:pP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用語の解説については、次の書籍等を引用しました。</w:t>
            </w: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本書において、専門用語、なじみのない用語及び難解な用語について、多くの方々にご理解していただけるよう、引用文献を活用して、できるかぎり説明していますが、一部説明困難な箇所があることをご了承願います。</w:t>
            </w:r>
          </w:p>
          <w:p w:rsidR="00BC1765" w:rsidRPr="00BC1765" w:rsidRDefault="00BC1765" w:rsidP="00BC1765">
            <w:pPr>
              <w:jc w:val="left"/>
              <w:rPr>
                <w:rFonts w:ascii="ＭＳ ゴシック" w:eastAsia="ＭＳ ゴシック" w:hAnsi="ＭＳ ゴシック"/>
                <w:b/>
                <w:color w:val="000000"/>
                <w:szCs w:val="21"/>
              </w:rPr>
            </w:pP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引用</w:t>
            </w: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 xml:space="preserve">　・建築大辞典　彰国社</w:t>
            </w: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 xml:space="preserve">　・広辞苑　岩波書店</w:t>
            </w: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 xml:space="preserve">　・大辞林　三省堂</w:t>
            </w:r>
          </w:p>
          <w:p w:rsidR="00BC1765" w:rsidRPr="00BC1765" w:rsidRDefault="00BC1765" w:rsidP="00BC1765">
            <w:pPr>
              <w:ind w:firstLineChars="100" w:firstLine="210"/>
              <w:jc w:val="left"/>
              <w:rPr>
                <w:rFonts w:ascii="ＭＳ ゴシック" w:eastAsia="ＭＳ ゴシック" w:hAnsi="ＭＳ ゴシック"/>
                <w:color w:val="000000"/>
                <w:szCs w:val="21"/>
              </w:rPr>
            </w:pPr>
            <w:r w:rsidRPr="00BC1765">
              <w:rPr>
                <w:rFonts w:ascii="ＭＳ ゴシック" w:eastAsia="ＭＳ ゴシック" w:hAnsi="ＭＳ ゴシック" w:hint="eastAsia"/>
                <w:color w:val="000000"/>
                <w:szCs w:val="21"/>
              </w:rPr>
              <w:t xml:space="preserve">　・公益社団法人　日本オストミー協会　ホームページ</w:t>
            </w:r>
          </w:p>
          <w:p w:rsidR="00BC1765" w:rsidRPr="00BC1765" w:rsidRDefault="00BC1765" w:rsidP="00BC1765">
            <w:pPr>
              <w:jc w:val="left"/>
              <w:rPr>
                <w:rFonts w:ascii="ＭＳ ゴシック" w:eastAsia="ＭＳ ゴシック" w:hAnsi="ＭＳ ゴシック"/>
                <w:b/>
                <w:color w:val="000000"/>
                <w:szCs w:val="21"/>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color w:val="000000"/>
                <w:szCs w:val="21"/>
              </w:rPr>
            </w:pPr>
            <w:r w:rsidRPr="00BC1765">
              <w:rPr>
                <w:rFonts w:ascii="ＭＳ ゴシック" w:eastAsia="ＭＳ ゴシック" w:hAnsi="ＭＳ ゴシック" w:hint="eastAsia"/>
                <w:b/>
                <w:color w:val="000000"/>
                <w:szCs w:val="21"/>
              </w:rPr>
              <w:t>あ行</w:t>
            </w:r>
          </w:p>
        </w:tc>
        <w:tc>
          <w:tcPr>
            <w:tcW w:w="4653" w:type="pct"/>
            <w:gridSpan w:val="3"/>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hint="eastAsia"/>
                <w:color w:val="000000"/>
                <w:szCs w:val="21"/>
              </w:rPr>
            </w:pPr>
          </w:p>
        </w:tc>
      </w:tr>
      <w:tr w:rsidR="00BC1765" w:rsidRPr="00BC1765" w:rsidTr="00C54816">
        <w:tc>
          <w:tcPr>
            <w:tcW w:w="985" w:type="pct"/>
            <w:gridSpan w:val="2"/>
            <w:tcBorders>
              <w:top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w w:val="90"/>
                <w:sz w:val="20"/>
                <w:szCs w:val="21"/>
              </w:rPr>
            </w:pPr>
            <w:r w:rsidRPr="00BC1765">
              <w:rPr>
                <w:rFonts w:ascii="ＭＳ ゴシック" w:eastAsia="ＭＳ ゴシック" w:hAnsi="ＭＳ ゴシック" w:hint="eastAsia"/>
                <w:color w:val="000000"/>
                <w:w w:val="90"/>
                <w:sz w:val="20"/>
                <w:szCs w:val="21"/>
              </w:rPr>
              <w:t>アスペルガー症候群</w:t>
            </w:r>
          </w:p>
        </w:tc>
        <w:tc>
          <w:tcPr>
            <w:tcW w:w="4015" w:type="pct"/>
            <w:gridSpan w:val="2"/>
            <w:tcBorders>
              <w:top w:val="single" w:sz="18" w:space="0" w:color="244061"/>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知的発達の遅れを伴わず、かつ、自閉症の特徴のうち言葉の発達の遅れを伴わない</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広汎性発達障がいの１つ。</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アルコーブ</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室の壁面を後退させて造られた付属的な空間。開き戸の前に空間を造ることで、戸を開けたときに、廊下を歩いている人に戸がぶつからないようにするなど安全面でも効果がある。</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sz w:val="20"/>
                <w:szCs w:val="20"/>
              </w:rPr>
              <w:t>オールジェンダートイレ</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highlight w:val="lightGray"/>
              </w:rPr>
            </w:pPr>
            <w:r w:rsidRPr="00BC1765">
              <w:rPr>
                <w:rFonts w:ascii="ＭＳ ゴシック" w:eastAsia="ＭＳ ゴシック" w:hAnsi="ＭＳ ゴシック" w:hint="eastAsia"/>
                <w:color w:val="000000"/>
                <w:sz w:val="20"/>
                <w:szCs w:val="20"/>
                <w:shd w:val="clear" w:color="auto" w:fill="FFFFFF"/>
              </w:rPr>
              <w:t>男性と女性を区別せずに、誰もが利用できるトイレ</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オストメイト</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ストーマ（人工肛門・人工膀胱）が造設されている人のこと。人工肛門保有者、</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人工膀胱保有者ともいう。</w:t>
            </w:r>
          </w:p>
        </w:tc>
      </w:tr>
      <w:tr w:rsidR="00BC1765" w:rsidRPr="00BC1765" w:rsidTr="00C54816">
        <w:trPr>
          <w:trHeight w:val="87"/>
        </w:trPr>
        <w:tc>
          <w:tcPr>
            <w:tcW w:w="5000" w:type="pct"/>
            <w:gridSpan w:val="4"/>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b/>
                <w:color w:val="000000"/>
                <w:szCs w:val="21"/>
              </w:rPr>
            </w:pPr>
            <w:r w:rsidRPr="00BC1765">
              <w:rPr>
                <w:rFonts w:ascii="ＭＳ ゴシック" w:eastAsia="ＭＳ ゴシック" w:hAnsi="ＭＳ ゴシック" w:hint="eastAsia"/>
                <w:b/>
                <w:color w:val="000000"/>
                <w:szCs w:val="21"/>
              </w:rPr>
              <w:t>か行</w:t>
            </w:r>
          </w:p>
        </w:tc>
        <w:tc>
          <w:tcPr>
            <w:tcW w:w="4653" w:type="pct"/>
            <w:gridSpan w:val="3"/>
            <w:tcBorders>
              <w:left w:val="nil"/>
              <w:bottom w:val="single" w:sz="12" w:space="0" w:color="auto"/>
            </w:tcBorders>
            <w:shd w:val="clear" w:color="auto" w:fill="auto"/>
          </w:tcPr>
          <w:p w:rsidR="00BC1765" w:rsidRPr="00BC1765" w:rsidRDefault="00BC1765" w:rsidP="00BC1765">
            <w:pPr>
              <w:jc w:val="left"/>
              <w:rPr>
                <w:rFonts w:ascii="ＭＳ ゴシック" w:eastAsia="ＭＳ ゴシック" w:hAnsi="ＭＳ ゴシック" w:hint="eastAsia"/>
                <w:color w:val="000000"/>
                <w:szCs w:val="21"/>
              </w:rPr>
            </w:pPr>
          </w:p>
        </w:tc>
      </w:tr>
      <w:tr w:rsidR="00BC1765" w:rsidRPr="00BC1765" w:rsidTr="00C54816">
        <w:tc>
          <w:tcPr>
            <w:tcW w:w="985" w:type="pct"/>
            <w:gridSpan w:val="2"/>
            <w:tcBorders>
              <w:top w:val="single" w:sz="18" w:space="0" w:color="auto"/>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カームダウン／クールダウン</w:t>
            </w:r>
          </w:p>
        </w:tc>
        <w:tc>
          <w:tcPr>
            <w:tcW w:w="4015" w:type="pct"/>
            <w:gridSpan w:val="2"/>
            <w:tcBorders>
              <w:top w:val="single" w:sz="18" w:space="0" w:color="auto"/>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人混み、音や光など環境の状況によって不安や恐怖等を感じ、パニックを起こした時に、気持ちを落ち着かせること。</w:t>
            </w:r>
          </w:p>
        </w:tc>
      </w:tr>
      <w:tr w:rsidR="00BC1765" w:rsidRPr="00BC1765" w:rsidTr="00C54816">
        <w:tc>
          <w:tcPr>
            <w:tcW w:w="985" w:type="pct"/>
            <w:gridSpan w:val="2"/>
            <w:tcBorders>
              <w:top w:val="dotted" w:sz="4" w:space="0" w:color="auto"/>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top w:val="dotted" w:sz="4" w:space="0" w:color="auto"/>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tcBorders>
              <w:top w:val="dotted" w:sz="4" w:space="0" w:color="auto"/>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確認申請</w:t>
            </w:r>
          </w:p>
        </w:tc>
        <w:tc>
          <w:tcPr>
            <w:tcW w:w="4015" w:type="pct"/>
            <w:gridSpan w:val="2"/>
            <w:tcBorders>
              <w:top w:val="dotted" w:sz="4" w:space="0" w:color="auto"/>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建築物の新築、増築等を行う場合に、建築主が建築基準法の規定に基づいて建築主事に対して行う申請。建築物に関する建築基準法の基準は技術的であり専門的であるために、建築主は一定規模以上の建築物（工作物、建築設備についても準用されるものがある）を建築、大規模の修繕や模様替え、用途変更などをする場合に、工事着手前に建築主事の確認を受けなければならない。また建築主事は、この申請を受けてから</w:t>
            </w:r>
            <w:r w:rsidRPr="00BC1765">
              <w:rPr>
                <w:rFonts w:ascii="ＭＳ ゴシック" w:eastAsia="ＭＳ ゴシック" w:hAnsi="ＭＳ ゴシック" w:hint="eastAsia"/>
                <w:color w:val="000000"/>
                <w:sz w:val="20"/>
                <w:szCs w:val="21"/>
              </w:rPr>
              <w:lastRenderedPageBreak/>
              <w:t>同法第６条第１項一～三号による建築物は35日、同条第１項四号による建築物については７日以内に、その計画が建築関係法令に適合しているか否かを審査しなければならない。</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輝度</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FF0000"/>
                <w:sz w:val="20"/>
                <w:szCs w:val="21"/>
              </w:rPr>
            </w:pPr>
            <w:r w:rsidRPr="00BC1765">
              <w:rPr>
                <w:rFonts w:ascii="ＭＳ ゴシック" w:eastAsia="ＭＳ ゴシック" w:hAnsi="ＭＳ ゴシック" w:hint="eastAsia"/>
                <w:color w:val="000000"/>
                <w:sz w:val="20"/>
                <w:szCs w:val="21"/>
              </w:rPr>
              <w:t>ある方向から見た面の明るさの程度を示す測光量。すなわち、ある点から発せられている光源のまぶしさを示す光量を表す。単位はcd/㎡（カンデラ/平方メートル）</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rPr>
          <w:trHeight w:val="51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輝度比</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視対象とその背景の輝度の比。一般的にコントラストと言う。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くし板</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エスカレーターにおいて、床面から踏段へ、踏段から床面へ移る案内板。</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滑り止めとして縞模様を浮かせた黄銅や鋳鉄、またはアルミ合金で作られる。</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車止め</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車の通行を禁ずること。車両が惰力その他の原因により逸走するのを防止するために設置する構造物。また、駐車場などで車の停止を助けるために設ける縁石コンクリートブロックなど。</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車寄せ</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strike/>
                <w:color w:val="000000"/>
                <w:sz w:val="20"/>
                <w:szCs w:val="21"/>
              </w:rPr>
            </w:pPr>
            <w:r w:rsidRPr="00BC1765">
              <w:rPr>
                <w:rFonts w:ascii="ＭＳ ゴシック" w:eastAsia="ＭＳ ゴシック" w:hAnsi="ＭＳ ゴシック" w:hint="eastAsia"/>
                <w:color w:val="000000"/>
                <w:sz w:val="20"/>
                <w:szCs w:val="21"/>
              </w:rPr>
              <w:t>自動車の乗り降りのために，玄関前に設けた屋根つきの部分。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蹴上げ</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階段の１段の高さ。</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建築基準法</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建築物の敷地、構造、設備、用途に関する最低の基準を定めて、国民の生命、健康、財産の保護を図り、公共の福祉の増進に資することを目的とする法律。</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建築主事</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建築物、工作物および建築設備の計画の確認に関する事務をつかさどるために、</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建設大臣が行う試験に合格した者のうちから、都道府県、特定の市町村および</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特別区の長の任命を受けた者。</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こう</w:t>
                  </w:r>
                </w:rt>
                <w:rubyBase>
                  <w:r w:rsidR="00BC1765" w:rsidRPr="00BC1765">
                    <w:rPr>
                      <w:rFonts w:ascii="ＭＳ ゴシック" w:eastAsia="ＭＳ ゴシック" w:hAnsi="ＭＳ ゴシック"/>
                      <w:color w:val="000000"/>
                      <w:sz w:val="20"/>
                      <w:szCs w:val="20"/>
                    </w:rPr>
                    <w:t>巧</w:t>
                  </w:r>
                </w:rubyBase>
              </w:ruby>
            </w: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ち</w:t>
                  </w:r>
                </w:rt>
                <w:rubyBase>
                  <w:r w:rsidR="00BC1765" w:rsidRPr="00BC1765">
                    <w:rPr>
                      <w:rFonts w:ascii="ＭＳ ゴシック" w:eastAsia="ＭＳ ゴシック" w:hAnsi="ＭＳ ゴシック"/>
                      <w:color w:val="000000"/>
                      <w:sz w:val="20"/>
                      <w:szCs w:val="20"/>
                    </w:rPr>
                    <w:t>緻</w:t>
                  </w:r>
                </w:rubyBase>
              </w:ruby>
            </w: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うん</w:t>
                  </w:r>
                </w:rt>
                <w:rubyBase>
                  <w:r w:rsidR="00BC1765" w:rsidRPr="00BC1765">
                    <w:rPr>
                      <w:rFonts w:ascii="ＭＳ ゴシック" w:eastAsia="ＭＳ ゴシック" w:hAnsi="ＭＳ ゴシック"/>
                      <w:color w:val="000000"/>
                      <w:sz w:val="20"/>
                      <w:szCs w:val="20"/>
                    </w:rPr>
                    <w:t>運</w:t>
                  </w:r>
                </w:rubyBase>
              </w:ruby>
            </w: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どう</w:t>
                  </w:r>
                </w:rt>
                <w:rubyBase>
                  <w:r w:rsidR="00BC1765" w:rsidRPr="00BC1765">
                    <w:rPr>
                      <w:rFonts w:ascii="ＭＳ ゴシック" w:eastAsia="ＭＳ ゴシック" w:hAnsi="ＭＳ ゴシック"/>
                      <w:color w:val="000000"/>
                      <w:sz w:val="20"/>
                      <w:szCs w:val="20"/>
                    </w:rPr>
                    <w:t>動</w:t>
                  </w:r>
                </w:rubyBase>
              </w:ruby>
            </w: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しょう</w:t>
                  </w:r>
                </w:rt>
                <w:rubyBase>
                  <w:r w:rsidR="00BC1765" w:rsidRPr="00BC1765">
                    <w:rPr>
                      <w:rFonts w:ascii="ＭＳ ゴシック" w:eastAsia="ＭＳ ゴシック" w:hAnsi="ＭＳ ゴシック"/>
                      <w:color w:val="000000"/>
                      <w:sz w:val="20"/>
                      <w:szCs w:val="20"/>
                    </w:rPr>
                    <w:t>障</w:t>
                  </w:r>
                </w:rubyBase>
              </w:ruby>
            </w:r>
            <w:r w:rsidRPr="00BC1765">
              <w:rPr>
                <w:rFonts w:ascii="ＭＳ ゴシック" w:eastAsia="ＭＳ ゴシック" w:hAnsi="ＭＳ ゴシック" w:hint="eastAsia"/>
                <w:color w:val="000000"/>
                <w:sz w:val="20"/>
                <w:szCs w:val="20"/>
              </w:rPr>
              <w:t>がい</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脊椎や脊髄の損傷等により、箸が使いにくい、ボタンが上手くかけられない、字が</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乱れるといった症状がでる障がいのこと。</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color w:val="000000"/>
                <w:szCs w:val="21"/>
              </w:rPr>
            </w:pPr>
            <w:r w:rsidRPr="00BC1765">
              <w:rPr>
                <w:rFonts w:ascii="ＭＳ ゴシック" w:eastAsia="ＭＳ ゴシック" w:hAnsi="ＭＳ ゴシック" w:hint="eastAsia"/>
                <w:b/>
                <w:color w:val="000000"/>
                <w:szCs w:val="21"/>
              </w:rPr>
              <w:t>さ行</w:t>
            </w:r>
          </w:p>
        </w:tc>
        <w:tc>
          <w:tcPr>
            <w:tcW w:w="4653" w:type="pct"/>
            <w:gridSpan w:val="3"/>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災害対策基本法</w:t>
            </w:r>
          </w:p>
        </w:tc>
        <w:tc>
          <w:tcPr>
            <w:tcW w:w="4015" w:type="pct"/>
            <w:gridSpan w:val="2"/>
            <w:tcBorders>
              <w:top w:val="single" w:sz="18" w:space="0" w:color="244061"/>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国土ならびに国民の生命身体および財産を災害から保護するため、総合的、計画的な防災行政の整備および推進を図ることにより、社会の秩序の維持と公共の福祉の確保に資することを目的として制定された法律（昭和36年法律第223号）。</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彩度</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色彩の三属性の一。色の冴え、鮮やかさを表示する尺度。純色に近いほど高彩度で</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あるといい、無彩色に近いほど低彩度であるという。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サイトライン</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可視線。劇場等の客席・観覧席の各々の人が、前列の人の頭又は肩を越して視焦点</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（舞台や競技場）を見ることのできる視野の限界線のこと。</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lastRenderedPageBreak/>
              <w:t>色相</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色彩の三属性の一。色の主波長に関係し、赤、橙、黄、黄緑、緑、青緑、青、青紫、紫、赤紫などのように色知覚の性質を特徴付ける色の属性、およびそれを表現する尺度。</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視認</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目で確認すること。</w:t>
            </w:r>
          </w:p>
          <w:p w:rsidR="00BC1765" w:rsidRPr="00BC1765" w:rsidRDefault="00BC1765" w:rsidP="00BC1765">
            <w:pPr>
              <w:tabs>
                <w:tab w:val="left" w:pos="3139"/>
              </w:tabs>
              <w:rPr>
                <w:rFonts w:ascii="ＭＳ ゴシック" w:eastAsia="ＭＳ ゴシック" w:hAnsi="ＭＳ ゴシック"/>
                <w:sz w:val="20"/>
                <w:szCs w:val="20"/>
              </w:rPr>
            </w:pPr>
            <w:r w:rsidRPr="00BC1765">
              <w:rPr>
                <w:rFonts w:ascii="ＭＳ ゴシック" w:eastAsia="ＭＳ ゴシック" w:hAnsi="ＭＳ ゴシック"/>
                <w:sz w:val="20"/>
                <w:szCs w:val="20"/>
              </w:rPr>
              <w:tab/>
            </w:r>
          </w:p>
        </w:tc>
      </w:tr>
      <w:tr w:rsidR="00BC1765" w:rsidRPr="00BC1765" w:rsidTr="00C54816">
        <w:trPr>
          <w:trHeight w:val="68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照度</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FF0000"/>
                <w:sz w:val="20"/>
                <w:szCs w:val="20"/>
              </w:rPr>
            </w:pPr>
            <w:r w:rsidRPr="00BC1765">
              <w:rPr>
                <w:rFonts w:ascii="ＭＳ ゴシック" w:eastAsia="ＭＳ ゴシック" w:hAnsi="ＭＳ ゴシック" w:hint="eastAsia"/>
                <w:color w:val="000000"/>
                <w:sz w:val="20"/>
                <w:szCs w:val="20"/>
              </w:rPr>
              <w:t>面の光を受ける程度を示す測光量。受照面の単位面積当りの入射光束をいう。</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すなわち、ある光源によって照らされている面の明るさの度合い。単位はLx（ルクス）。</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障害者差別解消法</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国連の「障害者の権利に関する条約」の締結に向けた国内法制度の整備の一環として、全ての国民が、障害の有無によって分け隔てられることなく、相互に人格と個性を尊重し合いながら共生する社会の実現に向け、障害を理由とする差別の解消を推進することを目的として、平成25年6月に公布された法律。（平成28年4月施行）</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植樹枡</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主として街路樹（並木）を植栽するために、歩道、自転車道及び自転車歩行者道の</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一部に縁石等で区画して設けられる植栽地をいう。</w:t>
            </w:r>
          </w:p>
        </w:tc>
      </w:tr>
      <w:tr w:rsidR="00BC1765" w:rsidRPr="00BC1765" w:rsidTr="00C54816">
        <w:trPr>
          <w:trHeight w:val="215"/>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触知図案内板</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触知図とは「触って知る図」のことで、建築物に設けられている移動等円滑化（バリアフリー化）されたエレベーター等の昇降機、便所、駐車施設の配置を、視覚障がい者が触って概要を把握できるよう、施設平面図及び主な設備は浮き上がった線や点字で標示するもの。墨字など視覚情報も併せて標記することで、目の見える方への案内板と兼ねることができる。</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重点整備地区</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生活関連施設（旅客施設、官公庁施設、福祉施設等）が集積し、その間の移動が通常徒歩で行われる地区等、バリアフリー法第２条第１項第21号の要件に該当する地区。</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ストーマ装具</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ストーマから排泄される便や尿を受けとめるための装具のこと。</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スパイラルアップ</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具体的なバリアフリー施策などの内容について、高齢者、障がい者など当事者の参加の下で検証し、その結果に基づいて新たな施策や措置を講じることによって、段階的・継続的な発展を図っていくこと。</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袖壁</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建物から外部へ突き出して設けられる壁。</w:t>
            </w:r>
          </w:p>
        </w:tc>
      </w:tr>
      <w:tr w:rsidR="00BC1765" w:rsidRPr="00BC1765" w:rsidTr="00C54816">
        <w:tc>
          <w:tcPr>
            <w:tcW w:w="5000" w:type="pct"/>
            <w:gridSpan w:val="4"/>
            <w:shd w:val="clear" w:color="auto" w:fill="auto"/>
          </w:tcPr>
          <w:p w:rsidR="00BC1765" w:rsidRPr="00BC1765" w:rsidRDefault="00BC1765" w:rsidP="00BC1765">
            <w:pPr>
              <w:jc w:val="left"/>
              <w:rPr>
                <w:rFonts w:ascii="ＭＳ ゴシック" w:eastAsia="ＭＳ ゴシック" w:hAnsi="ＭＳ ゴシック"/>
                <w:color w:val="000000"/>
                <w:szCs w:val="21"/>
              </w:rPr>
            </w:pPr>
          </w:p>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b/>
                <w:color w:val="000000"/>
                <w:szCs w:val="21"/>
              </w:rPr>
            </w:pPr>
            <w:r w:rsidRPr="00BC1765">
              <w:rPr>
                <w:rFonts w:ascii="ＭＳ ゴシック" w:eastAsia="ＭＳ ゴシック" w:hAnsi="ＭＳ ゴシック" w:hint="eastAsia"/>
                <w:b/>
                <w:color w:val="000000"/>
                <w:szCs w:val="21"/>
              </w:rPr>
              <w:t>た行</w:t>
            </w:r>
          </w:p>
        </w:tc>
        <w:tc>
          <w:tcPr>
            <w:tcW w:w="732" w:type="pct"/>
            <w:gridSpan w:val="2"/>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c>
          <w:tcPr>
            <w:tcW w:w="3921" w:type="pct"/>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手すり子</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手すりを支持する束材。竪子。</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lastRenderedPageBreak/>
              <w:t>段鼻（だんばな）</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階段の段の先端。</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ドアクローザー</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開かれた扉を自動的に速度を調節して静かに戻し閉める装置。一般には扉の上方で</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框とに取り付ける。</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rPr>
          <w:trHeight w:val="51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特定建築物</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多数の者が利用する、バリアフリー法政令第４条で指定する建築物又はその部分。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特定行政庁</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建築基準法に基づき、違反建築物に対する是正命令、不適格建築物に対する是正命令、用途地域内の建築制限に関する許可等を行う権限を有する機関。建築主事を置く市町村の区域については当該市町村の長をいい、その他の市町村の区域については都道府県知事をい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特定道路</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移動等円滑化が特に必要なものとしてバリアフリー法政令第２条で定める道路法に</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よる道路をいう。</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特別特定建築物</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不特定かつ多数の者が利用し、又は主として高齢者、障害者等が利用するもののうち、バリアフリー法政令第５条で指定するもの。</w:t>
            </w:r>
          </w:p>
        </w:tc>
      </w:tr>
      <w:tr w:rsidR="00BC1765" w:rsidRPr="00BC1765" w:rsidTr="00C54816">
        <w:tc>
          <w:tcPr>
            <w:tcW w:w="5000" w:type="pct"/>
            <w:gridSpan w:val="4"/>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color w:val="000000"/>
                <w:szCs w:val="21"/>
              </w:rPr>
            </w:pPr>
            <w:r w:rsidRPr="00BC1765">
              <w:rPr>
                <w:rFonts w:ascii="ＭＳ ゴシック" w:eastAsia="ＭＳ ゴシック" w:hAnsi="ＭＳ ゴシック" w:hint="eastAsia"/>
                <w:b/>
                <w:color w:val="000000"/>
                <w:szCs w:val="21"/>
              </w:rPr>
              <w:t>は行</w:t>
            </w:r>
          </w:p>
        </w:tc>
        <w:tc>
          <w:tcPr>
            <w:tcW w:w="4653" w:type="pct"/>
            <w:gridSpan w:val="3"/>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rPr>
          <w:trHeight w:val="5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パウチ</w:t>
            </w:r>
          </w:p>
        </w:tc>
        <w:tc>
          <w:tcPr>
            <w:tcW w:w="401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ストーマ袋。ストーマに着けて便や尿を受けて収集する袋。多くは防臭性のある積層プラスチックフィルム製の使い捨ての製品。</w:t>
            </w:r>
          </w:p>
        </w:tc>
      </w:tr>
      <w:tr w:rsidR="00BC1765" w:rsidRPr="00BC1765" w:rsidTr="00C54816">
        <w:trPr>
          <w:trHeight w:val="5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rPr>
          <w:trHeight w:val="5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バリアフリー法</w:t>
            </w:r>
          </w:p>
        </w:tc>
        <w:tc>
          <w:tcPr>
            <w:tcW w:w="401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高齢者、障害者等の移動等の円滑化の促進に関する法律（平成18年施行）。従来の</w:t>
            </w:r>
            <w:r w:rsidRPr="00BC1765">
              <w:rPr>
                <w:rFonts w:ascii="ＭＳ ゴシック" w:eastAsia="ＭＳ ゴシック" w:hAnsi="ＭＳ ゴシック"/>
                <w:color w:val="000000"/>
                <w:sz w:val="20"/>
                <w:szCs w:val="20"/>
              </w:rPr>
              <w:br/>
            </w:r>
            <w:r w:rsidRPr="00BC1765">
              <w:rPr>
                <w:rFonts w:ascii="ＭＳ ゴシック" w:eastAsia="ＭＳ ゴシック" w:hAnsi="ＭＳ ゴシック" w:hint="eastAsia"/>
                <w:color w:val="000000"/>
                <w:sz w:val="20"/>
                <w:szCs w:val="20"/>
              </w:rPr>
              <w:t>「交通バリアフリー法」と「ハートビル法」の2つの法律を統合、拡充して制定された。公共交通機関や道路、建築物等の整備や、一定の地区におけるこれらの間の経路の一体的な整備を推進し、公共の福祉の増進に資することを目的とする。平成18年施行。</w:t>
            </w:r>
          </w:p>
        </w:tc>
      </w:tr>
      <w:tr w:rsidR="00BC1765" w:rsidRPr="00BC1765" w:rsidTr="00C54816">
        <w:trPr>
          <w:trHeight w:val="5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rPr>
          <w:trHeight w:val="50"/>
        </w:trPr>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バリアフリートイレ</w:t>
            </w:r>
          </w:p>
        </w:tc>
        <w:tc>
          <w:tcPr>
            <w:tcW w:w="401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高齢者、障がい者等が利用する個別機能を備えた便房等の適正利用を推進するための各種便房の総称。</w:t>
            </w:r>
          </w:p>
        </w:tc>
      </w:tr>
      <w:tr w:rsidR="00BC1765" w:rsidRPr="00BC1765" w:rsidTr="00C54816">
        <w:trPr>
          <w:gridBefore w:val="2"/>
          <w:wBefore w:w="985" w:type="pct"/>
        </w:trPr>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反射グレア</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FF0000"/>
                <w:sz w:val="20"/>
                <w:szCs w:val="20"/>
              </w:rPr>
            </w:pPr>
            <w:r w:rsidRPr="00BC1765">
              <w:rPr>
                <w:rFonts w:ascii="ＭＳ ゴシック" w:eastAsia="ＭＳ ゴシック" w:hAnsi="ＭＳ ゴシック" w:hint="eastAsia"/>
                <w:color w:val="000000"/>
                <w:sz w:val="20"/>
                <w:szCs w:val="20"/>
              </w:rPr>
              <w:t>視対象表面に光源が映って見やすさが損なわれる現象。黒板、アート紙の表面、油絵、ガラス入り画面など光沢ある対象に生ずる。すなわち、光源からの強い光が机や紙に反射したものを受けることによって生じるまぶしさ。</w:t>
            </w:r>
          </w:p>
        </w:tc>
      </w:tr>
      <w:tr w:rsidR="00BC1765" w:rsidRPr="00BC1765" w:rsidTr="00C54816">
        <w:trPr>
          <w:gridBefore w:val="2"/>
          <w:wBefore w:w="985" w:type="pct"/>
        </w:trPr>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ピクトグラム</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案内用図記号。一般の施設、すなわち空港、駅など交通機関から、観光、文化、スポーツなどの施設で主に案内として用いられる視覚情報提供手段の１つ。</w:t>
            </w: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風除室</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外気の進入を緩和するため、建物の玄関と室内の入口の間に設ける空間。</w:t>
            </w:r>
          </w:p>
        </w:tc>
      </w:tr>
      <w:tr w:rsidR="00BC1765" w:rsidRPr="00BC1765" w:rsidTr="00C54816">
        <w:trPr>
          <w:gridBefore w:val="2"/>
          <w:wBefore w:w="985" w:type="pct"/>
        </w:trPr>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ふ</w:t>
                  </w:r>
                </w:rt>
                <w:rubyBase>
                  <w:r w:rsidR="00BC1765" w:rsidRPr="00BC1765">
                    <w:rPr>
                      <w:rFonts w:ascii="ＭＳ ゴシック" w:eastAsia="ＭＳ ゴシック" w:hAnsi="ＭＳ ゴシック"/>
                      <w:color w:val="000000"/>
                      <w:sz w:val="20"/>
                      <w:szCs w:val="20"/>
                    </w:rPr>
                    <w:t>踏</w:t>
                  </w:r>
                </w:rubyBase>
              </w:ruby>
            </w:r>
            <w:r w:rsidRPr="00BC1765">
              <w:rPr>
                <w:rFonts w:ascii="ＭＳ ゴシック" w:eastAsia="ＭＳ ゴシック" w:hAnsi="ＭＳ ゴシック"/>
                <w:color w:val="000000"/>
                <w:sz w:val="20"/>
                <w:szCs w:val="20"/>
              </w:rPr>
              <w:t>み</w:t>
            </w:r>
            <w:r w:rsidRPr="00BC1765">
              <w:rPr>
                <w:rFonts w:ascii="ＭＳ ゴシック" w:eastAsia="ＭＳ ゴシック" w:hAnsi="ＭＳ ゴシック"/>
                <w:color w:val="000000"/>
                <w:sz w:val="20"/>
                <w:szCs w:val="20"/>
              </w:rPr>
              <w:ruby>
                <w:rubyPr>
                  <w:rubyAlign w:val="distributeSpace"/>
                  <w:hps w:val="10"/>
                  <w:hpsRaise w:val="18"/>
                  <w:hpsBaseText w:val="20"/>
                  <w:lid w:val="ja-JP"/>
                </w:rubyPr>
                <w:rt>
                  <w:r w:rsidR="00BC1765" w:rsidRPr="00BC1765">
                    <w:rPr>
                      <w:rFonts w:ascii="ＭＳ ゴシック" w:eastAsia="ＭＳ ゴシック" w:hAnsi="ＭＳ ゴシック"/>
                      <w:color w:val="000000"/>
                      <w:sz w:val="20"/>
                      <w:szCs w:val="20"/>
                    </w:rPr>
                    <w:t>づら</w:t>
                  </w:r>
                </w:rt>
                <w:rubyBase>
                  <w:r w:rsidR="00BC1765" w:rsidRPr="00BC1765">
                    <w:rPr>
                      <w:rFonts w:ascii="ＭＳ ゴシック" w:eastAsia="ＭＳ ゴシック" w:hAnsi="ＭＳ ゴシック"/>
                      <w:color w:val="000000"/>
                      <w:sz w:val="20"/>
                      <w:szCs w:val="20"/>
                    </w:rPr>
                    <w:t>面</w:t>
                  </w:r>
                </w:rubyBase>
              </w:ruby>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階段において足を載せる段の上面。</w:t>
            </w:r>
          </w:p>
        </w:tc>
      </w:tr>
      <w:tr w:rsidR="00BC1765" w:rsidRPr="00BC1765" w:rsidTr="00C54816">
        <w:trPr>
          <w:gridBefore w:val="2"/>
          <w:wBefore w:w="985" w:type="pct"/>
        </w:trPr>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ベビーチェア</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親等が便所を利用する際に、一時的に乳幼児を座らせる設備。</w:t>
            </w: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ベビーベッド</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乳幼児などのための寝台。</w:t>
            </w: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便房</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便所内における個室。便器を囲った空間。</w:t>
            </w:r>
          </w:p>
        </w:tc>
      </w:tr>
      <w:tr w:rsidR="00BC1765" w:rsidRPr="00BC1765" w:rsidTr="00C54816">
        <w:trPr>
          <w:gridBefore w:val="2"/>
          <w:wBefore w:w="985" w:type="pct"/>
        </w:trPr>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防火区画</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火災時に延焼の拡大を防ぎ、火災を局部的なものに抑えると共に、避難を容易にするため一定面積以内ごと、竪穴区画または用途に応じてする防火的な区画。</w:t>
            </w: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985" w:type="pct"/>
            <w:gridSpan w:val="2"/>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ホワイエ</w:t>
            </w:r>
          </w:p>
        </w:tc>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r w:rsidRPr="00BC1765">
              <w:rPr>
                <w:rFonts w:ascii="ＭＳ ゴシック" w:eastAsia="ＭＳ ゴシック" w:hAnsi="ＭＳ ゴシック" w:hint="eastAsia"/>
                <w:color w:val="000000"/>
                <w:sz w:val="20"/>
                <w:szCs w:val="20"/>
              </w:rPr>
              <w:t>入口から集会室・会議室・ホールなどの間にある広い通路空間で休憩や歓談に使われる部分。</w:t>
            </w:r>
          </w:p>
        </w:tc>
      </w:tr>
      <w:tr w:rsidR="00BC1765" w:rsidRPr="00BC1765" w:rsidTr="00C54816">
        <w:trPr>
          <w:gridBefore w:val="2"/>
          <w:wBefore w:w="985" w:type="pct"/>
        </w:trPr>
        <w:tc>
          <w:tcPr>
            <w:tcW w:w="4015" w:type="pct"/>
            <w:gridSpan w:val="2"/>
            <w:tcBorders>
              <w:left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0"/>
              </w:rPr>
            </w:pPr>
          </w:p>
        </w:tc>
      </w:tr>
      <w:tr w:rsidR="00BC1765" w:rsidRPr="00BC1765" w:rsidTr="00C54816">
        <w:tc>
          <w:tcPr>
            <w:tcW w:w="347" w:type="pct"/>
            <w:tcBorders>
              <w:left w:val="single" w:sz="18" w:space="0" w:color="244061"/>
              <w:bottom w:val="single" w:sz="18" w:space="0" w:color="244061"/>
            </w:tcBorders>
            <w:shd w:val="clear" w:color="auto" w:fill="B8CCE4"/>
          </w:tcPr>
          <w:p w:rsidR="00BC1765" w:rsidRPr="00BC1765" w:rsidRDefault="00BC1765" w:rsidP="00BC1765">
            <w:pPr>
              <w:jc w:val="left"/>
              <w:rPr>
                <w:rFonts w:ascii="ＭＳ ゴシック" w:eastAsia="ＭＳ ゴシック" w:hAnsi="ＭＳ ゴシック"/>
                <w:b/>
                <w:color w:val="000000"/>
                <w:szCs w:val="21"/>
              </w:rPr>
            </w:pPr>
            <w:r w:rsidRPr="00BC1765">
              <w:rPr>
                <w:rFonts w:ascii="ＭＳ ゴシック" w:eastAsia="ＭＳ ゴシック" w:hAnsi="ＭＳ ゴシック" w:hint="eastAsia"/>
                <w:b/>
                <w:color w:val="000000"/>
                <w:szCs w:val="21"/>
              </w:rPr>
              <w:t>ま行</w:t>
            </w:r>
          </w:p>
        </w:tc>
        <w:tc>
          <w:tcPr>
            <w:tcW w:w="638" w:type="pct"/>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c>
          <w:tcPr>
            <w:tcW w:w="4015" w:type="pct"/>
            <w:gridSpan w:val="2"/>
            <w:tcBorders>
              <w:left w:val="nil"/>
              <w:bottom w:val="single" w:sz="18" w:space="0" w:color="244061"/>
            </w:tcBorders>
            <w:shd w:val="clear" w:color="auto" w:fill="auto"/>
          </w:tcPr>
          <w:p w:rsidR="00BC1765" w:rsidRPr="00BC1765" w:rsidRDefault="00BC1765" w:rsidP="00BC1765">
            <w:pPr>
              <w:jc w:val="left"/>
              <w:rPr>
                <w:rFonts w:ascii="ＭＳ ゴシック" w:eastAsia="ＭＳ ゴシック" w:hAnsi="ＭＳ ゴシック"/>
                <w:color w:val="000000"/>
                <w:szCs w:val="21"/>
              </w:rPr>
            </w:pPr>
          </w:p>
        </w:tc>
      </w:tr>
      <w:tr w:rsidR="00BC1765" w:rsidRPr="00BC1765" w:rsidTr="00C54816">
        <w:tc>
          <w:tcPr>
            <w:tcW w:w="985" w:type="pct"/>
            <w:gridSpan w:val="2"/>
            <w:tcBorders>
              <w:top w:val="single" w:sz="8" w:space="0" w:color="auto"/>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明度</w:t>
            </w:r>
          </w:p>
        </w:tc>
        <w:tc>
          <w:tcPr>
            <w:tcW w:w="4015" w:type="pct"/>
            <w:gridSpan w:val="2"/>
            <w:tcBorders>
              <w:top w:val="single" w:sz="18" w:space="0" w:color="244061"/>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色彩の三属性の一。物体の表面色の相対的な明暗に関する色の属性。視感反射率と</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対応する。明るさは明暗に関する視覚的な属性をいい、明度は同一条件で照明した</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白色面を基準としている。すなわち、色の持つ明るさの度合い。たとえば白や黄色は光の反射する率が高いため明度が高く、逆に黒や青は光の反射する率が少ないため</w:t>
            </w:r>
            <w:r w:rsidRPr="00BC1765">
              <w:rPr>
                <w:rFonts w:ascii="ＭＳ ゴシック" w:eastAsia="ＭＳ ゴシック" w:hAnsi="ＭＳ ゴシック"/>
                <w:color w:val="000000"/>
                <w:sz w:val="20"/>
                <w:szCs w:val="21"/>
              </w:rPr>
              <w:br/>
            </w:r>
            <w:r w:rsidRPr="00BC1765">
              <w:rPr>
                <w:rFonts w:ascii="ＭＳ ゴシック" w:eastAsia="ＭＳ ゴシック" w:hAnsi="ＭＳ ゴシック" w:hint="eastAsia"/>
                <w:color w:val="000000"/>
                <w:sz w:val="20"/>
                <w:szCs w:val="21"/>
              </w:rPr>
              <w:t>明度が低い。</w:t>
            </w:r>
          </w:p>
        </w:tc>
      </w:tr>
      <w:tr w:rsidR="00BC1765" w:rsidRPr="00BC1765" w:rsidTr="00C54816">
        <w:tc>
          <w:tcPr>
            <w:tcW w:w="985" w:type="pct"/>
            <w:gridSpan w:val="2"/>
            <w:tcBorders>
              <w:bottom w:val="nil"/>
            </w:tcBorders>
            <w:shd w:val="clear" w:color="auto" w:fill="auto"/>
          </w:tcPr>
          <w:p w:rsidR="00BC1765" w:rsidRPr="00BC1765" w:rsidRDefault="00BC1765" w:rsidP="00BC1765">
            <w:pPr>
              <w:jc w:val="center"/>
              <w:rPr>
                <w:rFonts w:ascii="ＭＳ ゴシック" w:eastAsia="ＭＳ ゴシック" w:hAnsi="ＭＳ ゴシック"/>
                <w:color w:val="000000"/>
                <w:sz w:val="20"/>
                <w:szCs w:val="21"/>
              </w:rPr>
            </w:pP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p>
        </w:tc>
      </w:tr>
      <w:tr w:rsidR="00BC1765" w:rsidRPr="00BC1765" w:rsidTr="00C54816">
        <w:tc>
          <w:tcPr>
            <w:tcW w:w="985" w:type="pct"/>
            <w:gridSpan w:val="2"/>
            <w:tcBorders>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盲導鈴</w:t>
            </w:r>
          </w:p>
        </w:tc>
        <w:tc>
          <w:tcPr>
            <w:tcW w:w="4015" w:type="pct"/>
            <w:gridSpan w:val="2"/>
            <w:tcBorders>
              <w:left w:val="nil"/>
              <w:bottom w:val="nil"/>
            </w:tcBorders>
            <w:shd w:val="clear" w:color="auto" w:fill="auto"/>
          </w:tcPr>
          <w:p w:rsidR="00BC1765" w:rsidRPr="00BC1765" w:rsidRDefault="00BC1765" w:rsidP="00BC1765">
            <w:pPr>
              <w:jc w:val="left"/>
              <w:rPr>
                <w:rFonts w:ascii="ＭＳ ゴシック" w:eastAsia="ＭＳ ゴシック" w:hAnsi="ＭＳ ゴシック"/>
                <w:color w:val="000000"/>
                <w:sz w:val="20"/>
                <w:szCs w:val="21"/>
              </w:rPr>
            </w:pPr>
            <w:r w:rsidRPr="00BC1765">
              <w:rPr>
                <w:rFonts w:ascii="ＭＳ ゴシック" w:eastAsia="ＭＳ ゴシック" w:hAnsi="ＭＳ ゴシック" w:hint="eastAsia"/>
                <w:color w:val="000000"/>
                <w:sz w:val="20"/>
                <w:szCs w:val="21"/>
              </w:rPr>
              <w:t>視覚障がい者の誘導・案内用のチャイムや信号音。門や建物出入口等に、その位置を知らせるために取り付けられる。</w:t>
            </w:r>
          </w:p>
        </w:tc>
      </w:tr>
    </w:tbl>
    <w:p w:rsidR="00BC1765" w:rsidRPr="00BC1765" w:rsidRDefault="00BC1765" w:rsidP="00BC1765">
      <w:pPr>
        <w:jc w:val="left"/>
        <w:rPr>
          <w:rFonts w:ascii="ＭＳ ゴシック" w:eastAsia="ＭＳ ゴシック" w:hAnsi="ＭＳ ゴシック"/>
          <w:b/>
          <w:color w:val="000000"/>
          <w:sz w:val="24"/>
        </w:rPr>
      </w:pPr>
    </w:p>
    <w:p w:rsidR="00C53652" w:rsidRPr="00BC1765" w:rsidRDefault="00C53652" w:rsidP="00993A81">
      <w:pPr>
        <w:widowControl/>
        <w:jc w:val="left"/>
        <w:rPr>
          <w:rFonts w:ascii="ＭＳ ゴシック" w:eastAsia="ＭＳ ゴシック" w:hAnsi="ＭＳ ゴシック"/>
        </w:rPr>
      </w:pPr>
      <w:bookmarkStart w:id="0" w:name="_GoBack"/>
      <w:bookmarkEnd w:id="0"/>
    </w:p>
    <w:sectPr w:rsidR="00C53652" w:rsidRPr="00BC1765" w:rsidSect="007E0845">
      <w:headerReference w:type="default" r:id="rId11"/>
      <w:footerReference w:type="default" r:id="rId12"/>
      <w:pgSz w:w="11906" w:h="16838" w:code="9"/>
      <w:pgMar w:top="1134" w:right="1134" w:bottom="851" w:left="1134" w:header="851" w:footer="454" w:gutter="0"/>
      <w:pgNumType w:start="17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E2" w:rsidRDefault="00F36EE2" w:rsidP="00530B8F">
      <w:r>
        <w:separator/>
      </w:r>
    </w:p>
  </w:endnote>
  <w:endnote w:type="continuationSeparator" w:id="0">
    <w:p w:rsidR="00F36EE2" w:rsidRDefault="00F36EE2" w:rsidP="005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6B" w:rsidRPr="00BC1765" w:rsidRDefault="008E196B" w:rsidP="00926B2B">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E2" w:rsidRDefault="00F36EE2" w:rsidP="00530B8F">
      <w:r>
        <w:separator/>
      </w:r>
    </w:p>
  </w:footnote>
  <w:footnote w:type="continuationSeparator" w:id="0">
    <w:p w:rsidR="00F36EE2" w:rsidRDefault="00F36EE2" w:rsidP="0053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7" w:rsidRPr="00BC1765" w:rsidRDefault="00C1351B" w:rsidP="000207E7">
    <w:pPr>
      <w:pStyle w:val="a3"/>
      <w:jc w:val="right"/>
      <w:rPr>
        <w:rFonts w:ascii="ＭＳ ゴシック" w:eastAsia="ＭＳ ゴシック" w:hAnsi="ＭＳ ゴシック"/>
        <w:sz w:val="16"/>
      </w:rPr>
    </w:pPr>
    <w:r w:rsidRPr="00BC1765">
      <w:rPr>
        <w:rFonts w:ascii="ＭＳ ゴシック" w:eastAsia="ＭＳ ゴシック" w:hAnsi="ＭＳ ゴシック" w:hint="eastAsia"/>
        <w:sz w:val="16"/>
      </w:rPr>
      <w:t>大阪府福祉のまちづくり条例ガイドライン</w:t>
    </w:r>
  </w:p>
  <w:p w:rsidR="00C1351B" w:rsidRPr="00BC1765" w:rsidRDefault="000F429D" w:rsidP="000207E7">
    <w:pPr>
      <w:pStyle w:val="a3"/>
      <w:jc w:val="right"/>
      <w:rPr>
        <w:rFonts w:ascii="ＭＳ ゴシック" w:eastAsia="ＭＳ ゴシック" w:hAnsi="ＭＳ ゴシック"/>
        <w:sz w:val="16"/>
      </w:rPr>
    </w:pPr>
    <w:r>
      <w:rPr>
        <w:rFonts w:ascii="ＭＳ ゴシック" w:eastAsia="ＭＳ ゴシック" w:hint="eastAsia"/>
        <w:kern w:val="0"/>
        <w:sz w:val="16"/>
      </w:rPr>
      <w:t>令和</w:t>
    </w:r>
    <w:r w:rsidR="00BC1765">
      <w:rPr>
        <w:rFonts w:ascii="ＭＳ ゴシック" w:eastAsia="ＭＳ ゴシック" w:hint="eastAsia"/>
        <w:kern w:val="0"/>
        <w:sz w:val="16"/>
      </w:rPr>
      <w:t>5</w:t>
    </w:r>
    <w:r w:rsidR="00993A81" w:rsidRPr="00356E5C">
      <w:rPr>
        <w:rFonts w:ascii="ＭＳ ゴシック" w:eastAsia="ＭＳ ゴシック" w:hint="eastAsia"/>
        <w:kern w:val="0"/>
        <w:sz w:val="16"/>
      </w:rPr>
      <w:t>年</w:t>
    </w:r>
    <w:r w:rsidR="00BC1765">
      <w:rPr>
        <w:rFonts w:ascii="ＭＳ ゴシック" w:eastAsia="ＭＳ ゴシック" w:hint="eastAsia"/>
        <w:kern w:val="0"/>
        <w:sz w:val="16"/>
      </w:rPr>
      <w:t>5</w:t>
    </w:r>
    <w:r w:rsidR="00993A81" w:rsidRPr="00356E5C">
      <w:rPr>
        <w:rFonts w:ascii="ＭＳ ゴシック" w:eastAsia="ＭＳ ゴシック" w:hint="eastAsia"/>
        <w:kern w:val="0"/>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D5"/>
    <w:rsid w:val="00005C9B"/>
    <w:rsid w:val="0001146A"/>
    <w:rsid w:val="00011CC9"/>
    <w:rsid w:val="00012096"/>
    <w:rsid w:val="00015793"/>
    <w:rsid w:val="00017255"/>
    <w:rsid w:val="000207E7"/>
    <w:rsid w:val="00020980"/>
    <w:rsid w:val="0002650C"/>
    <w:rsid w:val="00032F43"/>
    <w:rsid w:val="00042424"/>
    <w:rsid w:val="00060C73"/>
    <w:rsid w:val="00061B98"/>
    <w:rsid w:val="00065B8A"/>
    <w:rsid w:val="00084249"/>
    <w:rsid w:val="00086526"/>
    <w:rsid w:val="00086D3A"/>
    <w:rsid w:val="000A72A1"/>
    <w:rsid w:val="000A79F8"/>
    <w:rsid w:val="000B101A"/>
    <w:rsid w:val="000B2456"/>
    <w:rsid w:val="000C6504"/>
    <w:rsid w:val="000D451E"/>
    <w:rsid w:val="000F326C"/>
    <w:rsid w:val="000F429D"/>
    <w:rsid w:val="000F4657"/>
    <w:rsid w:val="001030E7"/>
    <w:rsid w:val="00110F4A"/>
    <w:rsid w:val="00114732"/>
    <w:rsid w:val="00114934"/>
    <w:rsid w:val="00122834"/>
    <w:rsid w:val="00124E6B"/>
    <w:rsid w:val="00143BCE"/>
    <w:rsid w:val="00143D9E"/>
    <w:rsid w:val="001666AF"/>
    <w:rsid w:val="00171B4E"/>
    <w:rsid w:val="00173BEB"/>
    <w:rsid w:val="00195A7C"/>
    <w:rsid w:val="0019799B"/>
    <w:rsid w:val="001A4ABB"/>
    <w:rsid w:val="001B6FCB"/>
    <w:rsid w:val="001C1FBB"/>
    <w:rsid w:val="001C302D"/>
    <w:rsid w:val="001C485C"/>
    <w:rsid w:val="001C5139"/>
    <w:rsid w:val="001D605C"/>
    <w:rsid w:val="001E1B2D"/>
    <w:rsid w:val="001F168A"/>
    <w:rsid w:val="001F2B75"/>
    <w:rsid w:val="00213E18"/>
    <w:rsid w:val="002140F9"/>
    <w:rsid w:val="00217CAE"/>
    <w:rsid w:val="00222D67"/>
    <w:rsid w:val="00225430"/>
    <w:rsid w:val="00231593"/>
    <w:rsid w:val="00243080"/>
    <w:rsid w:val="00253EE8"/>
    <w:rsid w:val="002662AA"/>
    <w:rsid w:val="00273031"/>
    <w:rsid w:val="00276C3C"/>
    <w:rsid w:val="00292E40"/>
    <w:rsid w:val="00297D93"/>
    <w:rsid w:val="002C10B6"/>
    <w:rsid w:val="002F0D5F"/>
    <w:rsid w:val="00307E7B"/>
    <w:rsid w:val="00321F89"/>
    <w:rsid w:val="00333CB7"/>
    <w:rsid w:val="0033464C"/>
    <w:rsid w:val="00346427"/>
    <w:rsid w:val="003511D6"/>
    <w:rsid w:val="00352C45"/>
    <w:rsid w:val="00356E5C"/>
    <w:rsid w:val="00364B3A"/>
    <w:rsid w:val="0037409C"/>
    <w:rsid w:val="00381439"/>
    <w:rsid w:val="00381DE3"/>
    <w:rsid w:val="003843EE"/>
    <w:rsid w:val="00387778"/>
    <w:rsid w:val="0039576B"/>
    <w:rsid w:val="003A32B6"/>
    <w:rsid w:val="003A5F83"/>
    <w:rsid w:val="003A6B3F"/>
    <w:rsid w:val="003A74D3"/>
    <w:rsid w:val="003A7510"/>
    <w:rsid w:val="003B10F9"/>
    <w:rsid w:val="003B78FC"/>
    <w:rsid w:val="003C7DE4"/>
    <w:rsid w:val="003E1C85"/>
    <w:rsid w:val="003E77A6"/>
    <w:rsid w:val="003F1D2C"/>
    <w:rsid w:val="003F46D0"/>
    <w:rsid w:val="003F5B69"/>
    <w:rsid w:val="00400B11"/>
    <w:rsid w:val="004020B8"/>
    <w:rsid w:val="00415F48"/>
    <w:rsid w:val="00420EB3"/>
    <w:rsid w:val="004212E6"/>
    <w:rsid w:val="00426B4A"/>
    <w:rsid w:val="00426E0B"/>
    <w:rsid w:val="004271DF"/>
    <w:rsid w:val="004277D5"/>
    <w:rsid w:val="004311EB"/>
    <w:rsid w:val="004346CF"/>
    <w:rsid w:val="004475F5"/>
    <w:rsid w:val="004626BA"/>
    <w:rsid w:val="0046694A"/>
    <w:rsid w:val="00471259"/>
    <w:rsid w:val="00473CDA"/>
    <w:rsid w:val="00480449"/>
    <w:rsid w:val="00481C01"/>
    <w:rsid w:val="004858C2"/>
    <w:rsid w:val="00495730"/>
    <w:rsid w:val="004B7CFA"/>
    <w:rsid w:val="004D3D89"/>
    <w:rsid w:val="004D6D53"/>
    <w:rsid w:val="004E1020"/>
    <w:rsid w:val="004E42B2"/>
    <w:rsid w:val="004F68D6"/>
    <w:rsid w:val="004F7496"/>
    <w:rsid w:val="00506506"/>
    <w:rsid w:val="00507BE7"/>
    <w:rsid w:val="00514B50"/>
    <w:rsid w:val="0052096E"/>
    <w:rsid w:val="00520AA8"/>
    <w:rsid w:val="0052172A"/>
    <w:rsid w:val="00525683"/>
    <w:rsid w:val="00526301"/>
    <w:rsid w:val="00530B8F"/>
    <w:rsid w:val="00530C21"/>
    <w:rsid w:val="00532B00"/>
    <w:rsid w:val="00532F0E"/>
    <w:rsid w:val="00534055"/>
    <w:rsid w:val="00542552"/>
    <w:rsid w:val="0054653C"/>
    <w:rsid w:val="0055051D"/>
    <w:rsid w:val="00553F9B"/>
    <w:rsid w:val="005619F8"/>
    <w:rsid w:val="005621EB"/>
    <w:rsid w:val="0056296D"/>
    <w:rsid w:val="00575763"/>
    <w:rsid w:val="0057677B"/>
    <w:rsid w:val="005816E7"/>
    <w:rsid w:val="00590779"/>
    <w:rsid w:val="00592D58"/>
    <w:rsid w:val="00593C69"/>
    <w:rsid w:val="005943AB"/>
    <w:rsid w:val="005A7838"/>
    <w:rsid w:val="005C6543"/>
    <w:rsid w:val="005D4043"/>
    <w:rsid w:val="005E2EDB"/>
    <w:rsid w:val="005E35A3"/>
    <w:rsid w:val="005F0EFF"/>
    <w:rsid w:val="0060003F"/>
    <w:rsid w:val="00611F8D"/>
    <w:rsid w:val="006269B8"/>
    <w:rsid w:val="0064313B"/>
    <w:rsid w:val="00644114"/>
    <w:rsid w:val="00657408"/>
    <w:rsid w:val="006804D1"/>
    <w:rsid w:val="00691479"/>
    <w:rsid w:val="00692C1D"/>
    <w:rsid w:val="006A450F"/>
    <w:rsid w:val="006A7803"/>
    <w:rsid w:val="006B5C38"/>
    <w:rsid w:val="006B715F"/>
    <w:rsid w:val="006D1C39"/>
    <w:rsid w:val="006D5482"/>
    <w:rsid w:val="006D60AF"/>
    <w:rsid w:val="006E6D94"/>
    <w:rsid w:val="00701376"/>
    <w:rsid w:val="007033C0"/>
    <w:rsid w:val="007160C6"/>
    <w:rsid w:val="00716BA2"/>
    <w:rsid w:val="007208F6"/>
    <w:rsid w:val="00720DE7"/>
    <w:rsid w:val="00723794"/>
    <w:rsid w:val="0072638F"/>
    <w:rsid w:val="00730D28"/>
    <w:rsid w:val="0074492B"/>
    <w:rsid w:val="00754881"/>
    <w:rsid w:val="00775664"/>
    <w:rsid w:val="00786B9D"/>
    <w:rsid w:val="00787763"/>
    <w:rsid w:val="007879F7"/>
    <w:rsid w:val="007918CC"/>
    <w:rsid w:val="007951E3"/>
    <w:rsid w:val="007959E1"/>
    <w:rsid w:val="007A1A8C"/>
    <w:rsid w:val="007B4C49"/>
    <w:rsid w:val="007C042F"/>
    <w:rsid w:val="007C72A3"/>
    <w:rsid w:val="007C7E8B"/>
    <w:rsid w:val="007E0845"/>
    <w:rsid w:val="007E4D6A"/>
    <w:rsid w:val="007E768E"/>
    <w:rsid w:val="007F22AD"/>
    <w:rsid w:val="007F7189"/>
    <w:rsid w:val="008029D9"/>
    <w:rsid w:val="00803E4D"/>
    <w:rsid w:val="008249E5"/>
    <w:rsid w:val="00870796"/>
    <w:rsid w:val="00871A97"/>
    <w:rsid w:val="0088074E"/>
    <w:rsid w:val="00881092"/>
    <w:rsid w:val="008821E1"/>
    <w:rsid w:val="00892614"/>
    <w:rsid w:val="00892E7D"/>
    <w:rsid w:val="008A2178"/>
    <w:rsid w:val="008B0CCC"/>
    <w:rsid w:val="008C2CA7"/>
    <w:rsid w:val="008D5223"/>
    <w:rsid w:val="008E196B"/>
    <w:rsid w:val="008E37FB"/>
    <w:rsid w:val="008F7473"/>
    <w:rsid w:val="00913419"/>
    <w:rsid w:val="00926B2B"/>
    <w:rsid w:val="00933970"/>
    <w:rsid w:val="009401AA"/>
    <w:rsid w:val="009429B1"/>
    <w:rsid w:val="00943F89"/>
    <w:rsid w:val="00960EE8"/>
    <w:rsid w:val="00961197"/>
    <w:rsid w:val="00964507"/>
    <w:rsid w:val="0097491A"/>
    <w:rsid w:val="00977739"/>
    <w:rsid w:val="009823F6"/>
    <w:rsid w:val="0099033A"/>
    <w:rsid w:val="00993A81"/>
    <w:rsid w:val="00994C83"/>
    <w:rsid w:val="009A594F"/>
    <w:rsid w:val="009D20B4"/>
    <w:rsid w:val="009D20DE"/>
    <w:rsid w:val="009D4B6F"/>
    <w:rsid w:val="009F72F0"/>
    <w:rsid w:val="009F733B"/>
    <w:rsid w:val="00A041BF"/>
    <w:rsid w:val="00A0631C"/>
    <w:rsid w:val="00A0760D"/>
    <w:rsid w:val="00A210AF"/>
    <w:rsid w:val="00A23E8C"/>
    <w:rsid w:val="00A2639B"/>
    <w:rsid w:val="00A404AF"/>
    <w:rsid w:val="00A47E90"/>
    <w:rsid w:val="00A50D7D"/>
    <w:rsid w:val="00A56936"/>
    <w:rsid w:val="00A623F7"/>
    <w:rsid w:val="00A675CB"/>
    <w:rsid w:val="00A7293C"/>
    <w:rsid w:val="00A85EA2"/>
    <w:rsid w:val="00A92418"/>
    <w:rsid w:val="00A92E22"/>
    <w:rsid w:val="00A95A63"/>
    <w:rsid w:val="00AA177F"/>
    <w:rsid w:val="00AA7B24"/>
    <w:rsid w:val="00AB5165"/>
    <w:rsid w:val="00AC3906"/>
    <w:rsid w:val="00AC6478"/>
    <w:rsid w:val="00AC6A28"/>
    <w:rsid w:val="00AD768D"/>
    <w:rsid w:val="00AE5A99"/>
    <w:rsid w:val="00AF6F1C"/>
    <w:rsid w:val="00AF7B02"/>
    <w:rsid w:val="00B0509B"/>
    <w:rsid w:val="00B10348"/>
    <w:rsid w:val="00B156DB"/>
    <w:rsid w:val="00B15C89"/>
    <w:rsid w:val="00B2089F"/>
    <w:rsid w:val="00B402A7"/>
    <w:rsid w:val="00B65E3B"/>
    <w:rsid w:val="00B66F8E"/>
    <w:rsid w:val="00B81572"/>
    <w:rsid w:val="00B93751"/>
    <w:rsid w:val="00BB5E55"/>
    <w:rsid w:val="00BC1765"/>
    <w:rsid w:val="00BC41E4"/>
    <w:rsid w:val="00BC63F8"/>
    <w:rsid w:val="00BD02A1"/>
    <w:rsid w:val="00BD180A"/>
    <w:rsid w:val="00BE0768"/>
    <w:rsid w:val="00BE0A48"/>
    <w:rsid w:val="00BE6DE3"/>
    <w:rsid w:val="00BF5036"/>
    <w:rsid w:val="00BF6B8E"/>
    <w:rsid w:val="00C062CF"/>
    <w:rsid w:val="00C1351B"/>
    <w:rsid w:val="00C13FF3"/>
    <w:rsid w:val="00C2656B"/>
    <w:rsid w:val="00C33990"/>
    <w:rsid w:val="00C374BB"/>
    <w:rsid w:val="00C4101E"/>
    <w:rsid w:val="00C46D50"/>
    <w:rsid w:val="00C5213E"/>
    <w:rsid w:val="00C53652"/>
    <w:rsid w:val="00C60F97"/>
    <w:rsid w:val="00C61721"/>
    <w:rsid w:val="00C62A3F"/>
    <w:rsid w:val="00C65559"/>
    <w:rsid w:val="00C85492"/>
    <w:rsid w:val="00C95546"/>
    <w:rsid w:val="00CA6ACB"/>
    <w:rsid w:val="00CD7ED5"/>
    <w:rsid w:val="00CE1165"/>
    <w:rsid w:val="00CE50A0"/>
    <w:rsid w:val="00CF5734"/>
    <w:rsid w:val="00CF63E5"/>
    <w:rsid w:val="00D21549"/>
    <w:rsid w:val="00D216D7"/>
    <w:rsid w:val="00D2405D"/>
    <w:rsid w:val="00D24B72"/>
    <w:rsid w:val="00D258A3"/>
    <w:rsid w:val="00D26A7A"/>
    <w:rsid w:val="00D342AA"/>
    <w:rsid w:val="00D45F8D"/>
    <w:rsid w:val="00D51B6B"/>
    <w:rsid w:val="00D5691D"/>
    <w:rsid w:val="00D718D8"/>
    <w:rsid w:val="00D72867"/>
    <w:rsid w:val="00D72AEB"/>
    <w:rsid w:val="00D9035C"/>
    <w:rsid w:val="00D935E7"/>
    <w:rsid w:val="00DA2DB8"/>
    <w:rsid w:val="00DA3581"/>
    <w:rsid w:val="00DA37E9"/>
    <w:rsid w:val="00DA447F"/>
    <w:rsid w:val="00DA4956"/>
    <w:rsid w:val="00DB7BF2"/>
    <w:rsid w:val="00DD0C62"/>
    <w:rsid w:val="00DF4185"/>
    <w:rsid w:val="00E023AA"/>
    <w:rsid w:val="00E517CF"/>
    <w:rsid w:val="00E6695F"/>
    <w:rsid w:val="00E76C53"/>
    <w:rsid w:val="00E8589F"/>
    <w:rsid w:val="00E87369"/>
    <w:rsid w:val="00E91D4F"/>
    <w:rsid w:val="00EA0463"/>
    <w:rsid w:val="00EA2C8A"/>
    <w:rsid w:val="00EA7011"/>
    <w:rsid w:val="00EA759F"/>
    <w:rsid w:val="00EB1DD4"/>
    <w:rsid w:val="00EB340E"/>
    <w:rsid w:val="00EB666E"/>
    <w:rsid w:val="00EB6A56"/>
    <w:rsid w:val="00EC3E1B"/>
    <w:rsid w:val="00ED22E7"/>
    <w:rsid w:val="00EF71AA"/>
    <w:rsid w:val="00F03B7D"/>
    <w:rsid w:val="00F053BB"/>
    <w:rsid w:val="00F056CE"/>
    <w:rsid w:val="00F13494"/>
    <w:rsid w:val="00F13648"/>
    <w:rsid w:val="00F17568"/>
    <w:rsid w:val="00F2220E"/>
    <w:rsid w:val="00F27174"/>
    <w:rsid w:val="00F36EE2"/>
    <w:rsid w:val="00F40985"/>
    <w:rsid w:val="00F46416"/>
    <w:rsid w:val="00F57C4B"/>
    <w:rsid w:val="00F65E28"/>
    <w:rsid w:val="00FA1F2B"/>
    <w:rsid w:val="00FA7EBE"/>
    <w:rsid w:val="00FB62BC"/>
    <w:rsid w:val="00FC47E3"/>
    <w:rsid w:val="00FC54BA"/>
    <w:rsid w:val="00FE1EB6"/>
    <w:rsid w:val="00FF10B9"/>
    <w:rsid w:val="00FF26D5"/>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6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B8F"/>
    <w:pPr>
      <w:tabs>
        <w:tab w:val="center" w:pos="4252"/>
        <w:tab w:val="right" w:pos="8504"/>
      </w:tabs>
      <w:snapToGrid w:val="0"/>
    </w:pPr>
  </w:style>
  <w:style w:type="character" w:customStyle="1" w:styleId="a4">
    <w:name w:val="ヘッダー (文字)"/>
    <w:basedOn w:val="a0"/>
    <w:link w:val="a3"/>
    <w:uiPriority w:val="99"/>
    <w:rsid w:val="00530B8F"/>
    <w:rPr>
      <w:rFonts w:ascii="ＤＦ細丸ゴシック体" w:eastAsia="ＤＦ細丸ゴシック体"/>
    </w:rPr>
  </w:style>
  <w:style w:type="paragraph" w:styleId="a5">
    <w:name w:val="footer"/>
    <w:basedOn w:val="a"/>
    <w:link w:val="a6"/>
    <w:uiPriority w:val="99"/>
    <w:unhideWhenUsed/>
    <w:rsid w:val="00530B8F"/>
    <w:pPr>
      <w:tabs>
        <w:tab w:val="center" w:pos="4252"/>
        <w:tab w:val="right" w:pos="8504"/>
      </w:tabs>
      <w:snapToGrid w:val="0"/>
    </w:pPr>
  </w:style>
  <w:style w:type="character" w:customStyle="1" w:styleId="a6">
    <w:name w:val="フッター (文字)"/>
    <w:basedOn w:val="a0"/>
    <w:link w:val="a5"/>
    <w:uiPriority w:val="99"/>
    <w:rsid w:val="00530B8F"/>
    <w:rPr>
      <w:rFonts w:ascii="ＤＦ細丸ゴシック体" w:eastAsia="ＤＦ細丸ゴシック体"/>
    </w:rPr>
  </w:style>
  <w:style w:type="paragraph" w:styleId="a7">
    <w:name w:val="Balloon Text"/>
    <w:basedOn w:val="a"/>
    <w:link w:val="a8"/>
    <w:uiPriority w:val="99"/>
    <w:semiHidden/>
    <w:unhideWhenUsed/>
    <w:rsid w:val="00E023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3AA"/>
    <w:rPr>
      <w:rFonts w:asciiTheme="majorHAnsi" w:eastAsiaTheme="majorEastAsia" w:hAnsiTheme="majorHAnsi" w:cstheme="majorBidi"/>
      <w:sz w:val="18"/>
      <w:szCs w:val="18"/>
    </w:rPr>
  </w:style>
  <w:style w:type="paragraph" w:styleId="Web">
    <w:name w:val="Normal (Web)"/>
    <w:basedOn w:val="a"/>
    <w:uiPriority w:val="99"/>
    <w:semiHidden/>
    <w:unhideWhenUsed/>
    <w:rsid w:val="00C374BB"/>
    <w:rPr>
      <w:rFonts w:ascii="Times New Roman" w:hAnsi="Times New Roman"/>
      <w:sz w:val="24"/>
    </w:rPr>
  </w:style>
  <w:style w:type="table" w:styleId="a9">
    <w:name w:val="Table Grid"/>
    <w:basedOn w:val="a1"/>
    <w:uiPriority w:val="59"/>
    <w:rsid w:val="00FF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41E4"/>
    <w:pPr>
      <w:ind w:leftChars="400" w:left="840"/>
    </w:pPr>
  </w:style>
  <w:style w:type="table" w:styleId="2">
    <w:name w:val="Light List Accent 1"/>
    <w:basedOn w:val="a1"/>
    <w:uiPriority w:val="61"/>
    <w:rsid w:val="00A063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Plain Text"/>
    <w:basedOn w:val="a"/>
    <w:link w:val="ac"/>
    <w:uiPriority w:val="99"/>
    <w:unhideWhenUsed/>
    <w:rsid w:val="0072379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23794"/>
    <w:rPr>
      <w:rFonts w:hAnsi="Courier New" w:cs="Courier New"/>
      <w:sz w:val="20"/>
      <w:szCs w:val="21"/>
    </w:rPr>
  </w:style>
  <w:style w:type="character" w:styleId="ad">
    <w:name w:val="Hyperlink"/>
    <w:basedOn w:val="a0"/>
    <w:uiPriority w:val="99"/>
    <w:unhideWhenUsed/>
    <w:rsid w:val="004626BA"/>
    <w:rPr>
      <w:color w:val="0000FF" w:themeColor="hyperlink"/>
      <w:u w:val="single"/>
    </w:rPr>
  </w:style>
  <w:style w:type="table" w:customStyle="1" w:styleId="20">
    <w:name w:val="表 (格子)2"/>
    <w:basedOn w:val="a1"/>
    <w:next w:val="a9"/>
    <w:uiPriority w:val="59"/>
    <w:rsid w:val="0099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2EF8-10E7-418C-AB2C-91BD1EBCC8C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D8BA17-F688-4D42-B5F8-B7C590D1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22D82D-E711-4AE1-987F-E4E1485094A9}">
  <ds:schemaRefs>
    <ds:schemaRef ds:uri="http://schemas.microsoft.com/sharepoint/v3/contenttype/forms"/>
  </ds:schemaRefs>
</ds:datastoreItem>
</file>

<file path=customXml/itemProps4.xml><?xml version="1.0" encoding="utf-8"?>
<ds:datastoreItem xmlns:ds="http://schemas.openxmlformats.org/officeDocument/2006/customXml" ds:itemID="{3FC15C40-5B2B-4D86-A3AB-471C69C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2020-01-31T06:27:00Z</dcterms:created>
  <dcterms:modified xsi:type="dcterms:W3CDTF">2023-05-24T01:54:00Z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