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30255C24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心神喪失者等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医療観察法、自殺対策、アルコール依存症対策等に関する事業を行っています。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87256-8D6F-4B34-9E23-90685AA5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