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EF1A" w14:textId="77777777" w:rsidR="00D31F05" w:rsidRDefault="00D31F05" w:rsidP="00C04F8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D8C08" wp14:editId="56B1FE79">
                <wp:simplePos x="0" y="0"/>
                <wp:positionH relativeFrom="margin">
                  <wp:posOffset>5193797</wp:posOffset>
                </wp:positionH>
                <wp:positionV relativeFrom="paragraph">
                  <wp:posOffset>-48755</wp:posOffset>
                </wp:positionV>
                <wp:extent cx="1275907" cy="499730"/>
                <wp:effectExtent l="0" t="0" r="1968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BA9AC" w14:textId="77777777" w:rsidR="008D18DC" w:rsidRPr="009C7B86" w:rsidRDefault="008D18DC" w:rsidP="008D18DC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8C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95pt;margin-top:-3.85pt;width:100.4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" fillcolor="window" strokeweight=".5pt">
                <v:textbox>
                  <w:txbxContent>
                    <w:p w14:paraId="406BA9AC" w14:textId="77777777" w:rsidR="008D18DC" w:rsidRPr="009C7B86" w:rsidRDefault="008D18DC" w:rsidP="008D18DC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0BF6D" w14:textId="77777777" w:rsidR="00C924FE" w:rsidRDefault="00C924FE" w:rsidP="00F218A3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</w:p>
    <w:p w14:paraId="71456BC5" w14:textId="2ECEBE8C" w:rsidR="00C56CDE" w:rsidRPr="00C04F83" w:rsidRDefault="00F218A3" w:rsidP="00F218A3">
      <w:pPr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538F" wp14:editId="0D9E4222">
                <wp:simplePos x="0" y="0"/>
                <wp:positionH relativeFrom="margin">
                  <wp:posOffset>118299</wp:posOffset>
                </wp:positionH>
                <wp:positionV relativeFrom="paragraph">
                  <wp:posOffset>521722</wp:posOffset>
                </wp:positionV>
                <wp:extent cx="1009403" cy="323215"/>
                <wp:effectExtent l="0" t="0" r="635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7903D" w14:textId="77777777" w:rsidR="000E6B77" w:rsidRPr="009F71BB" w:rsidRDefault="000E6B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18A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取組の方向</w:t>
                            </w:r>
                            <w:r w:rsidRPr="009F71BB">
                              <w:rPr>
                                <w:rFonts w:ascii="ＭＳ ゴシック" w:eastAsia="ＭＳ ゴシック" w:hAnsi="ＭＳ ゴシック" w:hint="eastAsia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538F" id="テキスト ボックス 7" o:spid="_x0000_s1027" type="#_x0000_t202" style="position:absolute;left:0;text-align:left;margin-left:9.3pt;margin-top:41.1pt;width:79.5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xdZAIAAJEEAAAOAAAAZHJzL2Uyb0RvYy54bWysVM1u2zAMvg/YOwi6L3b+mj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" fillcolor="white [3201]" stroked="f" strokeweight=".5pt">
                <v:textbox>
                  <w:txbxContent>
                    <w:p w14:paraId="5B67903D" w14:textId="77777777" w:rsidR="000E6B77" w:rsidRPr="009F71BB" w:rsidRDefault="000E6B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18A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取組の方向</w:t>
                      </w:r>
                      <w:r w:rsidRPr="009F71BB">
                        <w:rPr>
                          <w:rFonts w:ascii="ＭＳ ゴシック" w:eastAsia="ＭＳ ゴシック" w:hAnsi="ＭＳ ゴシック" w:hint="eastAsia"/>
                        </w:rPr>
                        <w:t>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9F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肝炎</w:t>
      </w:r>
      <w:r w:rsidR="00230A33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ウイルス検査の重点勧奨（普及啓発）に</w:t>
      </w:r>
      <w:r w:rsidR="001B029F" w:rsidRPr="00945CF2">
        <w:rPr>
          <w:rFonts w:ascii="ＭＳ Ｐゴシック" w:eastAsia="ＭＳ Ｐゴシック" w:hAnsi="ＭＳ Ｐゴシック" w:hint="eastAsia"/>
          <w:b/>
          <w:sz w:val="32"/>
          <w:szCs w:val="28"/>
        </w:rPr>
        <w:t>ついて</w:t>
      </w:r>
    </w:p>
    <w:p w14:paraId="0F444EAB" w14:textId="77777777" w:rsidR="000E6B77" w:rsidRDefault="00462F30" w:rsidP="00F218A3">
      <w:pPr>
        <w:spacing w:beforeLines="50" w:before="180" w:line="360" w:lineRule="auto"/>
        <w:ind w:leftChars="-135" w:left="-283"/>
        <w:rPr>
          <w:rFonts w:ascii="ＭＳ Ｐゴシック" w:eastAsia="ＭＳ Ｐゴシック" w:hAnsi="ＭＳ Ｐゴシック"/>
          <w:b/>
          <w:szCs w:val="21"/>
        </w:rPr>
      </w:pPr>
      <w:r w:rsidRPr="005134EB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B5BDA23" wp14:editId="5DCC24A3">
                <wp:simplePos x="0" y="0"/>
                <wp:positionH relativeFrom="margin">
                  <wp:posOffset>-23404</wp:posOffset>
                </wp:positionH>
                <wp:positionV relativeFrom="paragraph">
                  <wp:posOffset>126365</wp:posOffset>
                </wp:positionV>
                <wp:extent cx="6291761" cy="1273628"/>
                <wp:effectExtent l="0" t="0" r="1397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761" cy="12736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3204" w14:textId="77777777" w:rsidR="00144E00" w:rsidRDefault="00120E29" w:rsidP="00F375BA">
                            <w:pPr>
                              <w:spacing w:before="240"/>
                              <w:ind w:leftChars="202" w:left="424" w:rightChars="48" w:right="101" w:firstLine="142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府がん対策推進計画にて肝炎ウイルス検査の受診促進のため「感染の高リスク集団を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特定し、</w:t>
                            </w:r>
                          </w:p>
                          <w:p w14:paraId="4423B39F" w14:textId="77777777" w:rsidR="00144E00" w:rsidRDefault="00120E29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21" w:right="44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累積受診者数の増加を図る」こととしている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それに基づき</w:t>
                            </w:r>
                            <w:r w:rsidR="005134EB"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令和元年度肝炎肝がん対策部会にて、</w:t>
                            </w:r>
                          </w:p>
                          <w:p w14:paraId="28AEB161" w14:textId="77777777" w:rsidR="005134EB" w:rsidRDefault="005134EB" w:rsidP="00144E00">
                            <w:pPr>
                              <w:tabs>
                                <w:tab w:val="left" w:pos="9214"/>
                              </w:tabs>
                              <w:ind w:leftChars="67" w:left="141" w:rightChars="156" w:right="328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60歳代から70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歳代を重点勧奨の対象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集団</w:t>
                            </w:r>
                            <w:r w:rsidRPr="00945681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Pr="00945681">
                              <w:rPr>
                                <w:rFonts w:ascii="ＭＳ ゴシック" w:eastAsia="ＭＳ ゴシック" w:hAnsi="ＭＳ ゴシック" w:hint="eastAsia"/>
                              </w:rPr>
                              <w:t>する」ことに決定。</w:t>
                            </w:r>
                          </w:p>
                          <w:p w14:paraId="50D7AF2D" w14:textId="77777777" w:rsidR="005134EB" w:rsidRPr="008C4B09" w:rsidRDefault="005134EB" w:rsidP="00144E00">
                            <w:pPr>
                              <w:ind w:leftChars="67" w:left="141" w:rightChars="156" w:right="328" w:firstLine="145"/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→</w:t>
                            </w:r>
                            <w:r w:rsidRPr="008C4B0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重点勧奨の対象集団を中心に普及啓発をより一層強化。</w:t>
                            </w:r>
                          </w:p>
                          <w:p w14:paraId="7D68427C" w14:textId="77777777" w:rsidR="005134EB" w:rsidRPr="005134EB" w:rsidRDefault="005134EB" w:rsidP="00144E00">
                            <w:pPr>
                              <w:ind w:leftChars="67" w:left="141" w:rightChars="156" w:right="32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DA23" id="_x0000_s1028" type="#_x0000_t202" style="position:absolute;left:0;text-align:left;margin-left:-1.85pt;margin-top:9.95pt;width:495.4pt;height:10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" fillcolor="white [3201]" strokecolor="#70ad47 [3209]" strokeweight="1pt">
                <v:textbox>
                  <w:txbxContent>
                    <w:p w14:paraId="5E783204" w14:textId="77777777" w:rsidR="00144E00" w:rsidRDefault="00120E29" w:rsidP="00F375BA">
                      <w:pPr>
                        <w:spacing w:before="240"/>
                        <w:ind w:leftChars="202" w:left="424" w:rightChars="48" w:right="101" w:firstLine="142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府がん対策推進計画にて肝炎ウイルス検査の受診促進のため「感染の高リスク集団を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特定し、</w:t>
                      </w:r>
                    </w:p>
                    <w:p w14:paraId="4423B39F" w14:textId="77777777" w:rsidR="00144E00" w:rsidRDefault="00120E29" w:rsidP="00144E00">
                      <w:pPr>
                        <w:tabs>
                          <w:tab w:val="left" w:pos="9214"/>
                        </w:tabs>
                        <w:ind w:leftChars="67" w:left="141" w:rightChars="21" w:right="44" w:firstLine="14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累積受診者数の増加を図る」こととしている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それに基づき</w:t>
                      </w:r>
                      <w:r w:rsidR="005134EB" w:rsidRPr="00945681">
                        <w:rPr>
                          <w:rFonts w:ascii="ＭＳ ゴシック" w:eastAsia="ＭＳ ゴシック" w:hAnsi="ＭＳ ゴシック" w:hint="eastAsia"/>
                        </w:rPr>
                        <w:t>令和元年度肝炎肝がん対策部会にて、</w:t>
                      </w:r>
                    </w:p>
                    <w:p w14:paraId="28AEB161" w14:textId="77777777" w:rsidR="005134EB" w:rsidRDefault="005134EB" w:rsidP="00144E00">
                      <w:pPr>
                        <w:tabs>
                          <w:tab w:val="left" w:pos="9214"/>
                        </w:tabs>
                        <w:ind w:leftChars="67" w:left="141" w:rightChars="156" w:right="328" w:firstLine="142"/>
                        <w:rPr>
                          <w:rFonts w:ascii="ＭＳ ゴシック" w:eastAsia="ＭＳ ゴシック" w:hAnsi="ＭＳ ゴシック"/>
                        </w:rPr>
                      </w:pP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60歳代から70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歳代を重点勧奨の対象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集団</w:t>
                      </w:r>
                      <w:r w:rsidRPr="00945681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Pr="00945681">
                        <w:rPr>
                          <w:rFonts w:ascii="ＭＳ ゴシック" w:eastAsia="ＭＳ ゴシック" w:hAnsi="ＭＳ ゴシック" w:hint="eastAsia"/>
                        </w:rPr>
                        <w:t>する」ことに決定。</w:t>
                      </w:r>
                    </w:p>
                    <w:p w14:paraId="50D7AF2D" w14:textId="77777777" w:rsidR="005134EB" w:rsidRPr="008C4B09" w:rsidRDefault="005134EB" w:rsidP="00144E00">
                      <w:pPr>
                        <w:ind w:leftChars="67" w:left="141" w:rightChars="156" w:right="328" w:firstLine="145"/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→</w:t>
                      </w:r>
                      <w:r w:rsidRPr="008C4B0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重点勧奨の対象集団を中心に普及啓発をより一層強化。</w:t>
                      </w:r>
                    </w:p>
                    <w:p w14:paraId="7D68427C" w14:textId="77777777" w:rsidR="005134EB" w:rsidRPr="005134EB" w:rsidRDefault="005134EB" w:rsidP="00144E00">
                      <w:pPr>
                        <w:ind w:leftChars="67" w:left="141" w:rightChars="156" w:right="32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B164" w14:textId="77777777"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14:paraId="45C416CE" w14:textId="77777777"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14:paraId="0EABAFA3" w14:textId="77777777" w:rsidR="000E6B77" w:rsidRDefault="000E6B77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14:paraId="6B7DA8AC" w14:textId="77777777" w:rsidR="005134EB" w:rsidRDefault="005134EB" w:rsidP="001A5A7B">
      <w:pPr>
        <w:ind w:leftChars="-135" w:left="-283"/>
        <w:rPr>
          <w:rFonts w:ascii="ＭＳ Ｐゴシック" w:eastAsia="ＭＳ Ｐゴシック" w:hAnsi="ＭＳ Ｐゴシック"/>
          <w:b/>
          <w:szCs w:val="21"/>
        </w:rPr>
      </w:pPr>
    </w:p>
    <w:p w14:paraId="3CD081FF" w14:textId="77777777" w:rsidR="00DF1E09" w:rsidRDefault="00DF1E09" w:rsidP="001B0241">
      <w:pPr>
        <w:widowControl/>
        <w:tabs>
          <w:tab w:val="left" w:pos="1370"/>
        </w:tabs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</w:pPr>
    </w:p>
    <w:p w14:paraId="2617D820" w14:textId="45528823" w:rsidR="001B0241" w:rsidRPr="00F218A3" w:rsidRDefault="005134EB" w:rsidP="005F3A0C">
      <w:pPr>
        <w:widowControl/>
        <w:tabs>
          <w:tab w:val="left" w:pos="1370"/>
        </w:tabs>
        <w:ind w:leftChars="-67" w:left="-141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＜</w:t>
      </w:r>
      <w:r w:rsidR="000B2E60"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令和</w:t>
      </w:r>
      <w:r w:rsidR="00DC5D54" w:rsidRPr="00C06D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５</w:t>
      </w: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年度まで</w:t>
      </w:r>
      <w:r w:rsidR="005001AF"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の取組</w:t>
      </w:r>
      <w:r w:rsidR="00C924F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み</w:t>
      </w: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＞</w:t>
      </w:r>
    </w:p>
    <w:p w14:paraId="7BCAF7D9" w14:textId="59404299" w:rsidR="000B2E60" w:rsidRPr="006D5DEF" w:rsidRDefault="000B2E60" w:rsidP="005F3A0C">
      <w:pPr>
        <w:jc w:val="left"/>
        <w:rPr>
          <w:rFonts w:ascii="ＭＳ ゴシック" w:eastAsia="ＭＳ ゴシック" w:hAnsi="ＭＳ ゴシック"/>
          <w:sz w:val="22"/>
        </w:rPr>
      </w:pPr>
      <w:r w:rsidRPr="006D5DEF">
        <w:rPr>
          <w:rFonts w:ascii="ＭＳ ゴシック" w:eastAsia="ＭＳ ゴシック" w:hAnsi="ＭＳ ゴシック" w:hint="eastAsia"/>
          <w:sz w:val="22"/>
        </w:rPr>
        <w:t>１．</w:t>
      </w:r>
      <w:r w:rsidR="00F218A3">
        <w:rPr>
          <w:rFonts w:ascii="ＭＳ ゴシック" w:eastAsia="ＭＳ ゴシック" w:hAnsi="ＭＳ ゴシック" w:hint="eastAsia"/>
          <w:sz w:val="22"/>
        </w:rPr>
        <w:t>メディアの</w:t>
      </w:r>
      <w:r w:rsidR="00810A1E" w:rsidRPr="006D5DEF">
        <w:rPr>
          <w:rFonts w:ascii="ＭＳ ゴシック" w:eastAsia="ＭＳ ゴシック" w:hAnsi="ＭＳ ゴシック" w:hint="eastAsia"/>
          <w:sz w:val="22"/>
        </w:rPr>
        <w:t>活用</w:t>
      </w:r>
      <w:r w:rsidR="00487FF5">
        <w:rPr>
          <w:rFonts w:ascii="ＭＳ ゴシック" w:eastAsia="ＭＳ ゴシック" w:hAnsi="ＭＳ ゴシック" w:hint="eastAsia"/>
          <w:sz w:val="22"/>
        </w:rPr>
        <w:t>（令和４年</w:t>
      </w:r>
      <w:r w:rsidR="006F2B6E">
        <w:rPr>
          <w:rFonts w:ascii="ＭＳ ゴシック" w:eastAsia="ＭＳ ゴシック" w:hAnsi="ＭＳ ゴシック" w:hint="eastAsia"/>
          <w:sz w:val="22"/>
        </w:rPr>
        <w:t>度～</w:t>
      </w:r>
      <w:r w:rsidR="00487FF5">
        <w:rPr>
          <w:rFonts w:ascii="ＭＳ ゴシック" w:eastAsia="ＭＳ ゴシック" w:hAnsi="ＭＳ ゴシック" w:hint="eastAsia"/>
          <w:sz w:val="22"/>
        </w:rPr>
        <w:t>）</w:t>
      </w:r>
    </w:p>
    <w:p w14:paraId="40786E53" w14:textId="77777777" w:rsidR="00DC5D54" w:rsidRDefault="000B2E60" w:rsidP="00F218A3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SNS</w:t>
      </w:r>
      <w:r w:rsidR="00F218A3">
        <w:rPr>
          <w:rFonts w:ascii="ＭＳ ゴシック" w:eastAsia="ＭＳ ゴシック" w:hAnsi="ＭＳ ゴシック" w:hint="eastAsia"/>
          <w:szCs w:val="21"/>
        </w:rPr>
        <w:t>・府政だより</w:t>
      </w:r>
      <w:r w:rsidR="00DC5D54">
        <w:rPr>
          <w:rFonts w:ascii="ＭＳ ゴシック" w:eastAsia="ＭＳ ゴシック" w:hAnsi="ＭＳ ゴシック" w:hint="eastAsia"/>
          <w:szCs w:val="21"/>
        </w:rPr>
        <w:t>・健康アプリアスマイル</w:t>
      </w:r>
      <w:r w:rsidR="00F218A3">
        <w:rPr>
          <w:rFonts w:ascii="ＭＳ ゴシック" w:eastAsia="ＭＳ ゴシック" w:hAnsi="ＭＳ ゴシック" w:hint="eastAsia"/>
          <w:szCs w:val="21"/>
        </w:rPr>
        <w:t>等</w:t>
      </w:r>
      <w:r w:rsidR="00DC5D54">
        <w:rPr>
          <w:rFonts w:ascii="ＭＳ ゴシック" w:eastAsia="ＭＳ ゴシック" w:hAnsi="ＭＳ ゴシック" w:hint="eastAsia"/>
          <w:szCs w:val="21"/>
        </w:rPr>
        <w:t>を活用した啓発の実施</w:t>
      </w:r>
    </w:p>
    <w:p w14:paraId="701958DC" w14:textId="77777777" w:rsidR="00DC5D54" w:rsidRDefault="00DC5D54" w:rsidP="00DC5D54">
      <w:pPr>
        <w:ind w:right="-285"/>
        <w:jc w:val="left"/>
        <w:rPr>
          <w:rFonts w:ascii="ＭＳ ゴシック" w:eastAsia="ＭＳ ゴシック" w:hAnsi="ＭＳ ゴシック"/>
          <w:szCs w:val="21"/>
        </w:rPr>
      </w:pPr>
    </w:p>
    <w:p w14:paraId="34247478" w14:textId="39DC1536" w:rsidR="00DC5D54" w:rsidRDefault="00DC5D54" w:rsidP="00DC5D54">
      <w:pPr>
        <w:ind w:right="-2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２．肝疾患診療連携拠点病院や健康サポート薬局、企業等との連携</w:t>
      </w:r>
      <w:r w:rsidR="005733B1">
        <w:rPr>
          <w:rFonts w:ascii="ＭＳ ゴシック" w:eastAsia="ＭＳ ゴシック" w:hAnsi="ＭＳ ゴシック" w:hint="eastAsia"/>
          <w:szCs w:val="21"/>
        </w:rPr>
        <w:t>（令和</w:t>
      </w:r>
      <w:r w:rsidR="006F2B6E">
        <w:rPr>
          <w:rFonts w:ascii="ＭＳ ゴシック" w:eastAsia="ＭＳ ゴシック" w:hAnsi="ＭＳ ゴシック" w:hint="eastAsia"/>
          <w:szCs w:val="21"/>
        </w:rPr>
        <w:t>２年度</w:t>
      </w:r>
      <w:r w:rsidR="005733B1">
        <w:rPr>
          <w:rFonts w:ascii="ＭＳ ゴシック" w:eastAsia="ＭＳ ゴシック" w:hAnsi="ＭＳ ゴシック" w:hint="eastAsia"/>
          <w:szCs w:val="21"/>
        </w:rPr>
        <w:t>～）</w:t>
      </w:r>
    </w:p>
    <w:p w14:paraId="0DC4E533" w14:textId="5EC33870" w:rsidR="000B2E60" w:rsidRDefault="000B2E60" w:rsidP="00083327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拠点病院イベン</w:t>
      </w:r>
      <w:r w:rsidR="00C60312">
        <w:rPr>
          <w:rFonts w:ascii="ＭＳ ゴシック" w:eastAsia="ＭＳ ゴシック" w:hAnsi="ＭＳ ゴシック" w:hint="eastAsia"/>
          <w:szCs w:val="21"/>
        </w:rPr>
        <w:t>ト</w:t>
      </w:r>
      <w:r w:rsidR="00DC5D54">
        <w:rPr>
          <w:rFonts w:ascii="ＭＳ ゴシック" w:eastAsia="ＭＳ ゴシック" w:hAnsi="ＭＳ ゴシック" w:hint="eastAsia"/>
          <w:szCs w:val="21"/>
        </w:rPr>
        <w:t>での</w:t>
      </w:r>
      <w:r w:rsidR="00C60312">
        <w:rPr>
          <w:rFonts w:ascii="ＭＳ ゴシック" w:eastAsia="ＭＳ ゴシック" w:hAnsi="ＭＳ ゴシック" w:hint="eastAsia"/>
          <w:szCs w:val="21"/>
        </w:rPr>
        <w:t>医師による参加者への呼びかけによる効果的な受検勧奨</w:t>
      </w:r>
    </w:p>
    <w:p w14:paraId="32D15433" w14:textId="1266CB7E" w:rsidR="00DC5D54" w:rsidRDefault="00DC5D54" w:rsidP="00083327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健康サポート薬局でのチラシ配架</w:t>
      </w:r>
    </w:p>
    <w:p w14:paraId="0C996257" w14:textId="36CFC616" w:rsidR="00DC5D54" w:rsidRPr="00DC5D54" w:rsidRDefault="00DC5D54" w:rsidP="00083327">
      <w:pPr>
        <w:ind w:leftChars="270" w:left="567" w:right="-2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協会けんぽや民間企業等と連携したPR</w:t>
      </w:r>
    </w:p>
    <w:p w14:paraId="55998122" w14:textId="72501D59" w:rsidR="00810A1E" w:rsidRPr="006D5DEF" w:rsidRDefault="00DC5D54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0B2E60" w:rsidRPr="006D5DEF">
        <w:rPr>
          <w:rFonts w:ascii="ＭＳ ゴシック" w:eastAsia="ＭＳ ゴシック" w:hAnsi="ＭＳ ゴシック" w:hint="eastAsia"/>
          <w:sz w:val="22"/>
        </w:rPr>
        <w:t>．市町村・市民病院・</w:t>
      </w:r>
      <w:r w:rsidR="00083327" w:rsidRPr="006D5DEF">
        <w:rPr>
          <w:rFonts w:ascii="ＭＳ ゴシック" w:eastAsia="ＭＳ ゴシック" w:hAnsi="ＭＳ ゴシック" w:hint="eastAsia"/>
          <w:sz w:val="22"/>
        </w:rPr>
        <w:t>地区医師会への働きかけ</w:t>
      </w:r>
      <w:r w:rsidR="005733B1">
        <w:rPr>
          <w:rFonts w:ascii="ＭＳ ゴシック" w:eastAsia="ＭＳ ゴシック" w:hAnsi="ＭＳ ゴシック" w:hint="eastAsia"/>
          <w:sz w:val="22"/>
        </w:rPr>
        <w:t>（令和</w:t>
      </w:r>
      <w:r w:rsidR="006F2B6E">
        <w:rPr>
          <w:rFonts w:ascii="ＭＳ ゴシック" w:eastAsia="ＭＳ ゴシック" w:hAnsi="ＭＳ ゴシック" w:hint="eastAsia"/>
          <w:sz w:val="22"/>
        </w:rPr>
        <w:t>元年以前</w:t>
      </w:r>
      <w:r w:rsidR="005733B1">
        <w:rPr>
          <w:rFonts w:ascii="ＭＳ ゴシック" w:eastAsia="ＭＳ ゴシック" w:hAnsi="ＭＳ ゴシック" w:hint="eastAsia"/>
          <w:sz w:val="22"/>
        </w:rPr>
        <w:t>～）</w:t>
      </w:r>
    </w:p>
    <w:p w14:paraId="7CFBEA9C" w14:textId="77777777" w:rsidR="00FF7A4E" w:rsidRPr="006D5DEF" w:rsidRDefault="00083327" w:rsidP="001C1784">
      <w:pPr>
        <w:ind w:leftChars="270" w:left="567" w:rightChars="67" w:right="141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好事例</w:t>
      </w:r>
      <w:r w:rsidR="00454CB1">
        <w:rPr>
          <w:rFonts w:ascii="ＭＳ ゴシック" w:eastAsia="ＭＳ ゴシック" w:hAnsi="ＭＳ ゴシック" w:hint="eastAsia"/>
          <w:szCs w:val="21"/>
        </w:rPr>
        <w:t>（</w:t>
      </w:r>
      <w:r w:rsidR="00454CB1" w:rsidRPr="00C924FE">
        <w:rPr>
          <w:rFonts w:ascii="ＭＳ ゴシック" w:eastAsia="ＭＳ ゴシック" w:hAnsi="ＭＳ ゴシック" w:hint="eastAsia"/>
          <w:szCs w:val="21"/>
          <w:u w:val="double"/>
        </w:rPr>
        <w:t>重点勧奨対象への個別勧奨ハガキの送付</w:t>
      </w:r>
      <w:r w:rsidR="00454CB1">
        <w:rPr>
          <w:rFonts w:ascii="ＭＳ ゴシック" w:eastAsia="ＭＳ ゴシック" w:hAnsi="ＭＳ ゴシック" w:hint="eastAsia"/>
          <w:szCs w:val="21"/>
        </w:rPr>
        <w:t>等）</w:t>
      </w:r>
      <w:r w:rsidR="00993519">
        <w:rPr>
          <w:rFonts w:ascii="ＭＳ ゴシック" w:eastAsia="ＭＳ ゴシック" w:hAnsi="ＭＳ ゴシック" w:hint="eastAsia"/>
          <w:szCs w:val="21"/>
        </w:rPr>
        <w:t>を市町村に共有。</w:t>
      </w:r>
      <w:r w:rsidRPr="006D5DEF">
        <w:rPr>
          <w:rFonts w:ascii="ＭＳ ゴシック" w:eastAsia="ＭＳ ゴシック" w:hAnsi="ＭＳ ゴシック" w:hint="eastAsia"/>
          <w:szCs w:val="21"/>
        </w:rPr>
        <w:t>市民病院</w:t>
      </w:r>
      <w:r w:rsidR="00993519">
        <w:rPr>
          <w:rFonts w:ascii="ＭＳ ゴシック" w:eastAsia="ＭＳ ゴシック" w:hAnsi="ＭＳ ゴシック" w:hint="eastAsia"/>
          <w:szCs w:val="21"/>
        </w:rPr>
        <w:t>に対し、</w:t>
      </w:r>
      <w:r w:rsidR="00454CB1">
        <w:rPr>
          <w:rFonts w:ascii="ＭＳ ゴシック" w:eastAsia="ＭＳ ゴシック" w:hAnsi="ＭＳ ゴシック" w:hint="eastAsia"/>
          <w:szCs w:val="21"/>
        </w:rPr>
        <w:t>府・市検査の受検勧奨・</w:t>
      </w:r>
      <w:r w:rsidR="00993519">
        <w:rPr>
          <w:rFonts w:ascii="ＭＳ ゴシック" w:eastAsia="ＭＳ ゴシック" w:hAnsi="ＭＳ ゴシック" w:hint="eastAsia"/>
          <w:szCs w:val="21"/>
        </w:rPr>
        <w:t>検査</w:t>
      </w:r>
      <w:r w:rsidR="00454CB1">
        <w:rPr>
          <w:rFonts w:ascii="ＭＳ ゴシック" w:eastAsia="ＭＳ ゴシック" w:hAnsi="ＭＳ ゴシック" w:hint="eastAsia"/>
          <w:szCs w:val="21"/>
        </w:rPr>
        <w:t>実施</w:t>
      </w:r>
      <w:r w:rsidR="00993519">
        <w:rPr>
          <w:rFonts w:ascii="ＭＳ ゴシック" w:eastAsia="ＭＳ ゴシック" w:hAnsi="ＭＳ ゴシック" w:hint="eastAsia"/>
          <w:szCs w:val="21"/>
        </w:rPr>
        <w:t>・陽性者フォローを要請</w:t>
      </w:r>
      <w:r w:rsidRPr="006D5DEF">
        <w:rPr>
          <w:rFonts w:ascii="ＭＳ ゴシック" w:eastAsia="ＭＳ ゴシック" w:hAnsi="ＭＳ ゴシック" w:hint="eastAsia"/>
          <w:szCs w:val="21"/>
        </w:rPr>
        <w:t>。</w:t>
      </w:r>
    </w:p>
    <w:p w14:paraId="67646D23" w14:textId="09AEF6C0" w:rsidR="00DF1E09" w:rsidRPr="006D5DEF" w:rsidRDefault="00DC5D54" w:rsidP="005F3A0C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FA570E" w:rsidRPr="006D5DEF">
        <w:rPr>
          <w:rFonts w:ascii="ＭＳ ゴシック" w:eastAsia="ＭＳ ゴシック" w:hAnsi="ＭＳ ゴシック" w:hint="eastAsia"/>
          <w:sz w:val="22"/>
        </w:rPr>
        <w:t>．府眼科医会の協力による検査機関増加の取組</w:t>
      </w:r>
      <w:r w:rsidR="00AC6B01">
        <w:rPr>
          <w:rFonts w:ascii="ＭＳ ゴシック" w:eastAsia="ＭＳ ゴシック" w:hAnsi="ＭＳ ゴシック" w:hint="eastAsia"/>
          <w:sz w:val="22"/>
        </w:rPr>
        <w:t>（令和４年１１月～）</w:t>
      </w:r>
    </w:p>
    <w:p w14:paraId="12BBCB55" w14:textId="77777777" w:rsidR="003444F2" w:rsidRDefault="003444F2" w:rsidP="00083327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眼科は患者に占める重点勧奨対象の割合が高いことから、府眼科医会の協力を得て取組を実施</w:t>
      </w:r>
      <w:r w:rsidR="00ED242B">
        <w:rPr>
          <w:rFonts w:ascii="ＭＳ ゴシック" w:eastAsia="ＭＳ ゴシック" w:hAnsi="ＭＳ ゴシック" w:hint="eastAsia"/>
          <w:szCs w:val="21"/>
        </w:rPr>
        <w:t>。</w:t>
      </w:r>
    </w:p>
    <w:p w14:paraId="497439C5" w14:textId="77777777" w:rsidR="00F64830" w:rsidRPr="006D5DEF" w:rsidRDefault="00FA570E" w:rsidP="00083327">
      <w:pPr>
        <w:ind w:leftChars="270" w:left="567"/>
        <w:jc w:val="left"/>
        <w:rPr>
          <w:rFonts w:ascii="ＭＳ ゴシック" w:eastAsia="ＭＳ ゴシック" w:hAnsi="ＭＳ ゴシック"/>
          <w:szCs w:val="21"/>
        </w:rPr>
      </w:pPr>
      <w:r w:rsidRPr="006D5DEF">
        <w:rPr>
          <w:rFonts w:ascii="ＭＳ ゴシック" w:eastAsia="ＭＳ ゴシック" w:hAnsi="ＭＳ ゴシック" w:hint="eastAsia"/>
          <w:szCs w:val="21"/>
        </w:rPr>
        <w:t>府眼科医会の会員1,400</w:t>
      </w:r>
      <w:r w:rsidR="00454CB1">
        <w:rPr>
          <w:rFonts w:ascii="ＭＳ ゴシック" w:eastAsia="ＭＳ ゴシック" w:hAnsi="ＭＳ ゴシック" w:hint="eastAsia"/>
          <w:szCs w:val="21"/>
        </w:rPr>
        <w:t>機関</w:t>
      </w:r>
      <w:r w:rsidRPr="006D5DEF">
        <w:rPr>
          <w:rFonts w:ascii="ＭＳ ゴシック" w:eastAsia="ＭＳ ゴシック" w:hAnsi="ＭＳ ゴシック" w:hint="eastAsia"/>
          <w:szCs w:val="21"/>
        </w:rPr>
        <w:t>に向け、肝炎ウイルス検査事業への参画</w:t>
      </w:r>
      <w:r w:rsidR="00553AA6">
        <w:rPr>
          <w:rFonts w:ascii="ＭＳ ゴシック" w:eastAsia="ＭＳ ゴシック" w:hAnsi="ＭＳ ゴシック" w:hint="eastAsia"/>
          <w:szCs w:val="21"/>
        </w:rPr>
        <w:t>や肝炎医療コーディネーター研修への参加を要請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。会員対象の</w:t>
      </w:r>
      <w:r w:rsidR="00553AA6">
        <w:rPr>
          <w:rFonts w:ascii="ＭＳ ゴシック" w:eastAsia="ＭＳ ゴシック" w:hAnsi="ＭＳ ゴシック" w:hint="eastAsia"/>
          <w:szCs w:val="21"/>
        </w:rPr>
        <w:t>症例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研修会に参加し</w:t>
      </w:r>
      <w:r w:rsidR="00ED242B">
        <w:rPr>
          <w:rFonts w:ascii="ＭＳ ゴシック" w:eastAsia="ＭＳ ゴシック" w:hAnsi="ＭＳ ゴシック" w:hint="eastAsia"/>
          <w:szCs w:val="21"/>
        </w:rPr>
        <w:t>、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制度</w:t>
      </w:r>
      <w:r w:rsidR="00D34E35">
        <w:rPr>
          <w:rFonts w:ascii="ＭＳ ゴシック" w:eastAsia="ＭＳ ゴシック" w:hAnsi="ＭＳ ゴシック" w:hint="eastAsia"/>
          <w:szCs w:val="21"/>
        </w:rPr>
        <w:t>を周知</w:t>
      </w:r>
      <w:r w:rsidR="00586602" w:rsidRPr="006D5DEF">
        <w:rPr>
          <w:rFonts w:ascii="ＭＳ ゴシック" w:eastAsia="ＭＳ ゴシック" w:hAnsi="ＭＳ ゴシック" w:hint="eastAsia"/>
          <w:szCs w:val="21"/>
        </w:rPr>
        <w:t>。</w:t>
      </w:r>
    </w:p>
    <w:p w14:paraId="160A7B74" w14:textId="77777777" w:rsidR="00C924FE" w:rsidRDefault="00C924FE" w:rsidP="00C924FE">
      <w:pPr>
        <w:widowControl/>
        <w:tabs>
          <w:tab w:val="left" w:pos="1370"/>
        </w:tabs>
        <w:ind w:leftChars="-67" w:left="-141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7BA2A584" w14:textId="1A5718C0" w:rsidR="00C924FE" w:rsidRPr="00F218A3" w:rsidRDefault="00C924FE" w:rsidP="00C924FE">
      <w:pPr>
        <w:widowControl/>
        <w:tabs>
          <w:tab w:val="left" w:pos="1370"/>
        </w:tabs>
        <w:ind w:leftChars="-67" w:left="-141" w:firstLineChars="50" w:firstLine="120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＜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取組み</w:t>
      </w:r>
      <w:r w:rsidR="00680449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後の実績</w:t>
      </w:r>
      <w:r w:rsidRPr="00F218A3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＞</w:t>
      </w:r>
    </w:p>
    <w:p w14:paraId="50FD3833" w14:textId="33F41D70" w:rsidR="000A3C17" w:rsidRDefault="00680449" w:rsidP="00032DE1">
      <w:pPr>
        <w:snapToGrid w:val="0"/>
        <w:spacing w:beforeLines="50" w:before="180"/>
        <w:ind w:firstLineChars="241" w:firstLine="50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令和元年度</w:t>
      </w:r>
      <w:r w:rsidR="000A3C17">
        <w:rPr>
          <w:rFonts w:ascii="ＭＳ ゴシック" w:eastAsia="ＭＳ ゴシック" w:hAnsi="ＭＳ ゴシック" w:hint="eastAsia"/>
          <w:szCs w:val="21"/>
        </w:rPr>
        <w:t>：</w:t>
      </w:r>
      <w:r w:rsidR="008F0ABA">
        <w:rPr>
          <w:rFonts w:ascii="ＭＳ ゴシック" w:eastAsia="ＭＳ ゴシック" w:hAnsi="ＭＳ ゴシック" w:hint="eastAsia"/>
          <w:szCs w:val="21"/>
        </w:rPr>
        <w:t>４，７０２件</w:t>
      </w:r>
      <w:r w:rsidR="00032DE1">
        <w:rPr>
          <w:rFonts w:ascii="ＭＳ ゴシック" w:eastAsia="ＭＳ ゴシック" w:hAnsi="ＭＳ ゴシック" w:hint="eastAsia"/>
          <w:szCs w:val="21"/>
        </w:rPr>
        <w:t>（うち６０～７０代：</w:t>
      </w:r>
      <w:r w:rsidR="00DE75E5" w:rsidRPr="002B5436">
        <w:rPr>
          <w:rFonts w:ascii="ＭＳ ゴシック" w:eastAsia="ＭＳ ゴシック" w:hAnsi="ＭＳ ゴシック" w:hint="eastAsia"/>
          <w:szCs w:val="21"/>
        </w:rPr>
        <w:t>１，２</w:t>
      </w:r>
      <w:r w:rsidR="002B5436" w:rsidRPr="002B5436">
        <w:rPr>
          <w:rFonts w:ascii="ＭＳ ゴシック" w:eastAsia="ＭＳ ゴシック" w:hAnsi="ＭＳ ゴシック" w:hint="eastAsia"/>
          <w:szCs w:val="21"/>
        </w:rPr>
        <w:t>５４</w:t>
      </w:r>
      <w:r w:rsidR="00DE75E5" w:rsidRPr="002B5436">
        <w:rPr>
          <w:rFonts w:ascii="ＭＳ ゴシック" w:eastAsia="ＭＳ ゴシック" w:hAnsi="ＭＳ ゴシック" w:hint="eastAsia"/>
          <w:szCs w:val="21"/>
        </w:rPr>
        <w:t>件</w:t>
      </w:r>
      <w:r w:rsidR="00032DE1">
        <w:rPr>
          <w:rFonts w:ascii="ＭＳ ゴシック" w:eastAsia="ＭＳ ゴシック" w:hAnsi="ＭＳ ゴシック" w:hint="eastAsia"/>
          <w:szCs w:val="21"/>
        </w:rPr>
        <w:t>）</w:t>
      </w:r>
    </w:p>
    <w:p w14:paraId="5364C755" w14:textId="3E77C0DF" w:rsidR="000A3C17" w:rsidRDefault="000A3C17" w:rsidP="00972B20">
      <w:pPr>
        <w:snapToGrid w:val="0"/>
        <w:spacing w:beforeLines="50" w:before="180"/>
        <w:ind w:firstLineChars="241" w:firstLine="50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令和２</w:t>
      </w:r>
      <w:r w:rsidR="00680449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B0C01">
        <w:rPr>
          <w:rFonts w:ascii="ＭＳ ゴシック" w:eastAsia="ＭＳ ゴシック" w:hAnsi="ＭＳ ゴシック" w:hint="eastAsia"/>
          <w:szCs w:val="21"/>
        </w:rPr>
        <w:t>４，８６０</w:t>
      </w:r>
      <w:r w:rsidR="00EB1387">
        <w:rPr>
          <w:rFonts w:ascii="ＭＳ ゴシック" w:eastAsia="ＭＳ ゴシック" w:hAnsi="ＭＳ ゴシック" w:hint="eastAsia"/>
          <w:szCs w:val="21"/>
        </w:rPr>
        <w:t>件（うち６０～７０代：１，０９８件）</w:t>
      </w:r>
    </w:p>
    <w:p w14:paraId="44D4BE7B" w14:textId="22C0A4DA" w:rsidR="00972B20" w:rsidRDefault="000A3C17" w:rsidP="00972B20">
      <w:pPr>
        <w:snapToGrid w:val="0"/>
        <w:spacing w:beforeLines="50" w:before="180"/>
        <w:ind w:firstLineChars="241" w:firstLine="50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令和３年</w:t>
      </w:r>
      <w:r w:rsidR="00680449">
        <w:rPr>
          <w:rFonts w:ascii="ＭＳ ゴシック" w:eastAsia="ＭＳ ゴシック" w:hAnsi="ＭＳ ゴシック" w:hint="eastAsia"/>
          <w:szCs w:val="21"/>
        </w:rPr>
        <w:t>度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B0C01">
        <w:rPr>
          <w:rFonts w:ascii="ＭＳ ゴシック" w:eastAsia="ＭＳ ゴシック" w:hAnsi="ＭＳ ゴシック" w:hint="eastAsia"/>
          <w:szCs w:val="21"/>
        </w:rPr>
        <w:t>４，６８８件</w:t>
      </w:r>
      <w:r w:rsidR="00EB1387">
        <w:rPr>
          <w:rFonts w:ascii="ＭＳ ゴシック" w:eastAsia="ＭＳ ゴシック" w:hAnsi="ＭＳ ゴシック" w:hint="eastAsia"/>
          <w:szCs w:val="21"/>
        </w:rPr>
        <w:t>（うち６０～７０代：１，２５２件）</w:t>
      </w:r>
    </w:p>
    <w:p w14:paraId="02774E41" w14:textId="7648CC10" w:rsidR="00972B20" w:rsidRDefault="00072C29" w:rsidP="00972B20">
      <w:pPr>
        <w:snapToGrid w:val="0"/>
        <w:spacing w:beforeLines="50" w:before="180"/>
        <w:ind w:firstLineChars="241" w:firstLine="50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018F4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680449">
        <w:rPr>
          <w:rFonts w:ascii="ＭＳ ゴシック" w:eastAsia="ＭＳ ゴシック" w:hAnsi="ＭＳ ゴシック" w:hint="eastAsia"/>
          <w:szCs w:val="21"/>
        </w:rPr>
        <w:t>度</w:t>
      </w:r>
      <w:r w:rsidR="00C06DA3">
        <w:rPr>
          <w:rFonts w:ascii="ＭＳ ゴシック" w:eastAsia="ＭＳ ゴシック" w:hAnsi="ＭＳ ゴシック" w:hint="eastAsia"/>
          <w:szCs w:val="21"/>
        </w:rPr>
        <w:t>：</w:t>
      </w:r>
      <w:r w:rsidR="002018F4" w:rsidRPr="002018F4">
        <w:rPr>
          <w:rFonts w:ascii="ＭＳ ゴシック" w:eastAsia="ＭＳ ゴシック" w:hAnsi="ＭＳ ゴシック" w:hint="eastAsia"/>
          <w:szCs w:val="21"/>
        </w:rPr>
        <w:t>４，５４０件（</w:t>
      </w:r>
      <w:r w:rsidR="002018F4" w:rsidRPr="000135F6">
        <w:rPr>
          <w:rFonts w:ascii="ＭＳ ゴシック" w:eastAsia="ＭＳ ゴシック" w:hAnsi="ＭＳ ゴシック" w:hint="eastAsia"/>
          <w:szCs w:val="21"/>
        </w:rPr>
        <w:t>う</w:t>
      </w:r>
      <w:r w:rsidR="00AF4A21" w:rsidRPr="000135F6">
        <w:rPr>
          <w:rFonts w:ascii="ＭＳ ゴシック" w:eastAsia="ＭＳ ゴシック" w:hAnsi="ＭＳ ゴシック" w:hint="eastAsia"/>
          <w:szCs w:val="21"/>
        </w:rPr>
        <w:t>ち６０～７０</w:t>
      </w:r>
      <w:r w:rsidR="006F2B6E" w:rsidRPr="000135F6">
        <w:rPr>
          <w:rFonts w:ascii="ＭＳ ゴシック" w:eastAsia="ＭＳ ゴシック" w:hAnsi="ＭＳ ゴシック" w:hint="eastAsia"/>
          <w:szCs w:val="21"/>
        </w:rPr>
        <w:t>代</w:t>
      </w:r>
      <w:r w:rsidR="00AF4A21" w:rsidRPr="000135F6">
        <w:rPr>
          <w:rFonts w:ascii="ＭＳ ゴシック" w:eastAsia="ＭＳ ゴシック" w:hAnsi="ＭＳ ゴシック" w:hint="eastAsia"/>
          <w:szCs w:val="21"/>
        </w:rPr>
        <w:t>：１，４７８件）</w:t>
      </w:r>
    </w:p>
    <w:p w14:paraId="45246920" w14:textId="44D5AA4A" w:rsidR="00072C29" w:rsidRPr="006D5DEF" w:rsidRDefault="00C06DA3" w:rsidP="00680449">
      <w:pPr>
        <w:snapToGrid w:val="0"/>
        <w:spacing w:beforeLines="50" w:before="180"/>
        <w:ind w:firstLineChars="241" w:firstLine="50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令和５年</w:t>
      </w:r>
      <w:r w:rsidR="00680449">
        <w:rPr>
          <w:rFonts w:ascii="ＭＳ ゴシック" w:eastAsia="ＭＳ ゴシック" w:hAnsi="ＭＳ ゴシック" w:hint="eastAsia"/>
          <w:szCs w:val="21"/>
        </w:rPr>
        <w:t>度</w:t>
      </w:r>
      <w:r>
        <w:rPr>
          <w:rFonts w:ascii="ＭＳ ゴシック" w:eastAsia="ＭＳ ゴシック" w:hAnsi="ＭＳ ゴシック" w:hint="eastAsia"/>
          <w:szCs w:val="21"/>
        </w:rPr>
        <w:t>：３，８０５件</w:t>
      </w:r>
      <w:r w:rsidR="00AF4A21">
        <w:rPr>
          <w:rFonts w:ascii="ＭＳ ゴシック" w:eastAsia="ＭＳ ゴシック" w:hAnsi="ＭＳ ゴシック" w:hint="eastAsia"/>
          <w:szCs w:val="21"/>
        </w:rPr>
        <w:t>（うち６０～７０</w:t>
      </w:r>
      <w:r w:rsidR="006F2B6E" w:rsidRPr="006F2B6E">
        <w:rPr>
          <w:rFonts w:ascii="ＭＳ ゴシック" w:eastAsia="ＭＳ ゴシック" w:hAnsi="ＭＳ ゴシック" w:hint="eastAsia"/>
          <w:szCs w:val="21"/>
        </w:rPr>
        <w:t>代</w:t>
      </w:r>
      <w:r w:rsidR="00AF4A21">
        <w:rPr>
          <w:rFonts w:ascii="ＭＳ ゴシック" w:eastAsia="ＭＳ ゴシック" w:hAnsi="ＭＳ ゴシック" w:hint="eastAsia"/>
          <w:szCs w:val="21"/>
        </w:rPr>
        <w:t>：１，５８２件）</w:t>
      </w:r>
    </w:p>
    <w:p w14:paraId="302086B5" w14:textId="53F2BA5D" w:rsidR="007048D0" w:rsidRDefault="007048D0" w:rsidP="007048D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 （４月～１１月）</w:t>
      </w:r>
    </w:p>
    <w:p w14:paraId="262399FA" w14:textId="77777777" w:rsidR="007048D0" w:rsidRPr="006D5DEF" w:rsidRDefault="007048D0" w:rsidP="007048D0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18092F" w14:textId="23CF4E8B" w:rsidR="00DB7953" w:rsidRPr="00F218A3" w:rsidRDefault="001A5A7B" w:rsidP="00C06DA3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218A3">
        <w:rPr>
          <w:rFonts w:ascii="ＭＳ ゴシック" w:eastAsia="ＭＳ ゴシック" w:hAnsi="ＭＳ ゴシック" w:hint="eastAsia"/>
          <w:b/>
          <w:sz w:val="24"/>
        </w:rPr>
        <w:t>＜</w:t>
      </w:r>
      <w:r w:rsidR="005134EB" w:rsidRPr="00F218A3">
        <w:rPr>
          <w:rFonts w:ascii="ＭＳ ゴシック" w:eastAsia="ＭＳ ゴシック" w:hAnsi="ＭＳ ゴシック" w:hint="eastAsia"/>
          <w:b/>
          <w:sz w:val="24"/>
        </w:rPr>
        <w:t>令和</w:t>
      </w:r>
      <w:r w:rsidR="00C06DA3">
        <w:rPr>
          <w:rFonts w:ascii="ＭＳ ゴシック" w:eastAsia="ＭＳ ゴシック" w:hAnsi="ＭＳ ゴシック" w:hint="eastAsia"/>
          <w:b/>
          <w:sz w:val="24"/>
        </w:rPr>
        <w:t>６</w:t>
      </w:r>
      <w:r w:rsidR="005134EB" w:rsidRPr="00F218A3">
        <w:rPr>
          <w:rFonts w:ascii="ＭＳ ゴシック" w:eastAsia="ＭＳ ゴシック" w:hAnsi="ＭＳ ゴシック" w:hint="eastAsia"/>
          <w:b/>
          <w:sz w:val="24"/>
        </w:rPr>
        <w:t>年度</w:t>
      </w:r>
      <w:r w:rsidR="005001AF" w:rsidRPr="00F218A3">
        <w:rPr>
          <w:rFonts w:ascii="ＭＳ ゴシック" w:eastAsia="ＭＳ ゴシック" w:hAnsi="ＭＳ ゴシック" w:hint="eastAsia"/>
          <w:b/>
          <w:sz w:val="24"/>
        </w:rPr>
        <w:t>の取組</w:t>
      </w:r>
      <w:r w:rsidR="006D5DEF" w:rsidRPr="00F218A3">
        <w:rPr>
          <w:rFonts w:ascii="ＭＳ ゴシック" w:eastAsia="ＭＳ ゴシック" w:hAnsi="ＭＳ ゴシック" w:hint="eastAsia"/>
          <w:b/>
          <w:sz w:val="24"/>
        </w:rPr>
        <w:t>の方向性</w:t>
      </w:r>
      <w:r w:rsidRPr="00F218A3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42070FE4" w14:textId="38B49E41" w:rsidR="00C924FE" w:rsidRPr="003F7ACE" w:rsidRDefault="00972B20" w:rsidP="003F7ACE">
      <w:pPr>
        <w:ind w:leftChars="202" w:left="424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6D5DEF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4624" behindDoc="0" locked="0" layoutInCell="1" allowOverlap="1" wp14:anchorId="7BA67CB1" wp14:editId="47A2FF45">
            <wp:simplePos x="0" y="0"/>
            <wp:positionH relativeFrom="margin">
              <wp:posOffset>5590251</wp:posOffset>
            </wp:positionH>
            <wp:positionV relativeFrom="paragraph">
              <wp:posOffset>132830</wp:posOffset>
            </wp:positionV>
            <wp:extent cx="907473" cy="907473"/>
            <wp:effectExtent l="0" t="0" r="6985" b="0"/>
            <wp:wrapNone/>
            <wp:docPr id="5" name="図 5" descr="D:\YamanoR\Downloads\medical_saikets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manoR\Downloads\medical_saiketsu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33" cy="9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A3">
        <w:rPr>
          <w:rFonts w:ascii="ＭＳ ゴシック" w:eastAsia="ＭＳ ゴシック" w:hAnsi="ＭＳ ゴシック" w:hint="eastAsia"/>
          <w:sz w:val="22"/>
          <w:szCs w:val="21"/>
        </w:rPr>
        <w:t>令和５年度までの効果を踏まえ、拠点病院、サポート薬局、企業、市町村等と連携した取り組みを継続して実施</w:t>
      </w:r>
    </w:p>
    <w:sectPr w:rsidR="00C924FE" w:rsidRPr="003F7ACE" w:rsidSect="003444F2">
      <w:pgSz w:w="11906" w:h="16838"/>
      <w:pgMar w:top="567" w:right="849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CDD7" w14:textId="77777777" w:rsidR="00EB4E7F" w:rsidRDefault="00EB4E7F" w:rsidP="004738DF">
      <w:r>
        <w:separator/>
      </w:r>
    </w:p>
  </w:endnote>
  <w:endnote w:type="continuationSeparator" w:id="0">
    <w:p w14:paraId="7B473ABE" w14:textId="77777777" w:rsidR="00EB4E7F" w:rsidRDefault="00EB4E7F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1CD2" w14:textId="77777777" w:rsidR="00EB4E7F" w:rsidRDefault="00EB4E7F" w:rsidP="004738DF">
      <w:r>
        <w:separator/>
      </w:r>
    </w:p>
  </w:footnote>
  <w:footnote w:type="continuationSeparator" w:id="0">
    <w:p w14:paraId="6C656776" w14:textId="77777777" w:rsidR="00EB4E7F" w:rsidRDefault="00EB4E7F" w:rsidP="0047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9F"/>
    <w:rsid w:val="000135F6"/>
    <w:rsid w:val="0001438C"/>
    <w:rsid w:val="000143EE"/>
    <w:rsid w:val="00020185"/>
    <w:rsid w:val="00027F6B"/>
    <w:rsid w:val="00031F4D"/>
    <w:rsid w:val="00032DE1"/>
    <w:rsid w:val="00035C14"/>
    <w:rsid w:val="0005166D"/>
    <w:rsid w:val="00052EF7"/>
    <w:rsid w:val="00057D89"/>
    <w:rsid w:val="00072C29"/>
    <w:rsid w:val="00073416"/>
    <w:rsid w:val="0007416E"/>
    <w:rsid w:val="00083327"/>
    <w:rsid w:val="00096A92"/>
    <w:rsid w:val="000A034F"/>
    <w:rsid w:val="000A3C17"/>
    <w:rsid w:val="000B2E60"/>
    <w:rsid w:val="000C0FAB"/>
    <w:rsid w:val="000C2223"/>
    <w:rsid w:val="000C2283"/>
    <w:rsid w:val="000C3824"/>
    <w:rsid w:val="000C6557"/>
    <w:rsid w:val="000E6B77"/>
    <w:rsid w:val="000F36A5"/>
    <w:rsid w:val="0010401C"/>
    <w:rsid w:val="001064B1"/>
    <w:rsid w:val="00111CCA"/>
    <w:rsid w:val="00120E29"/>
    <w:rsid w:val="00123AF7"/>
    <w:rsid w:val="001242AF"/>
    <w:rsid w:val="001249F9"/>
    <w:rsid w:val="00127DB2"/>
    <w:rsid w:val="0013764E"/>
    <w:rsid w:val="00144E00"/>
    <w:rsid w:val="0014668D"/>
    <w:rsid w:val="0015120C"/>
    <w:rsid w:val="0017121A"/>
    <w:rsid w:val="00180871"/>
    <w:rsid w:val="001A5A7B"/>
    <w:rsid w:val="001B0241"/>
    <w:rsid w:val="001B029F"/>
    <w:rsid w:val="001B168D"/>
    <w:rsid w:val="001B41BE"/>
    <w:rsid w:val="001B7743"/>
    <w:rsid w:val="001C1784"/>
    <w:rsid w:val="002018F4"/>
    <w:rsid w:val="00206B76"/>
    <w:rsid w:val="0020751A"/>
    <w:rsid w:val="002111DF"/>
    <w:rsid w:val="00215D02"/>
    <w:rsid w:val="0022156E"/>
    <w:rsid w:val="00221CFE"/>
    <w:rsid w:val="00230A33"/>
    <w:rsid w:val="0024526A"/>
    <w:rsid w:val="00260789"/>
    <w:rsid w:val="00263D7D"/>
    <w:rsid w:val="002714D6"/>
    <w:rsid w:val="00273AEF"/>
    <w:rsid w:val="00275EF5"/>
    <w:rsid w:val="002B3B95"/>
    <w:rsid w:val="002B5436"/>
    <w:rsid w:val="002B72EA"/>
    <w:rsid w:val="002E71ED"/>
    <w:rsid w:val="002E72DB"/>
    <w:rsid w:val="002F3F52"/>
    <w:rsid w:val="002F6D5E"/>
    <w:rsid w:val="0030176A"/>
    <w:rsid w:val="00313DA2"/>
    <w:rsid w:val="00316DC6"/>
    <w:rsid w:val="00323895"/>
    <w:rsid w:val="00325CF3"/>
    <w:rsid w:val="003444F2"/>
    <w:rsid w:val="00354CE9"/>
    <w:rsid w:val="00364A0D"/>
    <w:rsid w:val="003A2DE9"/>
    <w:rsid w:val="003A3080"/>
    <w:rsid w:val="003A625F"/>
    <w:rsid w:val="003D1FC1"/>
    <w:rsid w:val="003D4B44"/>
    <w:rsid w:val="003F3839"/>
    <w:rsid w:val="003F5621"/>
    <w:rsid w:val="003F6656"/>
    <w:rsid w:val="003F7ACE"/>
    <w:rsid w:val="003F7CC8"/>
    <w:rsid w:val="00405809"/>
    <w:rsid w:val="004102D4"/>
    <w:rsid w:val="00410389"/>
    <w:rsid w:val="004132A8"/>
    <w:rsid w:val="004216CA"/>
    <w:rsid w:val="00422702"/>
    <w:rsid w:val="00423C58"/>
    <w:rsid w:val="0044751F"/>
    <w:rsid w:val="00454CB1"/>
    <w:rsid w:val="00462F30"/>
    <w:rsid w:val="00472ABA"/>
    <w:rsid w:val="004738DF"/>
    <w:rsid w:val="00487FF5"/>
    <w:rsid w:val="004927B2"/>
    <w:rsid w:val="0049475C"/>
    <w:rsid w:val="004A46AB"/>
    <w:rsid w:val="004A66AE"/>
    <w:rsid w:val="004C480B"/>
    <w:rsid w:val="004C509F"/>
    <w:rsid w:val="004E3E13"/>
    <w:rsid w:val="004F0CD5"/>
    <w:rsid w:val="004F3295"/>
    <w:rsid w:val="004F34B1"/>
    <w:rsid w:val="004F5A2C"/>
    <w:rsid w:val="005000EA"/>
    <w:rsid w:val="005001AF"/>
    <w:rsid w:val="005134EB"/>
    <w:rsid w:val="00526FC5"/>
    <w:rsid w:val="00530B61"/>
    <w:rsid w:val="00553AA6"/>
    <w:rsid w:val="00563718"/>
    <w:rsid w:val="005733B1"/>
    <w:rsid w:val="00573E5A"/>
    <w:rsid w:val="00576763"/>
    <w:rsid w:val="00586602"/>
    <w:rsid w:val="00594A5C"/>
    <w:rsid w:val="005C06B3"/>
    <w:rsid w:val="005D0DE2"/>
    <w:rsid w:val="005D1C08"/>
    <w:rsid w:val="005E4DF0"/>
    <w:rsid w:val="005F30A5"/>
    <w:rsid w:val="005F3A0C"/>
    <w:rsid w:val="005F52A4"/>
    <w:rsid w:val="006032A2"/>
    <w:rsid w:val="006447A9"/>
    <w:rsid w:val="00650F62"/>
    <w:rsid w:val="00667778"/>
    <w:rsid w:val="00671EF8"/>
    <w:rsid w:val="0067596C"/>
    <w:rsid w:val="00680449"/>
    <w:rsid w:val="0069078F"/>
    <w:rsid w:val="00691C0B"/>
    <w:rsid w:val="006A6D29"/>
    <w:rsid w:val="006D5DEF"/>
    <w:rsid w:val="006F2B6E"/>
    <w:rsid w:val="007048D0"/>
    <w:rsid w:val="00744D5A"/>
    <w:rsid w:val="00744E8F"/>
    <w:rsid w:val="00751661"/>
    <w:rsid w:val="007523E1"/>
    <w:rsid w:val="00755211"/>
    <w:rsid w:val="00762CA4"/>
    <w:rsid w:val="00767793"/>
    <w:rsid w:val="00772795"/>
    <w:rsid w:val="0078016A"/>
    <w:rsid w:val="00784F8E"/>
    <w:rsid w:val="007852FE"/>
    <w:rsid w:val="007B0C01"/>
    <w:rsid w:val="007B2DEE"/>
    <w:rsid w:val="007E06A3"/>
    <w:rsid w:val="007F346B"/>
    <w:rsid w:val="00807640"/>
    <w:rsid w:val="00810A1E"/>
    <w:rsid w:val="00823F1B"/>
    <w:rsid w:val="00826A1E"/>
    <w:rsid w:val="00833EDD"/>
    <w:rsid w:val="008707A3"/>
    <w:rsid w:val="00895689"/>
    <w:rsid w:val="008A79AA"/>
    <w:rsid w:val="008B4719"/>
    <w:rsid w:val="008C4B09"/>
    <w:rsid w:val="008D18DC"/>
    <w:rsid w:val="008D2837"/>
    <w:rsid w:val="008E1B39"/>
    <w:rsid w:val="008E5744"/>
    <w:rsid w:val="008F0ABA"/>
    <w:rsid w:val="008F6808"/>
    <w:rsid w:val="00917903"/>
    <w:rsid w:val="009232CA"/>
    <w:rsid w:val="00923818"/>
    <w:rsid w:val="00931064"/>
    <w:rsid w:val="00933921"/>
    <w:rsid w:val="00944BF0"/>
    <w:rsid w:val="00945681"/>
    <w:rsid w:val="00945CF2"/>
    <w:rsid w:val="00945E4B"/>
    <w:rsid w:val="0096101F"/>
    <w:rsid w:val="00967938"/>
    <w:rsid w:val="00972B20"/>
    <w:rsid w:val="00993519"/>
    <w:rsid w:val="009C6919"/>
    <w:rsid w:val="009C7A4E"/>
    <w:rsid w:val="009E7CF0"/>
    <w:rsid w:val="009F17AE"/>
    <w:rsid w:val="009F3619"/>
    <w:rsid w:val="009F71BB"/>
    <w:rsid w:val="00A049C1"/>
    <w:rsid w:val="00A14A23"/>
    <w:rsid w:val="00A15DDA"/>
    <w:rsid w:val="00A32459"/>
    <w:rsid w:val="00A407C5"/>
    <w:rsid w:val="00A60854"/>
    <w:rsid w:val="00AB421D"/>
    <w:rsid w:val="00AC51E8"/>
    <w:rsid w:val="00AC6B01"/>
    <w:rsid w:val="00AD0417"/>
    <w:rsid w:val="00AD0911"/>
    <w:rsid w:val="00AF4A21"/>
    <w:rsid w:val="00B03F27"/>
    <w:rsid w:val="00B17799"/>
    <w:rsid w:val="00B4094F"/>
    <w:rsid w:val="00B461DA"/>
    <w:rsid w:val="00B53015"/>
    <w:rsid w:val="00B5485F"/>
    <w:rsid w:val="00B54CA3"/>
    <w:rsid w:val="00B63466"/>
    <w:rsid w:val="00B63F65"/>
    <w:rsid w:val="00B72AC4"/>
    <w:rsid w:val="00BA223E"/>
    <w:rsid w:val="00BB4854"/>
    <w:rsid w:val="00BB7703"/>
    <w:rsid w:val="00BC44E3"/>
    <w:rsid w:val="00BC62D6"/>
    <w:rsid w:val="00BE4D3D"/>
    <w:rsid w:val="00BF0142"/>
    <w:rsid w:val="00BF3BBE"/>
    <w:rsid w:val="00C04F83"/>
    <w:rsid w:val="00C06DA3"/>
    <w:rsid w:val="00C079CF"/>
    <w:rsid w:val="00C31B49"/>
    <w:rsid w:val="00C326AA"/>
    <w:rsid w:val="00C53093"/>
    <w:rsid w:val="00C55E33"/>
    <w:rsid w:val="00C56416"/>
    <w:rsid w:val="00C56CDE"/>
    <w:rsid w:val="00C60312"/>
    <w:rsid w:val="00C61702"/>
    <w:rsid w:val="00C625D9"/>
    <w:rsid w:val="00C70624"/>
    <w:rsid w:val="00C70B67"/>
    <w:rsid w:val="00C7259D"/>
    <w:rsid w:val="00C9166A"/>
    <w:rsid w:val="00C924FE"/>
    <w:rsid w:val="00CA3271"/>
    <w:rsid w:val="00CD45C8"/>
    <w:rsid w:val="00CE432B"/>
    <w:rsid w:val="00CF37AD"/>
    <w:rsid w:val="00D072F4"/>
    <w:rsid w:val="00D170BC"/>
    <w:rsid w:val="00D31F05"/>
    <w:rsid w:val="00D33A30"/>
    <w:rsid w:val="00D34E35"/>
    <w:rsid w:val="00D4507C"/>
    <w:rsid w:val="00D46078"/>
    <w:rsid w:val="00D712DE"/>
    <w:rsid w:val="00D90743"/>
    <w:rsid w:val="00DA1CF4"/>
    <w:rsid w:val="00DB7953"/>
    <w:rsid w:val="00DC513F"/>
    <w:rsid w:val="00DC5D54"/>
    <w:rsid w:val="00DD7AD5"/>
    <w:rsid w:val="00DE631D"/>
    <w:rsid w:val="00DE75E5"/>
    <w:rsid w:val="00DF1E09"/>
    <w:rsid w:val="00DF24F0"/>
    <w:rsid w:val="00DF399C"/>
    <w:rsid w:val="00E10303"/>
    <w:rsid w:val="00E14580"/>
    <w:rsid w:val="00E15D70"/>
    <w:rsid w:val="00E31CC4"/>
    <w:rsid w:val="00E34318"/>
    <w:rsid w:val="00E451A8"/>
    <w:rsid w:val="00E63F6B"/>
    <w:rsid w:val="00E72BBE"/>
    <w:rsid w:val="00E827F5"/>
    <w:rsid w:val="00E82913"/>
    <w:rsid w:val="00E92CF0"/>
    <w:rsid w:val="00EB1387"/>
    <w:rsid w:val="00EB4711"/>
    <w:rsid w:val="00EB4E7F"/>
    <w:rsid w:val="00ED242B"/>
    <w:rsid w:val="00ED4930"/>
    <w:rsid w:val="00F06ACE"/>
    <w:rsid w:val="00F120E4"/>
    <w:rsid w:val="00F1492A"/>
    <w:rsid w:val="00F218A3"/>
    <w:rsid w:val="00F228D9"/>
    <w:rsid w:val="00F27BA2"/>
    <w:rsid w:val="00F32F09"/>
    <w:rsid w:val="00F339FE"/>
    <w:rsid w:val="00F375BA"/>
    <w:rsid w:val="00F37E71"/>
    <w:rsid w:val="00F433F4"/>
    <w:rsid w:val="00F62FD2"/>
    <w:rsid w:val="00F6379A"/>
    <w:rsid w:val="00F64830"/>
    <w:rsid w:val="00F7176F"/>
    <w:rsid w:val="00F7418D"/>
    <w:rsid w:val="00F75BEE"/>
    <w:rsid w:val="00F81443"/>
    <w:rsid w:val="00F95EA4"/>
    <w:rsid w:val="00FA570E"/>
    <w:rsid w:val="00FB6D72"/>
    <w:rsid w:val="00FD19BF"/>
    <w:rsid w:val="00FD35C6"/>
    <w:rsid w:val="00FE0EFF"/>
    <w:rsid w:val="00FE440E"/>
    <w:rsid w:val="00FF750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EE88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character" w:styleId="aa">
    <w:name w:val="Hyperlink"/>
    <w:basedOn w:val="a0"/>
    <w:uiPriority w:val="99"/>
    <w:unhideWhenUsed/>
    <w:rsid w:val="00E92C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45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37AA-077D-4DB2-8AAE-7C95EA1D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原戸　冴</dc:creator>
  <cp:keywords/>
  <dc:description/>
  <cp:lastModifiedBy>原戸　冴</cp:lastModifiedBy>
  <cp:revision>196</cp:revision>
  <cp:lastPrinted>2023-02-10T07:56:00Z</cp:lastPrinted>
  <dcterms:created xsi:type="dcterms:W3CDTF">2020-01-24T01:01:00Z</dcterms:created>
  <dcterms:modified xsi:type="dcterms:W3CDTF">2024-02-28T05:04:00Z</dcterms:modified>
</cp:coreProperties>
</file>