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1B68"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第１章　施策推進の基本的な考え方</w:t>
      </w:r>
    </w:p>
    <w:p w14:paraId="7A265E63"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p>
    <w:p w14:paraId="2CFFF49A" w14:textId="10FBB479"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大阪府の高齢者人口は、今後も増加傾向が続き、大阪府人口ビジョンによると、高齢化率も平成27年度に26.5％であったものが平成47年度には32.4％に上昇し、府民の</w:t>
      </w:r>
      <w:r w:rsidR="00C03038">
        <w:rPr>
          <w:rFonts w:asciiTheme="majorEastAsia" w:eastAsiaTheme="majorEastAsia" w:hAnsiTheme="majorEastAsia" w:hint="eastAsia"/>
          <w:sz w:val="24"/>
          <w:szCs w:val="24"/>
        </w:rPr>
        <w:t>3</w:t>
      </w:r>
      <w:r w:rsidRPr="00121B67">
        <w:rPr>
          <w:rFonts w:asciiTheme="majorEastAsia" w:eastAsiaTheme="majorEastAsia" w:hAnsiTheme="majorEastAsia" w:hint="eastAsia"/>
          <w:sz w:val="24"/>
          <w:szCs w:val="24"/>
        </w:rPr>
        <w:t>人に</w:t>
      </w:r>
      <w:r w:rsidR="00C03038">
        <w:rPr>
          <w:rFonts w:asciiTheme="majorEastAsia" w:eastAsiaTheme="majorEastAsia" w:hAnsiTheme="majorEastAsia" w:hint="eastAsia"/>
          <w:sz w:val="24"/>
          <w:szCs w:val="24"/>
        </w:rPr>
        <w:t>1</w:t>
      </w:r>
      <w:r w:rsidRPr="00121B67">
        <w:rPr>
          <w:rFonts w:asciiTheme="majorEastAsia" w:eastAsiaTheme="majorEastAsia" w:hAnsiTheme="majorEastAsia" w:hint="eastAsia"/>
          <w:sz w:val="24"/>
          <w:szCs w:val="24"/>
        </w:rPr>
        <w:t>人が65歳以上の高齢者になると予想されています。</w:t>
      </w:r>
    </w:p>
    <w:p w14:paraId="72577C81" w14:textId="004A93CA"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世帯数でみても、高齢単身世帯数は今後も一貫して増加していくと予測され、平成27年に54万世帯、全世帯の</w:t>
      </w:r>
      <w:r w:rsidR="007A747F">
        <w:rPr>
          <w:rFonts w:asciiTheme="majorEastAsia" w:eastAsiaTheme="majorEastAsia" w:hAnsiTheme="majorEastAsia" w:hint="eastAsia"/>
          <w:sz w:val="24"/>
          <w:szCs w:val="24"/>
        </w:rPr>
        <w:t>13.7</w:t>
      </w:r>
      <w:r w:rsidRPr="00121B67">
        <w:rPr>
          <w:rFonts w:asciiTheme="majorEastAsia" w:eastAsiaTheme="majorEastAsia" w:hAnsiTheme="majorEastAsia" w:hint="eastAsia"/>
          <w:sz w:val="24"/>
          <w:szCs w:val="24"/>
        </w:rPr>
        <w:t>％を占めていたものが、平成47年には65万世帯、全世帯の</w:t>
      </w:r>
      <w:r w:rsidR="007A747F">
        <w:rPr>
          <w:rFonts w:asciiTheme="majorEastAsia" w:eastAsiaTheme="majorEastAsia" w:hAnsiTheme="majorEastAsia" w:hint="eastAsia"/>
          <w:sz w:val="24"/>
          <w:szCs w:val="24"/>
        </w:rPr>
        <w:t>17.4</w:t>
      </w:r>
      <w:r w:rsidRPr="00121B67">
        <w:rPr>
          <w:rFonts w:asciiTheme="majorEastAsia" w:eastAsiaTheme="majorEastAsia" w:hAnsiTheme="majorEastAsia" w:hint="eastAsia"/>
          <w:sz w:val="24"/>
          <w:szCs w:val="24"/>
        </w:rPr>
        <w:t>％を占めるものと予想されます。</w:t>
      </w:r>
    </w:p>
    <w:p w14:paraId="2150426C" w14:textId="48146E18"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また、大阪府内の身体障がい者手帳、療育手帳及び精神障がい者保健福祉手帳の</w:t>
      </w:r>
      <w:r>
        <w:rPr>
          <w:rFonts w:asciiTheme="majorEastAsia" w:eastAsiaTheme="majorEastAsia" w:hAnsiTheme="majorEastAsia" w:hint="eastAsia"/>
          <w:sz w:val="24"/>
          <w:szCs w:val="24"/>
        </w:rPr>
        <w:t>所持者</w:t>
      </w:r>
      <w:r w:rsidRPr="00121B67">
        <w:rPr>
          <w:rFonts w:asciiTheme="majorEastAsia" w:eastAsiaTheme="majorEastAsia" w:hAnsiTheme="majorEastAsia" w:hint="eastAsia"/>
          <w:sz w:val="24"/>
          <w:szCs w:val="24"/>
        </w:rPr>
        <w:t>数は、平成27年度末時点で府民の約6％に当たる54万人で、</w:t>
      </w:r>
      <w:r w:rsidR="007A747F">
        <w:rPr>
          <w:rFonts w:asciiTheme="majorEastAsia" w:eastAsiaTheme="majorEastAsia" w:hAnsiTheme="majorEastAsia" w:hint="eastAsia"/>
          <w:sz w:val="24"/>
          <w:szCs w:val="24"/>
        </w:rPr>
        <w:t>障がい者手帳所持者数が</w:t>
      </w:r>
      <w:r w:rsidRPr="00121B67">
        <w:rPr>
          <w:rFonts w:asciiTheme="majorEastAsia" w:eastAsiaTheme="majorEastAsia" w:hAnsiTheme="majorEastAsia" w:hint="eastAsia"/>
          <w:sz w:val="24"/>
          <w:szCs w:val="24"/>
        </w:rPr>
        <w:t>毎年１万人前後</w:t>
      </w:r>
      <w:r w:rsidR="007A747F">
        <w:rPr>
          <w:rFonts w:asciiTheme="majorEastAsia" w:eastAsiaTheme="majorEastAsia" w:hAnsiTheme="majorEastAsia" w:hint="eastAsia"/>
          <w:sz w:val="24"/>
          <w:szCs w:val="24"/>
        </w:rPr>
        <w:t>の</w:t>
      </w:r>
      <w:r w:rsidRPr="00121B67">
        <w:rPr>
          <w:rFonts w:asciiTheme="majorEastAsia" w:eastAsiaTheme="majorEastAsia" w:hAnsiTheme="majorEastAsia" w:hint="eastAsia"/>
          <w:sz w:val="24"/>
          <w:szCs w:val="24"/>
        </w:rPr>
        <w:t>増加傾向が続いています。</w:t>
      </w:r>
    </w:p>
    <w:p w14:paraId="1F10EFE5" w14:textId="77777777" w:rsidR="00FA083E" w:rsidRPr="00A054E3" w:rsidRDefault="00FA083E" w:rsidP="00FA083E">
      <w:pPr>
        <w:ind w:left="240" w:hangingChars="100" w:hanging="240"/>
        <w:rPr>
          <w:rFonts w:asciiTheme="majorEastAsia" w:eastAsiaTheme="majorEastAsia" w:hAnsiTheme="majorEastAsia"/>
          <w:sz w:val="24"/>
          <w:szCs w:val="24"/>
        </w:rPr>
      </w:pPr>
    </w:p>
    <w:p w14:paraId="67CFE2AE" w14:textId="5537586C"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住宅ストックの状況</w:t>
      </w:r>
      <w:r w:rsidR="00963CC9">
        <w:rPr>
          <w:rFonts w:asciiTheme="majorEastAsia" w:eastAsiaTheme="majorEastAsia" w:hAnsiTheme="majorEastAsia" w:hint="eastAsia"/>
          <w:sz w:val="24"/>
          <w:szCs w:val="24"/>
        </w:rPr>
        <w:t>は</w:t>
      </w:r>
      <w:r w:rsidRPr="00121B67">
        <w:rPr>
          <w:rFonts w:asciiTheme="majorEastAsia" w:eastAsiaTheme="majorEastAsia" w:hAnsiTheme="majorEastAsia" w:hint="eastAsia"/>
          <w:sz w:val="24"/>
          <w:szCs w:val="24"/>
        </w:rPr>
        <w:t>、</w:t>
      </w:r>
      <w:r w:rsidR="00963CC9">
        <w:rPr>
          <w:rFonts w:asciiTheme="majorEastAsia" w:eastAsiaTheme="majorEastAsia" w:hAnsiTheme="majorEastAsia" w:hint="eastAsia"/>
          <w:sz w:val="24"/>
          <w:szCs w:val="24"/>
        </w:rPr>
        <w:t>「平成25年住宅・土地統計調査」（総務省）</w:t>
      </w:r>
      <w:r w:rsidRPr="00121B67">
        <w:rPr>
          <w:rFonts w:asciiTheme="majorEastAsia" w:eastAsiaTheme="majorEastAsia" w:hAnsiTheme="majorEastAsia" w:hint="eastAsia"/>
          <w:sz w:val="24"/>
          <w:szCs w:val="24"/>
        </w:rPr>
        <w:t>によると、大阪府内の住宅総数は459万戸で、そのうち約47％にあたる214万戸が賃貸住宅です。その賃貸住宅の75％にあたる161万戸が民間賃貸住宅で、20％にあたる43万戸が公的賃貸住宅となっています。</w:t>
      </w:r>
    </w:p>
    <w:p w14:paraId="2D3819C9"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また、空家数は年々増加しており、平成25年に空家数は67.9万戸、空家率は14.8％、このうち賃貸用の空家は41.9万戸で、腐朽・破損のない賃貸用の空家は30.5万戸あります。</w:t>
      </w:r>
    </w:p>
    <w:p w14:paraId="5C41EF1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こうした空家を有効活用することで高齢者や障がい者の居住の安定確保を図ることが重要です。</w:t>
      </w:r>
    </w:p>
    <w:p w14:paraId="687D17BF" w14:textId="77777777" w:rsidR="00FA083E" w:rsidRPr="00121B67" w:rsidRDefault="00FA083E" w:rsidP="00FA083E">
      <w:pPr>
        <w:rPr>
          <w:rFonts w:asciiTheme="majorEastAsia" w:eastAsiaTheme="majorEastAsia" w:hAnsiTheme="majorEastAsia"/>
          <w:sz w:val="24"/>
          <w:szCs w:val="24"/>
        </w:rPr>
      </w:pPr>
    </w:p>
    <w:p w14:paraId="2204D98C" w14:textId="474812E8"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w:t>
      </w:r>
      <w:r w:rsidR="00963CC9">
        <w:rPr>
          <w:rFonts w:asciiTheme="majorEastAsia" w:eastAsiaTheme="majorEastAsia" w:hAnsiTheme="majorEastAsia" w:hint="eastAsia"/>
          <w:sz w:val="24"/>
          <w:szCs w:val="24"/>
        </w:rPr>
        <w:t>以上</w:t>
      </w:r>
      <w:r w:rsidRPr="00121B67">
        <w:rPr>
          <w:rFonts w:asciiTheme="majorEastAsia" w:eastAsiaTheme="majorEastAsia" w:hAnsiTheme="majorEastAsia" w:hint="eastAsia"/>
          <w:sz w:val="24"/>
          <w:szCs w:val="24"/>
        </w:rPr>
        <w:t>を踏まえ、施策推進にあたっての基本的な考え方を以下のように整理します。</w:t>
      </w:r>
    </w:p>
    <w:p w14:paraId="2F1A9D90" w14:textId="77777777" w:rsidR="00FA083E" w:rsidRPr="00121B67" w:rsidRDefault="00FA083E" w:rsidP="00FA083E">
      <w:pPr>
        <w:rPr>
          <w:rFonts w:asciiTheme="majorEastAsia" w:eastAsiaTheme="majorEastAsia" w:hAnsiTheme="majorEastAsia"/>
          <w:sz w:val="24"/>
          <w:szCs w:val="24"/>
        </w:rPr>
      </w:pPr>
    </w:p>
    <w:p w14:paraId="2B1B5EA7"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高齢者や障がい者の居住の安定確保を図る上で施策の基本となるのは、住宅ストック全体の活用の視点です。そのため、高齢者や障がい者が民間賃貸住宅に円滑に入居できる環境をととのえ、耐震性</w:t>
      </w:r>
      <w:r w:rsidR="00671A26">
        <w:rPr>
          <w:rFonts w:asciiTheme="majorEastAsia" w:eastAsiaTheme="majorEastAsia" w:hAnsiTheme="majorEastAsia" w:hint="eastAsia"/>
          <w:sz w:val="24"/>
          <w:szCs w:val="24"/>
        </w:rPr>
        <w:t>や居住面積</w:t>
      </w:r>
      <w:r w:rsidRPr="00121B67">
        <w:rPr>
          <w:rFonts w:asciiTheme="majorEastAsia" w:eastAsiaTheme="majorEastAsia" w:hAnsiTheme="majorEastAsia" w:hint="eastAsia"/>
          <w:sz w:val="24"/>
          <w:szCs w:val="24"/>
        </w:rPr>
        <w:t>など一定の質を備えた住宅が安定的、継続的に確保される仕組みの構築を図ります。</w:t>
      </w:r>
    </w:p>
    <w:p w14:paraId="540AEF21"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その際、民間賃貸住宅に依然として残る高齢者や障がい者に対する入居差別、入居拒否の解消に向けた取組と、耐震性</w:t>
      </w:r>
      <w:r w:rsidR="00671A26">
        <w:rPr>
          <w:rFonts w:asciiTheme="majorEastAsia" w:eastAsiaTheme="majorEastAsia" w:hAnsiTheme="majorEastAsia" w:hint="eastAsia"/>
          <w:sz w:val="24"/>
          <w:szCs w:val="24"/>
        </w:rPr>
        <w:t>や居住面積</w:t>
      </w:r>
      <w:r w:rsidRPr="00121B67">
        <w:rPr>
          <w:rFonts w:asciiTheme="majorEastAsia" w:eastAsiaTheme="majorEastAsia" w:hAnsiTheme="majorEastAsia" w:hint="eastAsia"/>
          <w:sz w:val="24"/>
          <w:szCs w:val="24"/>
        </w:rPr>
        <w:t>など一定の質を備えた住宅に居住できるようにすることが重要となります。</w:t>
      </w:r>
    </w:p>
    <w:p w14:paraId="4284A34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さらに、高齢者の住まいを考える上では、入居後に生活支援サービスを受けられるかどうかという視点も重要です。</w:t>
      </w:r>
    </w:p>
    <w:p w14:paraId="7577950E" w14:textId="77777777" w:rsidR="00FA083E" w:rsidRPr="00121B67" w:rsidRDefault="00FA083E" w:rsidP="00FA083E">
      <w:pPr>
        <w:ind w:leftChars="100" w:left="210"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そこで、バリアフリー化された住宅と生活支援サービスが一体のものとして提供されるサービス付き高齢者向け住宅を中心に、高齢者向け住宅に今後求め</w:t>
      </w:r>
      <w:r w:rsidRPr="00121B67">
        <w:rPr>
          <w:rFonts w:asciiTheme="majorEastAsia" w:eastAsiaTheme="majorEastAsia" w:hAnsiTheme="majorEastAsia" w:hint="eastAsia"/>
          <w:sz w:val="24"/>
          <w:szCs w:val="24"/>
        </w:rPr>
        <w:lastRenderedPageBreak/>
        <w:t>られる姿を提示します。</w:t>
      </w:r>
    </w:p>
    <w:p w14:paraId="079E2CE1" w14:textId="77777777" w:rsidR="00FA083E" w:rsidRPr="00121B67" w:rsidRDefault="00FA083E" w:rsidP="00FA083E">
      <w:pPr>
        <w:rPr>
          <w:rFonts w:asciiTheme="majorEastAsia" w:eastAsiaTheme="majorEastAsia" w:hAnsiTheme="majorEastAsia"/>
          <w:sz w:val="24"/>
          <w:szCs w:val="24"/>
        </w:rPr>
      </w:pPr>
    </w:p>
    <w:p w14:paraId="5A2C71B4"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公的賃貸住宅は、これまで高齢者や障がい者の居住の安定確保に向けた先進的な取組を実施し、民間賃貸住宅が対応出来ていない取組を補完してきました。今後も、高齢者や障がい者の優先入居やシルバーハウジングの供給、グループホームとしての活用など、高齢者や障がい者の居住ニーズに対応し、民間賃貸住宅を先導する役割を果たします。</w:t>
      </w:r>
    </w:p>
    <w:p w14:paraId="7612E88B" w14:textId="77777777" w:rsidR="00FA083E" w:rsidRPr="00121B67" w:rsidRDefault="00FA083E" w:rsidP="00FA083E">
      <w:pPr>
        <w:ind w:left="240" w:hangingChars="100" w:hanging="240"/>
        <w:rPr>
          <w:rFonts w:asciiTheme="majorEastAsia" w:eastAsiaTheme="majorEastAsia" w:hAnsiTheme="majorEastAsia"/>
          <w:sz w:val="24"/>
          <w:szCs w:val="24"/>
        </w:rPr>
      </w:pPr>
    </w:p>
    <w:p w14:paraId="4E701AC0"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また、高齢者や障がい者が自宅や地域で暮らし続けられるようにするため、住宅のバリアフリー化を進めるとともに、誰もが出かけやすいまちづくりや使いやすい施設づくりを推進し、すべての人が自らの意思で自由に移動でき、社会に参加できる「福祉のまちづくり」の理念の実現を図ります。</w:t>
      </w:r>
    </w:p>
    <w:p w14:paraId="3DBF1423" w14:textId="77777777" w:rsidR="00FA083E" w:rsidRPr="00121B67" w:rsidRDefault="00FA083E" w:rsidP="00FA083E">
      <w:pPr>
        <w:rPr>
          <w:rFonts w:asciiTheme="majorEastAsia" w:eastAsiaTheme="majorEastAsia" w:hAnsiTheme="majorEastAsia"/>
          <w:sz w:val="24"/>
          <w:szCs w:val="24"/>
        </w:rPr>
      </w:pPr>
    </w:p>
    <w:p w14:paraId="66745B21"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さらに、こうした施策推進のため、市町村をはじめとする他の主体との連携関係を構築します。居住支援協議会の取組を中心に、地域に密着した民間事業者などとの公民連携を図ります。</w:t>
      </w:r>
    </w:p>
    <w:p w14:paraId="18D8E7B8" w14:textId="77777777" w:rsidR="00FA083E" w:rsidRPr="00121B67" w:rsidRDefault="00FA083E" w:rsidP="00FA083E">
      <w:pPr>
        <w:rPr>
          <w:rFonts w:asciiTheme="majorEastAsia" w:eastAsiaTheme="majorEastAsia" w:hAnsiTheme="majorEastAsia"/>
          <w:sz w:val="24"/>
          <w:szCs w:val="24"/>
        </w:rPr>
      </w:pPr>
    </w:p>
    <w:p w14:paraId="543E3271" w14:textId="77777777" w:rsidR="00FA083E" w:rsidRPr="00121B67" w:rsidRDefault="00FA083E" w:rsidP="00FA083E">
      <w:pPr>
        <w:ind w:left="24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本計画において達成すべき目標については、第3章において記載することとしますが、本計画は「住まうビジョン・大阪」の個別計画であることから、ビジョンで示されている本計画に関連する「みんなでめざそう値」についても、本計画の目標として施策を推進します。</w:t>
      </w:r>
    </w:p>
    <w:p w14:paraId="71220685" w14:textId="77777777" w:rsidR="00FA083E" w:rsidRPr="00121B67" w:rsidRDefault="00FA083E" w:rsidP="00FA083E">
      <w:pPr>
        <w:ind w:left="240" w:hangingChars="100" w:hanging="240"/>
        <w:rPr>
          <w:rFonts w:asciiTheme="majorEastAsia" w:eastAsiaTheme="majorEastAsia" w:hAnsiTheme="majorEastAsia"/>
          <w:sz w:val="24"/>
          <w:szCs w:val="24"/>
        </w:rPr>
      </w:pPr>
    </w:p>
    <w:p w14:paraId="4161049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【住まうビジョン・大阪における本計画に関連する「みんなでめざそう値」】　</w:t>
      </w:r>
    </w:p>
    <w:p w14:paraId="41FAF53E" w14:textId="77777777" w:rsidR="00FA083E" w:rsidRPr="00121B67" w:rsidRDefault="00FA083E" w:rsidP="00FA083E">
      <w:pPr>
        <w:rPr>
          <w:rFonts w:asciiTheme="majorEastAsia" w:eastAsiaTheme="majorEastAsia" w:hAnsiTheme="majorEastAsia"/>
          <w:sz w:val="24"/>
          <w:szCs w:val="24"/>
        </w:rPr>
      </w:pPr>
    </w:p>
    <w:p w14:paraId="539F2F2D"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①高齢者生活支援施設を併設するサービス付き高齢者向け住宅の割合</w:t>
      </w:r>
    </w:p>
    <w:p w14:paraId="1CE1C185"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63％（Ｈ27）→ 90％（Ｈ37）</w:t>
      </w:r>
    </w:p>
    <w:p w14:paraId="1BC9BB93"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②鉄道駅舎のバリアフリー化率</w:t>
      </w:r>
    </w:p>
    <w:p w14:paraId="252DA8FB"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平均利用者数3,000人／日以上の鉄軌道駅のうち、エレベーターにより段　差が解消されている駅の割合　  </w:t>
      </w:r>
    </w:p>
    <w:p w14:paraId="63B86FF6" w14:textId="77777777" w:rsidR="00FA083E" w:rsidRPr="00121B67" w:rsidRDefault="00FA083E" w:rsidP="00FA083E">
      <w:pPr>
        <w:ind w:firstLineChars="300" w:firstLine="72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86.2％（Ｈ26）→ 100％（Ｈ32）</w:t>
      </w:r>
    </w:p>
    <w:p w14:paraId="35AC14D9"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③高齢者の居住する住宅のバリアフリー化率</w:t>
      </w:r>
    </w:p>
    <w:p w14:paraId="25A89290" w14:textId="77777777" w:rsidR="00FA083E" w:rsidRPr="00121B67" w:rsidRDefault="00FA083E" w:rsidP="00FA083E">
      <w:pPr>
        <w:ind w:leftChars="100" w:left="450" w:hangingChars="100" w:hanging="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高齢者（65歳以上の者）の居住する住宅において、手すり等高齢者のための設備のいずれかが設けられている住宅の割合</w:t>
      </w:r>
    </w:p>
    <w:p w14:paraId="4F0B6DF6" w14:textId="77777777" w:rsidR="00FA083E" w:rsidRPr="00121B67" w:rsidRDefault="00FA083E" w:rsidP="00FA083E">
      <w:pPr>
        <w:ind w:firstLineChars="200" w:firstLine="48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60％（Ｈ25）→ 75％（Ｈ37）</w:t>
      </w:r>
    </w:p>
    <w:p w14:paraId="0486536F" w14:textId="77777777"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④賃貸住宅における入居差別の状況</w:t>
      </w:r>
    </w:p>
    <w:p w14:paraId="303B6D5E" w14:textId="77777777" w:rsidR="00FA083E" w:rsidRPr="00121B67" w:rsidRDefault="00FA083E" w:rsidP="00FA083E">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高齢者30.0%、障がい者14.1%（H27) → 解消（H32)</w:t>
      </w:r>
    </w:p>
    <w:p w14:paraId="72DF70C8" w14:textId="330A28CC"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lastRenderedPageBreak/>
        <w:t>⑤一定の質を備えた</w:t>
      </w:r>
      <w:r w:rsidR="00733829">
        <w:rPr>
          <w:rFonts w:asciiTheme="majorEastAsia" w:eastAsiaTheme="majorEastAsia" w:hAnsiTheme="majorEastAsia" w:hint="eastAsia"/>
          <w:sz w:val="24"/>
          <w:szCs w:val="24"/>
        </w:rPr>
        <w:t>あんしん</w:t>
      </w:r>
      <w:r w:rsidRPr="00121B67">
        <w:rPr>
          <w:rFonts w:asciiTheme="majorEastAsia" w:eastAsiaTheme="majorEastAsia" w:hAnsiTheme="majorEastAsia" w:hint="eastAsia"/>
          <w:sz w:val="24"/>
          <w:szCs w:val="24"/>
        </w:rPr>
        <w:t>賃貸住宅の数</w:t>
      </w:r>
    </w:p>
    <w:p w14:paraId="00F6AD5C" w14:textId="27CBDDC5" w:rsidR="00FA083E" w:rsidRPr="00121B67" w:rsidRDefault="00FA083E" w:rsidP="00FA083E">
      <w:pPr>
        <w:ind w:firstLineChars="100" w:firstLine="240"/>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耐震性能を備えた</w:t>
      </w:r>
      <w:r w:rsidR="00733829">
        <w:rPr>
          <w:rFonts w:asciiTheme="majorEastAsia" w:eastAsiaTheme="majorEastAsia" w:hAnsiTheme="majorEastAsia" w:hint="eastAsia"/>
          <w:sz w:val="24"/>
          <w:szCs w:val="24"/>
        </w:rPr>
        <w:t>あんしん</w:t>
      </w:r>
      <w:r w:rsidRPr="00121B67">
        <w:rPr>
          <w:rFonts w:asciiTheme="majorEastAsia" w:eastAsiaTheme="majorEastAsia" w:hAnsiTheme="majorEastAsia" w:hint="eastAsia"/>
          <w:sz w:val="24"/>
          <w:szCs w:val="24"/>
        </w:rPr>
        <w:t>賃貸住宅の登録数</w:t>
      </w:r>
    </w:p>
    <w:p w14:paraId="25A7AC98" w14:textId="51589EED" w:rsidR="00A55DEE" w:rsidRPr="00FC0F33" w:rsidRDefault="00FA083E" w:rsidP="00FC0F33">
      <w:pPr>
        <w:rPr>
          <w:rFonts w:asciiTheme="majorEastAsia" w:eastAsiaTheme="majorEastAsia" w:hAnsiTheme="majorEastAsia"/>
          <w:sz w:val="24"/>
          <w:szCs w:val="24"/>
        </w:rPr>
      </w:pPr>
      <w:r w:rsidRPr="00121B67">
        <w:rPr>
          <w:rFonts w:asciiTheme="majorEastAsia" w:eastAsiaTheme="majorEastAsia" w:hAnsiTheme="majorEastAsia" w:hint="eastAsia"/>
          <w:sz w:val="24"/>
          <w:szCs w:val="24"/>
        </w:rPr>
        <w:t xml:space="preserve">　　  約5,000戸（Ｈ27）→ 約20,000戸（Ｈ37）</w:t>
      </w:r>
      <w:bookmarkStart w:id="0" w:name="_GoBack"/>
      <w:bookmarkEnd w:id="0"/>
    </w:p>
    <w:sectPr w:rsidR="00A55DEE" w:rsidRPr="00FC0F33" w:rsidSect="000D2DA0">
      <w:footerReference w:type="default" r:id="rId9"/>
      <w:type w:val="continuous"/>
      <w:pgSz w:w="11907" w:h="16839" w:code="9"/>
      <w:pgMar w:top="1985" w:right="1701" w:bottom="1701" w:left="1701" w:header="851" w:footer="992" w:gutter="0"/>
      <w:pgNumType w:start="3"/>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40EA6" w15:done="0"/>
  <w15:commentEx w15:paraId="78FA2140" w15:done="0"/>
  <w15:commentEx w15:paraId="42C2CF2B" w15:done="0"/>
  <w15:commentEx w15:paraId="2A8BF3A1" w15:done="0"/>
  <w15:commentEx w15:paraId="46928ECB" w15:done="0"/>
  <w15:commentEx w15:paraId="388B606B" w15:done="0"/>
  <w15:commentEx w15:paraId="7F7CEA58" w15:done="0"/>
  <w15:commentEx w15:paraId="59301EC6" w15:done="0"/>
  <w15:commentEx w15:paraId="763721AF" w15:done="0"/>
  <w15:commentEx w15:paraId="74C84506" w15:done="0"/>
  <w15:commentEx w15:paraId="37B68348" w15:done="0"/>
  <w15:commentEx w15:paraId="278D9E13" w15:done="0"/>
  <w15:commentEx w15:paraId="413ACA42" w15:done="0"/>
  <w15:commentEx w15:paraId="638375AE" w15:done="0"/>
  <w15:commentEx w15:paraId="0949C7DD" w15:done="0"/>
  <w15:commentEx w15:paraId="44F83820" w15:done="0"/>
  <w15:commentEx w15:paraId="6021BEA6" w15:done="0"/>
  <w15:commentEx w15:paraId="2BF74A37" w15:done="0"/>
  <w15:commentEx w15:paraId="0D94D930" w15:done="0"/>
  <w15:commentEx w15:paraId="139F422B" w15:done="0"/>
  <w15:commentEx w15:paraId="235FFD7F" w15:done="0"/>
  <w15:commentEx w15:paraId="477E6E7F" w15:done="0"/>
  <w15:commentEx w15:paraId="709C23A4" w15:done="0"/>
  <w15:commentEx w15:paraId="6A324DFF" w15:done="0"/>
  <w15:commentEx w15:paraId="5177DE96" w15:done="0"/>
  <w15:commentEx w15:paraId="29BDF9E9" w15:done="0"/>
  <w15:commentEx w15:paraId="6B38E4DA" w15:done="0"/>
  <w15:commentEx w15:paraId="1048E51C" w15:done="0"/>
  <w15:commentEx w15:paraId="7EF089F6" w15:done="0"/>
  <w15:commentEx w15:paraId="69EA5913" w15:done="0"/>
  <w15:commentEx w15:paraId="533298B2" w15:done="0"/>
  <w15:commentEx w15:paraId="36BB07B8" w15:done="0"/>
  <w15:commentEx w15:paraId="6A35B536" w15:done="0"/>
  <w15:commentEx w15:paraId="611CF064" w15:done="0"/>
  <w15:commentEx w15:paraId="6CD9EAFC" w15:done="0"/>
  <w15:commentEx w15:paraId="29ACC9EE" w15:done="0"/>
  <w15:commentEx w15:paraId="373D19E3" w15:done="0"/>
  <w15:commentEx w15:paraId="242F9E62" w15:done="0"/>
  <w15:commentEx w15:paraId="0678B7A9" w15:done="0"/>
  <w15:commentEx w15:paraId="0E666115" w15:done="0"/>
  <w15:commentEx w15:paraId="256BA37C" w15:done="0"/>
  <w15:commentEx w15:paraId="7BD4361A" w15:done="0"/>
  <w15:commentEx w15:paraId="4C5E5E49" w15:done="0"/>
  <w15:commentEx w15:paraId="4E0C63C3" w15:done="0"/>
  <w15:commentEx w15:paraId="0A9B5F8A" w15:done="0"/>
  <w15:commentEx w15:paraId="0AFD4328" w15:done="0"/>
  <w15:commentEx w15:paraId="7F4F9614" w15:done="0"/>
  <w15:commentEx w15:paraId="73373001" w15:done="0"/>
  <w15:commentEx w15:paraId="26F62917" w15:done="0"/>
  <w15:commentEx w15:paraId="187C9AD1" w15:done="0"/>
  <w15:commentEx w15:paraId="3553B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50C87" w14:textId="77777777" w:rsidR="0039485D" w:rsidRDefault="0039485D" w:rsidP="006B2F5C">
      <w:r>
        <w:separator/>
      </w:r>
    </w:p>
  </w:endnote>
  <w:endnote w:type="continuationSeparator" w:id="0">
    <w:p w14:paraId="6D8D1B35" w14:textId="77777777" w:rsidR="0039485D" w:rsidRDefault="0039485D" w:rsidP="006B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CB5F0" w14:textId="77777777" w:rsidR="000D2DA0" w:rsidRDefault="000D2D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8A0A" w14:textId="77777777" w:rsidR="0039485D" w:rsidRDefault="0039485D" w:rsidP="006B2F5C">
      <w:r>
        <w:separator/>
      </w:r>
    </w:p>
  </w:footnote>
  <w:footnote w:type="continuationSeparator" w:id="0">
    <w:p w14:paraId="00E7B753" w14:textId="77777777" w:rsidR="0039485D" w:rsidRDefault="0039485D" w:rsidP="006B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28"/>
    <w:multiLevelType w:val="hybridMultilevel"/>
    <w:tmpl w:val="FE024CAC"/>
    <w:lvl w:ilvl="0" w:tplc="BE4E721A">
      <w:start w:val="1"/>
      <w:numFmt w:val="bullet"/>
      <w:lvlText w:val="•"/>
      <w:lvlJc w:val="left"/>
      <w:pPr>
        <w:tabs>
          <w:tab w:val="num" w:pos="720"/>
        </w:tabs>
        <w:ind w:left="720" w:hanging="360"/>
      </w:pPr>
      <w:rPr>
        <w:rFonts w:ascii="Arial" w:hAnsi="Arial" w:hint="default"/>
      </w:rPr>
    </w:lvl>
    <w:lvl w:ilvl="1" w:tplc="ABF2FE48" w:tentative="1">
      <w:start w:val="1"/>
      <w:numFmt w:val="bullet"/>
      <w:lvlText w:val="•"/>
      <w:lvlJc w:val="left"/>
      <w:pPr>
        <w:tabs>
          <w:tab w:val="num" w:pos="1440"/>
        </w:tabs>
        <w:ind w:left="1440" w:hanging="360"/>
      </w:pPr>
      <w:rPr>
        <w:rFonts w:ascii="Arial" w:hAnsi="Arial" w:hint="default"/>
      </w:rPr>
    </w:lvl>
    <w:lvl w:ilvl="2" w:tplc="D1B48F88" w:tentative="1">
      <w:start w:val="1"/>
      <w:numFmt w:val="bullet"/>
      <w:lvlText w:val="•"/>
      <w:lvlJc w:val="left"/>
      <w:pPr>
        <w:tabs>
          <w:tab w:val="num" w:pos="2160"/>
        </w:tabs>
        <w:ind w:left="2160" w:hanging="360"/>
      </w:pPr>
      <w:rPr>
        <w:rFonts w:ascii="Arial" w:hAnsi="Arial" w:hint="default"/>
      </w:rPr>
    </w:lvl>
    <w:lvl w:ilvl="3" w:tplc="E93C3506" w:tentative="1">
      <w:start w:val="1"/>
      <w:numFmt w:val="bullet"/>
      <w:lvlText w:val="•"/>
      <w:lvlJc w:val="left"/>
      <w:pPr>
        <w:tabs>
          <w:tab w:val="num" w:pos="2880"/>
        </w:tabs>
        <w:ind w:left="2880" w:hanging="360"/>
      </w:pPr>
      <w:rPr>
        <w:rFonts w:ascii="Arial" w:hAnsi="Arial" w:hint="default"/>
      </w:rPr>
    </w:lvl>
    <w:lvl w:ilvl="4" w:tplc="8182BD3A" w:tentative="1">
      <w:start w:val="1"/>
      <w:numFmt w:val="bullet"/>
      <w:lvlText w:val="•"/>
      <w:lvlJc w:val="left"/>
      <w:pPr>
        <w:tabs>
          <w:tab w:val="num" w:pos="3600"/>
        </w:tabs>
        <w:ind w:left="3600" w:hanging="360"/>
      </w:pPr>
      <w:rPr>
        <w:rFonts w:ascii="Arial" w:hAnsi="Arial" w:hint="default"/>
      </w:rPr>
    </w:lvl>
    <w:lvl w:ilvl="5" w:tplc="F914F564" w:tentative="1">
      <w:start w:val="1"/>
      <w:numFmt w:val="bullet"/>
      <w:lvlText w:val="•"/>
      <w:lvlJc w:val="left"/>
      <w:pPr>
        <w:tabs>
          <w:tab w:val="num" w:pos="4320"/>
        </w:tabs>
        <w:ind w:left="4320" w:hanging="360"/>
      </w:pPr>
      <w:rPr>
        <w:rFonts w:ascii="Arial" w:hAnsi="Arial" w:hint="default"/>
      </w:rPr>
    </w:lvl>
    <w:lvl w:ilvl="6" w:tplc="9416AC34" w:tentative="1">
      <w:start w:val="1"/>
      <w:numFmt w:val="bullet"/>
      <w:lvlText w:val="•"/>
      <w:lvlJc w:val="left"/>
      <w:pPr>
        <w:tabs>
          <w:tab w:val="num" w:pos="5040"/>
        </w:tabs>
        <w:ind w:left="5040" w:hanging="360"/>
      </w:pPr>
      <w:rPr>
        <w:rFonts w:ascii="Arial" w:hAnsi="Arial" w:hint="default"/>
      </w:rPr>
    </w:lvl>
    <w:lvl w:ilvl="7" w:tplc="BA8400D4" w:tentative="1">
      <w:start w:val="1"/>
      <w:numFmt w:val="bullet"/>
      <w:lvlText w:val="•"/>
      <w:lvlJc w:val="left"/>
      <w:pPr>
        <w:tabs>
          <w:tab w:val="num" w:pos="5760"/>
        </w:tabs>
        <w:ind w:left="5760" w:hanging="360"/>
      </w:pPr>
      <w:rPr>
        <w:rFonts w:ascii="Arial" w:hAnsi="Arial" w:hint="default"/>
      </w:rPr>
    </w:lvl>
    <w:lvl w:ilvl="8" w:tplc="208ABFF6" w:tentative="1">
      <w:start w:val="1"/>
      <w:numFmt w:val="bullet"/>
      <w:lvlText w:val="•"/>
      <w:lvlJc w:val="left"/>
      <w:pPr>
        <w:tabs>
          <w:tab w:val="num" w:pos="6480"/>
        </w:tabs>
        <w:ind w:left="6480" w:hanging="360"/>
      </w:pPr>
      <w:rPr>
        <w:rFonts w:ascii="Arial" w:hAnsi="Arial" w:hint="default"/>
      </w:rPr>
    </w:lvl>
  </w:abstractNum>
  <w:abstractNum w:abstractNumId="1">
    <w:nsid w:val="2569668C"/>
    <w:multiLevelType w:val="hybridMultilevel"/>
    <w:tmpl w:val="BD2CC2FA"/>
    <w:lvl w:ilvl="0" w:tplc="8EDE46EA">
      <w:start w:val="1"/>
      <w:numFmt w:val="bullet"/>
      <w:lvlText w:val="•"/>
      <w:lvlJc w:val="left"/>
      <w:pPr>
        <w:tabs>
          <w:tab w:val="num" w:pos="720"/>
        </w:tabs>
        <w:ind w:left="720" w:hanging="360"/>
      </w:pPr>
      <w:rPr>
        <w:rFonts w:ascii="Arial" w:hAnsi="Arial" w:hint="default"/>
      </w:rPr>
    </w:lvl>
    <w:lvl w:ilvl="1" w:tplc="D3EC8EC4" w:tentative="1">
      <w:start w:val="1"/>
      <w:numFmt w:val="bullet"/>
      <w:lvlText w:val="•"/>
      <w:lvlJc w:val="left"/>
      <w:pPr>
        <w:tabs>
          <w:tab w:val="num" w:pos="1440"/>
        </w:tabs>
        <w:ind w:left="1440" w:hanging="360"/>
      </w:pPr>
      <w:rPr>
        <w:rFonts w:ascii="Arial" w:hAnsi="Arial" w:hint="default"/>
      </w:rPr>
    </w:lvl>
    <w:lvl w:ilvl="2" w:tplc="A03C963C" w:tentative="1">
      <w:start w:val="1"/>
      <w:numFmt w:val="bullet"/>
      <w:lvlText w:val="•"/>
      <w:lvlJc w:val="left"/>
      <w:pPr>
        <w:tabs>
          <w:tab w:val="num" w:pos="2160"/>
        </w:tabs>
        <w:ind w:left="2160" w:hanging="360"/>
      </w:pPr>
      <w:rPr>
        <w:rFonts w:ascii="Arial" w:hAnsi="Arial" w:hint="default"/>
      </w:rPr>
    </w:lvl>
    <w:lvl w:ilvl="3" w:tplc="006ED246" w:tentative="1">
      <w:start w:val="1"/>
      <w:numFmt w:val="bullet"/>
      <w:lvlText w:val="•"/>
      <w:lvlJc w:val="left"/>
      <w:pPr>
        <w:tabs>
          <w:tab w:val="num" w:pos="2880"/>
        </w:tabs>
        <w:ind w:left="2880" w:hanging="360"/>
      </w:pPr>
      <w:rPr>
        <w:rFonts w:ascii="Arial" w:hAnsi="Arial" w:hint="default"/>
      </w:rPr>
    </w:lvl>
    <w:lvl w:ilvl="4" w:tplc="88407F46" w:tentative="1">
      <w:start w:val="1"/>
      <w:numFmt w:val="bullet"/>
      <w:lvlText w:val="•"/>
      <w:lvlJc w:val="left"/>
      <w:pPr>
        <w:tabs>
          <w:tab w:val="num" w:pos="3600"/>
        </w:tabs>
        <w:ind w:left="3600" w:hanging="360"/>
      </w:pPr>
      <w:rPr>
        <w:rFonts w:ascii="Arial" w:hAnsi="Arial" w:hint="default"/>
      </w:rPr>
    </w:lvl>
    <w:lvl w:ilvl="5" w:tplc="0532BA9C" w:tentative="1">
      <w:start w:val="1"/>
      <w:numFmt w:val="bullet"/>
      <w:lvlText w:val="•"/>
      <w:lvlJc w:val="left"/>
      <w:pPr>
        <w:tabs>
          <w:tab w:val="num" w:pos="4320"/>
        </w:tabs>
        <w:ind w:left="4320" w:hanging="360"/>
      </w:pPr>
      <w:rPr>
        <w:rFonts w:ascii="Arial" w:hAnsi="Arial" w:hint="default"/>
      </w:rPr>
    </w:lvl>
    <w:lvl w:ilvl="6" w:tplc="825C732C" w:tentative="1">
      <w:start w:val="1"/>
      <w:numFmt w:val="bullet"/>
      <w:lvlText w:val="•"/>
      <w:lvlJc w:val="left"/>
      <w:pPr>
        <w:tabs>
          <w:tab w:val="num" w:pos="5040"/>
        </w:tabs>
        <w:ind w:left="5040" w:hanging="360"/>
      </w:pPr>
      <w:rPr>
        <w:rFonts w:ascii="Arial" w:hAnsi="Arial" w:hint="default"/>
      </w:rPr>
    </w:lvl>
    <w:lvl w:ilvl="7" w:tplc="F83CDCBA" w:tentative="1">
      <w:start w:val="1"/>
      <w:numFmt w:val="bullet"/>
      <w:lvlText w:val="•"/>
      <w:lvlJc w:val="left"/>
      <w:pPr>
        <w:tabs>
          <w:tab w:val="num" w:pos="5760"/>
        </w:tabs>
        <w:ind w:left="5760" w:hanging="360"/>
      </w:pPr>
      <w:rPr>
        <w:rFonts w:ascii="Arial" w:hAnsi="Arial" w:hint="default"/>
      </w:rPr>
    </w:lvl>
    <w:lvl w:ilvl="8" w:tplc="749CFFE4" w:tentative="1">
      <w:start w:val="1"/>
      <w:numFmt w:val="bullet"/>
      <w:lvlText w:val="•"/>
      <w:lvlJc w:val="left"/>
      <w:pPr>
        <w:tabs>
          <w:tab w:val="num" w:pos="6480"/>
        </w:tabs>
        <w:ind w:left="6480" w:hanging="360"/>
      </w:pPr>
      <w:rPr>
        <w:rFonts w:ascii="Arial" w:hAnsi="Arial" w:hint="default"/>
      </w:rPr>
    </w:lvl>
  </w:abstractNum>
  <w:abstractNum w:abstractNumId="2">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4B48475E"/>
    <w:multiLevelType w:val="hybridMultilevel"/>
    <w:tmpl w:val="5AA28F42"/>
    <w:lvl w:ilvl="0" w:tplc="78945F96">
      <w:start w:val="1"/>
      <w:numFmt w:val="decimalFullWidth"/>
      <w:lvlText w:val="（%1）"/>
      <w:lvlJc w:val="left"/>
      <w:pPr>
        <w:ind w:left="3120" w:hanging="72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nsid w:val="59915C55"/>
    <w:multiLevelType w:val="hybridMultilevel"/>
    <w:tmpl w:val="5AA28F42"/>
    <w:lvl w:ilvl="0" w:tplc="78945F9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nsid w:val="5CEF7A08"/>
    <w:multiLevelType w:val="hybridMultilevel"/>
    <w:tmpl w:val="B91E4C60"/>
    <w:lvl w:ilvl="0" w:tplc="30C8E0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72"/>
    <w:rsid w:val="000030AD"/>
    <w:rsid w:val="00013B2D"/>
    <w:rsid w:val="00035476"/>
    <w:rsid w:val="00054C5E"/>
    <w:rsid w:val="000562F3"/>
    <w:rsid w:val="00067FF9"/>
    <w:rsid w:val="00075840"/>
    <w:rsid w:val="00081D1D"/>
    <w:rsid w:val="00090995"/>
    <w:rsid w:val="0009270E"/>
    <w:rsid w:val="000B5563"/>
    <w:rsid w:val="000C76A9"/>
    <w:rsid w:val="000D2DA0"/>
    <w:rsid w:val="000F3B40"/>
    <w:rsid w:val="000F7C18"/>
    <w:rsid w:val="00113B45"/>
    <w:rsid w:val="00114EA3"/>
    <w:rsid w:val="00142C70"/>
    <w:rsid w:val="00160694"/>
    <w:rsid w:val="00161123"/>
    <w:rsid w:val="00171FDE"/>
    <w:rsid w:val="00193B66"/>
    <w:rsid w:val="001A523E"/>
    <w:rsid w:val="001D412C"/>
    <w:rsid w:val="001D5F1F"/>
    <w:rsid w:val="001D7E57"/>
    <w:rsid w:val="001F1E2E"/>
    <w:rsid w:val="00252507"/>
    <w:rsid w:val="00252F53"/>
    <w:rsid w:val="0025681E"/>
    <w:rsid w:val="00274D10"/>
    <w:rsid w:val="002C7755"/>
    <w:rsid w:val="002C7B90"/>
    <w:rsid w:val="002E28A1"/>
    <w:rsid w:val="003254A2"/>
    <w:rsid w:val="00342973"/>
    <w:rsid w:val="00346AF6"/>
    <w:rsid w:val="00353298"/>
    <w:rsid w:val="0037451F"/>
    <w:rsid w:val="0039485D"/>
    <w:rsid w:val="003D63ED"/>
    <w:rsid w:val="003E38F3"/>
    <w:rsid w:val="00407FC1"/>
    <w:rsid w:val="00421AA4"/>
    <w:rsid w:val="0042255E"/>
    <w:rsid w:val="00471D6E"/>
    <w:rsid w:val="004C3F59"/>
    <w:rsid w:val="004D2953"/>
    <w:rsid w:val="004D6399"/>
    <w:rsid w:val="00522FF5"/>
    <w:rsid w:val="00534A9E"/>
    <w:rsid w:val="00540F70"/>
    <w:rsid w:val="0056322D"/>
    <w:rsid w:val="00571464"/>
    <w:rsid w:val="00591BC1"/>
    <w:rsid w:val="005B57A4"/>
    <w:rsid w:val="005C3DA9"/>
    <w:rsid w:val="005D0937"/>
    <w:rsid w:val="00671A26"/>
    <w:rsid w:val="006B2F5C"/>
    <w:rsid w:val="006F58CE"/>
    <w:rsid w:val="006F6B86"/>
    <w:rsid w:val="007002AC"/>
    <w:rsid w:val="00733829"/>
    <w:rsid w:val="00770EE6"/>
    <w:rsid w:val="00794207"/>
    <w:rsid w:val="00796A43"/>
    <w:rsid w:val="007A2463"/>
    <w:rsid w:val="007A747F"/>
    <w:rsid w:val="007B152F"/>
    <w:rsid w:val="007E3180"/>
    <w:rsid w:val="007E7ECB"/>
    <w:rsid w:val="007F35CF"/>
    <w:rsid w:val="00820CC0"/>
    <w:rsid w:val="00844FFB"/>
    <w:rsid w:val="00846ED1"/>
    <w:rsid w:val="00880572"/>
    <w:rsid w:val="008A00F5"/>
    <w:rsid w:val="008C2EF6"/>
    <w:rsid w:val="008E2407"/>
    <w:rsid w:val="008E5177"/>
    <w:rsid w:val="008E78A5"/>
    <w:rsid w:val="008F2B42"/>
    <w:rsid w:val="008F5F83"/>
    <w:rsid w:val="0093253E"/>
    <w:rsid w:val="009562C2"/>
    <w:rsid w:val="00956B4D"/>
    <w:rsid w:val="00963CC9"/>
    <w:rsid w:val="009C4530"/>
    <w:rsid w:val="009C6824"/>
    <w:rsid w:val="00A53771"/>
    <w:rsid w:val="00A55DEE"/>
    <w:rsid w:val="00A603D5"/>
    <w:rsid w:val="00A6639D"/>
    <w:rsid w:val="00A87CA6"/>
    <w:rsid w:val="00AB0D1E"/>
    <w:rsid w:val="00AB2898"/>
    <w:rsid w:val="00AC7AB2"/>
    <w:rsid w:val="00AD43DD"/>
    <w:rsid w:val="00AD4685"/>
    <w:rsid w:val="00B17310"/>
    <w:rsid w:val="00B205DE"/>
    <w:rsid w:val="00B30C64"/>
    <w:rsid w:val="00B5321B"/>
    <w:rsid w:val="00B62915"/>
    <w:rsid w:val="00B66A6F"/>
    <w:rsid w:val="00B77DC0"/>
    <w:rsid w:val="00BC26EE"/>
    <w:rsid w:val="00BC639F"/>
    <w:rsid w:val="00BD121C"/>
    <w:rsid w:val="00BF5478"/>
    <w:rsid w:val="00C03038"/>
    <w:rsid w:val="00C20813"/>
    <w:rsid w:val="00C21577"/>
    <w:rsid w:val="00C2652F"/>
    <w:rsid w:val="00C543C7"/>
    <w:rsid w:val="00C55012"/>
    <w:rsid w:val="00C60E07"/>
    <w:rsid w:val="00C73FDE"/>
    <w:rsid w:val="00CA1335"/>
    <w:rsid w:val="00CC59D6"/>
    <w:rsid w:val="00CC5BB7"/>
    <w:rsid w:val="00CD146E"/>
    <w:rsid w:val="00CE072C"/>
    <w:rsid w:val="00CE2391"/>
    <w:rsid w:val="00D446D2"/>
    <w:rsid w:val="00D64D10"/>
    <w:rsid w:val="00DB1234"/>
    <w:rsid w:val="00DF52B3"/>
    <w:rsid w:val="00E14085"/>
    <w:rsid w:val="00E249F4"/>
    <w:rsid w:val="00E31DA9"/>
    <w:rsid w:val="00E328D3"/>
    <w:rsid w:val="00E4504C"/>
    <w:rsid w:val="00EA1FA3"/>
    <w:rsid w:val="00EC0437"/>
    <w:rsid w:val="00EE1E7A"/>
    <w:rsid w:val="00F01B03"/>
    <w:rsid w:val="00F06F34"/>
    <w:rsid w:val="00F35B33"/>
    <w:rsid w:val="00F413A2"/>
    <w:rsid w:val="00F52673"/>
    <w:rsid w:val="00F57330"/>
    <w:rsid w:val="00F5790B"/>
    <w:rsid w:val="00F64941"/>
    <w:rsid w:val="00F66CDB"/>
    <w:rsid w:val="00FA083E"/>
    <w:rsid w:val="00FB418C"/>
    <w:rsid w:val="00FC0F33"/>
    <w:rsid w:val="00FD2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4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F5C"/>
    <w:pPr>
      <w:tabs>
        <w:tab w:val="center" w:pos="4252"/>
        <w:tab w:val="right" w:pos="8504"/>
      </w:tabs>
      <w:snapToGrid w:val="0"/>
    </w:pPr>
  </w:style>
  <w:style w:type="character" w:customStyle="1" w:styleId="a4">
    <w:name w:val="ヘッダー (文字)"/>
    <w:basedOn w:val="a0"/>
    <w:link w:val="a3"/>
    <w:uiPriority w:val="99"/>
    <w:rsid w:val="006B2F5C"/>
  </w:style>
  <w:style w:type="paragraph" w:styleId="a5">
    <w:name w:val="footer"/>
    <w:basedOn w:val="a"/>
    <w:link w:val="a6"/>
    <w:uiPriority w:val="99"/>
    <w:unhideWhenUsed/>
    <w:rsid w:val="006B2F5C"/>
    <w:pPr>
      <w:tabs>
        <w:tab w:val="center" w:pos="4252"/>
        <w:tab w:val="right" w:pos="8504"/>
      </w:tabs>
      <w:snapToGrid w:val="0"/>
    </w:pPr>
  </w:style>
  <w:style w:type="character" w:customStyle="1" w:styleId="a6">
    <w:name w:val="フッター (文字)"/>
    <w:basedOn w:val="a0"/>
    <w:link w:val="a5"/>
    <w:uiPriority w:val="99"/>
    <w:rsid w:val="006B2F5C"/>
  </w:style>
  <w:style w:type="paragraph" w:styleId="a7">
    <w:name w:val="Date"/>
    <w:basedOn w:val="a"/>
    <w:next w:val="a"/>
    <w:link w:val="a8"/>
    <w:uiPriority w:val="99"/>
    <w:semiHidden/>
    <w:unhideWhenUsed/>
    <w:rsid w:val="00C20813"/>
  </w:style>
  <w:style w:type="character" w:customStyle="1" w:styleId="a8">
    <w:name w:val="日付 (文字)"/>
    <w:basedOn w:val="a0"/>
    <w:link w:val="a7"/>
    <w:uiPriority w:val="99"/>
    <w:semiHidden/>
    <w:rsid w:val="00C20813"/>
  </w:style>
  <w:style w:type="paragraph" w:styleId="a9">
    <w:name w:val="No Spacing"/>
    <w:uiPriority w:val="1"/>
    <w:qFormat/>
    <w:rsid w:val="00F52673"/>
    <w:pPr>
      <w:widowControl w:val="0"/>
      <w:jc w:val="both"/>
    </w:pPr>
  </w:style>
  <w:style w:type="paragraph" w:styleId="Web">
    <w:name w:val="Normal (Web)"/>
    <w:basedOn w:val="a"/>
    <w:uiPriority w:val="99"/>
    <w:rsid w:val="007002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7002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02AC"/>
    <w:rPr>
      <w:rFonts w:asciiTheme="majorHAnsi" w:eastAsiaTheme="majorEastAsia" w:hAnsiTheme="majorHAnsi" w:cstheme="majorBidi"/>
      <w:sz w:val="18"/>
      <w:szCs w:val="18"/>
    </w:rPr>
  </w:style>
  <w:style w:type="table" w:styleId="ac">
    <w:name w:val="Table Grid"/>
    <w:basedOn w:val="a1"/>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A083E"/>
    <w:pPr>
      <w:ind w:leftChars="400" w:left="840"/>
    </w:pPr>
  </w:style>
  <w:style w:type="table" w:customStyle="1" w:styleId="1">
    <w:name w:val="表 (格子)1"/>
    <w:basedOn w:val="a1"/>
    <w:next w:val="ac"/>
    <w:uiPriority w:val="59"/>
    <w:rsid w:val="00FA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D63ED"/>
    <w:rPr>
      <w:sz w:val="18"/>
      <w:szCs w:val="18"/>
    </w:rPr>
  </w:style>
  <w:style w:type="paragraph" w:styleId="af">
    <w:name w:val="annotation text"/>
    <w:basedOn w:val="a"/>
    <w:link w:val="af0"/>
    <w:uiPriority w:val="99"/>
    <w:semiHidden/>
    <w:unhideWhenUsed/>
    <w:rsid w:val="003D63ED"/>
    <w:pPr>
      <w:jc w:val="left"/>
    </w:pPr>
  </w:style>
  <w:style w:type="character" w:customStyle="1" w:styleId="af0">
    <w:name w:val="コメント文字列 (文字)"/>
    <w:basedOn w:val="a0"/>
    <w:link w:val="af"/>
    <w:uiPriority w:val="99"/>
    <w:semiHidden/>
    <w:rsid w:val="003D63ED"/>
  </w:style>
  <w:style w:type="paragraph" w:styleId="af1">
    <w:name w:val="annotation subject"/>
    <w:basedOn w:val="af"/>
    <w:next w:val="af"/>
    <w:link w:val="af2"/>
    <w:uiPriority w:val="99"/>
    <w:semiHidden/>
    <w:unhideWhenUsed/>
    <w:rsid w:val="003D63ED"/>
    <w:rPr>
      <w:b/>
      <w:bCs/>
    </w:rPr>
  </w:style>
  <w:style w:type="character" w:customStyle="1" w:styleId="af2">
    <w:name w:val="コメント内容 (文字)"/>
    <w:basedOn w:val="af0"/>
    <w:link w:val="af1"/>
    <w:uiPriority w:val="99"/>
    <w:semiHidden/>
    <w:rsid w:val="003D63ED"/>
    <w:rPr>
      <w:b/>
      <w:bCs/>
    </w:rPr>
  </w:style>
  <w:style w:type="paragraph" w:styleId="af3">
    <w:name w:val="Revision"/>
    <w:hidden/>
    <w:uiPriority w:val="99"/>
    <w:semiHidden/>
    <w:rsid w:val="0001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6E44-932D-4E14-8E10-41A6167E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中谷　洋明</dc:creator>
  <cp:lastModifiedBy>松井　一史</cp:lastModifiedBy>
  <cp:revision>16</cp:revision>
  <cp:lastPrinted>2017-03-22T01:18:00Z</cp:lastPrinted>
  <dcterms:created xsi:type="dcterms:W3CDTF">2017-03-21T23:55:00Z</dcterms:created>
  <dcterms:modified xsi:type="dcterms:W3CDTF">2017-03-23T04:17:00Z</dcterms:modified>
</cp:coreProperties>
</file>