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drawings/drawing5.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drawings/drawing6.xml" ContentType="application/vnd.openxmlformats-officedocument.drawingml.chartshapes+xml"/>
  <Override PartName="/word/charts/chart27.xml" ContentType="application/vnd.openxmlformats-officedocument.drawingml.chart+xml"/>
  <Override PartName="/word/drawings/drawing7.xml" ContentType="application/vnd.openxmlformats-officedocument.drawingml.chartshapes+xml"/>
  <Override PartName="/word/charts/chart28.xml" ContentType="application/vnd.openxmlformats-officedocument.drawingml.chart+xml"/>
  <Override PartName="/word/drawings/drawing8.xml" ContentType="application/vnd.openxmlformats-officedocument.drawingml.chartshapes+xml"/>
  <Override PartName="/word/charts/chart29.xml" ContentType="application/vnd.openxmlformats-officedocument.drawingml.chart+xml"/>
  <Override PartName="/word/drawings/drawing9.xml" ContentType="application/vnd.openxmlformats-officedocument.drawingml.chartshapes+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9D" w:rsidRDefault="007D599D" w:rsidP="00AB781C">
      <w:pPr>
        <w:spacing w:line="440" w:lineRule="exact"/>
        <w:jc w:val="right"/>
        <w:rPr>
          <w:rFonts w:asciiTheme="majorEastAsia" w:eastAsiaTheme="majorEastAsia" w:hAnsiTheme="majorEastAsia"/>
          <w:kern w:val="0"/>
          <w:sz w:val="24"/>
          <w:szCs w:val="24"/>
        </w:rPr>
      </w:pPr>
      <w:bookmarkStart w:id="0" w:name="_GoBack"/>
      <w:bookmarkEnd w:id="0"/>
    </w:p>
    <w:p w:rsidR="007D599D" w:rsidRDefault="007D599D" w:rsidP="00AB781C">
      <w:pPr>
        <w:spacing w:line="440" w:lineRule="exact"/>
        <w:jc w:val="right"/>
        <w:rPr>
          <w:rFonts w:asciiTheme="majorEastAsia" w:eastAsiaTheme="majorEastAsia" w:hAnsiTheme="majorEastAsia"/>
          <w:sz w:val="24"/>
          <w:szCs w:val="24"/>
        </w:rPr>
      </w:pPr>
    </w:p>
    <w:p w:rsidR="009336C9" w:rsidRDefault="009336C9" w:rsidP="00AB781C">
      <w:pPr>
        <w:spacing w:line="440" w:lineRule="exact"/>
        <w:jc w:val="right"/>
        <w:rPr>
          <w:rFonts w:asciiTheme="majorEastAsia" w:eastAsiaTheme="majorEastAsia" w:hAnsiTheme="majorEastAsia"/>
          <w:sz w:val="24"/>
          <w:szCs w:val="24"/>
        </w:rPr>
      </w:pPr>
    </w:p>
    <w:p w:rsidR="009336C9" w:rsidRDefault="009336C9" w:rsidP="00AB781C">
      <w:pPr>
        <w:spacing w:line="440" w:lineRule="exact"/>
        <w:jc w:val="right"/>
        <w:rPr>
          <w:rFonts w:asciiTheme="majorEastAsia" w:eastAsiaTheme="majorEastAsia" w:hAnsiTheme="majorEastAsia"/>
          <w:sz w:val="24"/>
          <w:szCs w:val="24"/>
        </w:rPr>
      </w:pPr>
    </w:p>
    <w:p w:rsidR="0023529A" w:rsidRPr="0023529A" w:rsidRDefault="006C6680" w:rsidP="00AB781C">
      <w:pPr>
        <w:autoSpaceDE w:val="0"/>
        <w:autoSpaceDN w:val="0"/>
        <w:adjustRightInd w:val="0"/>
        <w:spacing w:before="100" w:beforeAutospacing="1"/>
        <w:jc w:val="center"/>
        <w:rPr>
          <w:rFonts w:ascii="HGSｺﾞｼｯｸE" w:eastAsia="HGSｺﾞｼｯｸE" w:hAnsi="Century" w:cs="HGSｺﾞｼｯｸE"/>
          <w:kern w:val="0"/>
          <w:sz w:val="48"/>
          <w:szCs w:val="48"/>
        </w:rPr>
      </w:pPr>
      <w:r>
        <w:rPr>
          <w:rFonts w:ascii="HGSｺﾞｼｯｸE" w:eastAsia="HGSｺﾞｼｯｸE" w:hAnsi="Century" w:cs="HGSｺﾞｼｯｸE" w:hint="eastAsia"/>
          <w:noProof/>
          <w:kern w:val="0"/>
          <w:sz w:val="48"/>
          <w:szCs w:val="48"/>
        </w:rPr>
        <mc:AlternateContent>
          <mc:Choice Requires="wps">
            <w:drawing>
              <wp:anchor distT="0" distB="0" distL="114300" distR="114300" simplePos="0" relativeHeight="251708927" behindDoc="0" locked="0" layoutInCell="1" allowOverlap="1">
                <wp:simplePos x="0" y="0"/>
                <wp:positionH relativeFrom="column">
                  <wp:posOffset>2305551</wp:posOffset>
                </wp:positionH>
                <wp:positionV relativeFrom="paragraph">
                  <wp:posOffset>164465</wp:posOffset>
                </wp:positionV>
                <wp:extent cx="4731391" cy="486562"/>
                <wp:effectExtent l="19050" t="19050" r="31115" b="46990"/>
                <wp:wrapNone/>
                <wp:docPr id="98" name="角丸四角形 98"/>
                <wp:cNvGraphicFramePr/>
                <a:graphic xmlns:a="http://schemas.openxmlformats.org/drawingml/2006/main">
                  <a:graphicData uri="http://schemas.microsoft.com/office/word/2010/wordprocessingShape">
                    <wps:wsp>
                      <wps:cNvSpPr/>
                      <wps:spPr>
                        <a:xfrm>
                          <a:off x="0" y="0"/>
                          <a:ext cx="4731391" cy="486562"/>
                        </a:xfrm>
                        <a:prstGeom prst="roundRect">
                          <a:avLst/>
                        </a:prstGeom>
                        <a:noFill/>
                        <a:ln w="508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8" o:spid="_x0000_s1026" style="position:absolute;left:0;text-align:left;margin-left:181.55pt;margin-top:12.95pt;width:372.55pt;height:38.3pt;z-index:25170892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" filled="f" strokecolor="#f79646 [3209]" strokeweight="4pt"/>
            </w:pict>
          </mc:Fallback>
        </mc:AlternateContent>
      </w:r>
      <w:r w:rsidR="0023529A" w:rsidRPr="0023529A">
        <w:rPr>
          <w:rFonts w:ascii="HGSｺﾞｼｯｸE" w:eastAsia="HGSｺﾞｼｯｸE" w:hAnsi="Century" w:cs="HGSｺﾞｼｯｸE" w:hint="eastAsia"/>
          <w:kern w:val="0"/>
          <w:sz w:val="48"/>
          <w:szCs w:val="48"/>
        </w:rPr>
        <w:t>人権問題に関する府民意識調査</w:t>
      </w:r>
    </w:p>
    <w:p w:rsidR="0023529A" w:rsidRPr="0023529A" w:rsidRDefault="0023529A" w:rsidP="00AB781C">
      <w:pPr>
        <w:autoSpaceDE w:val="0"/>
        <w:autoSpaceDN w:val="0"/>
        <w:adjustRightInd w:val="0"/>
        <w:jc w:val="center"/>
        <w:rPr>
          <w:rFonts w:ascii="ＭＳ ゴシック" w:eastAsia="ＭＳ ゴシック" w:hAnsi="ＭＳ ゴシック" w:cs="HG創英角ｺﾞｼｯｸUB-WinCharSetFFFF-"/>
          <w:kern w:val="0"/>
          <w:sz w:val="32"/>
          <w:szCs w:val="32"/>
        </w:rPr>
      </w:pPr>
      <w:r w:rsidRPr="0023529A">
        <w:rPr>
          <w:rFonts w:ascii="ＭＳ Ｐゴシック" w:eastAsia="ＭＳ Ｐゴシック" w:hAnsi="ＭＳ Ｐゴシック" w:cs="ＭＳ 明朝" w:hint="eastAsia"/>
          <w:b/>
          <w:kern w:val="0"/>
          <w:sz w:val="44"/>
          <w:szCs w:val="44"/>
        </w:rPr>
        <w:t>調査結果の概要</w:t>
      </w:r>
      <w:r w:rsidR="00AB781C">
        <w:rPr>
          <w:rFonts w:ascii="ＭＳ Ｐゴシック" w:eastAsia="ＭＳ Ｐゴシック" w:hAnsi="ＭＳ Ｐゴシック" w:cs="ＭＳ 明朝" w:hint="eastAsia"/>
          <w:b/>
          <w:kern w:val="0"/>
          <w:sz w:val="44"/>
          <w:szCs w:val="44"/>
        </w:rPr>
        <w:t>（グラフ版）</w:t>
      </w:r>
    </w:p>
    <w:p w:rsidR="0023529A" w:rsidRDefault="0023529A">
      <w:pPr>
        <w:rPr>
          <w:rFonts w:asciiTheme="majorEastAsia" w:eastAsiaTheme="majorEastAsia" w:hAnsiTheme="majorEastAsia"/>
          <w:b/>
          <w:sz w:val="24"/>
          <w:szCs w:val="24"/>
        </w:rPr>
      </w:pPr>
    </w:p>
    <w:p w:rsidR="0023529A" w:rsidRDefault="0023529A">
      <w:pPr>
        <w:rPr>
          <w:rFonts w:asciiTheme="majorEastAsia" w:eastAsiaTheme="majorEastAsia" w:hAnsiTheme="majorEastAsia"/>
          <w:b/>
          <w:sz w:val="24"/>
          <w:szCs w:val="24"/>
        </w:rPr>
      </w:pPr>
    </w:p>
    <w:p w:rsidR="00A8016F" w:rsidRPr="00A8016F" w:rsidRDefault="00A8016F" w:rsidP="006C6680">
      <w:pPr>
        <w:widowControl/>
        <w:rPr>
          <w:rFonts w:ascii="ＭＳ Ｐゴシック" w:eastAsia="ＭＳ Ｐゴシック" w:hAnsi="ＭＳ Ｐゴシック" w:cs="ＭＳ 明朝"/>
          <w:b/>
          <w:kern w:val="0"/>
          <w:sz w:val="44"/>
          <w:szCs w:val="44"/>
        </w:rPr>
      </w:pPr>
      <w:r w:rsidRPr="00A8016F">
        <w:rPr>
          <w:rFonts w:ascii="ＭＳ Ｐゴシック" w:eastAsia="ＭＳ Ｐゴシック" w:hAnsi="ＭＳ Ｐゴシック" w:cs="HG創英角ｺﾞｼｯｸUB-WinCharSetFFFF-"/>
          <w:b/>
          <w:kern w:val="0"/>
          <w:sz w:val="44"/>
          <w:szCs w:val="44"/>
        </w:rPr>
        <w:t xml:space="preserve">Ⅰ </w:t>
      </w:r>
      <w:r w:rsidRPr="00A8016F">
        <w:rPr>
          <w:rFonts w:ascii="ＭＳ Ｐゴシック" w:eastAsia="ＭＳ Ｐゴシック" w:hAnsi="ＭＳ Ｐゴシック" w:cs="ＭＳ 明朝" w:hint="eastAsia"/>
          <w:b/>
          <w:kern w:val="0"/>
          <w:sz w:val="44"/>
          <w:szCs w:val="44"/>
        </w:rPr>
        <w:t>調査概要</w:t>
      </w:r>
    </w:p>
    <w:p w:rsidR="00AB781C" w:rsidRDefault="00AB781C">
      <w:pPr>
        <w:rPr>
          <w:rFonts w:asciiTheme="majorEastAsia" w:eastAsiaTheme="majorEastAsia" w:hAnsiTheme="majorEastAsia"/>
          <w:b/>
          <w:sz w:val="24"/>
          <w:szCs w:val="24"/>
        </w:rPr>
      </w:pPr>
    </w:p>
    <w:p w:rsidR="00A8016F" w:rsidRPr="00A8016F" w:rsidRDefault="00A8016F" w:rsidP="00A8016F">
      <w:pP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調査の目的</w:t>
      </w:r>
    </w:p>
    <w:p w:rsidR="00A8016F" w:rsidRPr="00A8016F" w:rsidRDefault="00A8016F" w:rsidP="00A8016F">
      <w:pPr>
        <w:ind w:leftChars="100" w:left="210" w:firstLineChars="100" w:firstLine="241"/>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人権問題に関する府民意識の変化、動向を把握することにより、人権尊重の社会づくりに向けた大阪府の今後の人権教育・啓発施策の効果的な取組のための基礎資料を得る。</w:t>
      </w:r>
    </w:p>
    <w:p w:rsidR="00A8016F" w:rsidRPr="00A8016F" w:rsidRDefault="00A8016F" w:rsidP="00A8016F">
      <w:pPr>
        <w:rPr>
          <w:rFonts w:asciiTheme="majorEastAsia" w:eastAsiaTheme="majorEastAsia" w:hAnsiTheme="majorEastAsia"/>
          <w:b/>
          <w:sz w:val="24"/>
          <w:szCs w:val="24"/>
        </w:rPr>
      </w:pPr>
    </w:p>
    <w:p w:rsidR="00A8016F" w:rsidRPr="00A8016F" w:rsidRDefault="00A8016F" w:rsidP="00A8016F">
      <w:pP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調査の方法</w:t>
      </w:r>
    </w:p>
    <w:p w:rsidR="00A8016F" w:rsidRPr="00A8016F" w:rsidRDefault="00A8016F" w:rsidP="00A8016F">
      <w:pPr>
        <w:ind w:firstLineChars="100" w:firstLine="241"/>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w:t>
      </w:r>
      <w:r w:rsidRPr="00EC6E9C">
        <w:rPr>
          <w:rFonts w:asciiTheme="majorEastAsia" w:eastAsiaTheme="majorEastAsia" w:hAnsiTheme="majorEastAsia" w:hint="eastAsia"/>
          <w:b/>
          <w:kern w:val="0"/>
          <w:sz w:val="24"/>
          <w:szCs w:val="24"/>
        </w:rPr>
        <w:t>調査対象</w:t>
      </w:r>
      <w:r>
        <w:rPr>
          <w:rFonts w:asciiTheme="majorEastAsia" w:eastAsiaTheme="majorEastAsia" w:hAnsiTheme="majorEastAsia" w:hint="eastAsia"/>
          <w:b/>
          <w:sz w:val="24"/>
          <w:szCs w:val="24"/>
        </w:rPr>
        <w:t xml:space="preserve">　</w:t>
      </w:r>
      <w:r w:rsidRPr="00A8016F">
        <w:rPr>
          <w:rFonts w:asciiTheme="majorEastAsia" w:eastAsiaTheme="majorEastAsia" w:hAnsiTheme="majorEastAsia" w:hint="eastAsia"/>
          <w:b/>
          <w:sz w:val="24"/>
          <w:szCs w:val="24"/>
        </w:rPr>
        <w:t>大阪府内に居住している満20歳以上の男女個人</w:t>
      </w:r>
    </w:p>
    <w:p w:rsidR="00EC6E9C" w:rsidRDefault="00A8016F" w:rsidP="00EC6E9C">
      <w:pPr>
        <w:ind w:firstLineChars="100" w:firstLine="241"/>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w:t>
      </w:r>
      <w:r w:rsidRPr="00EC6E9C">
        <w:rPr>
          <w:rFonts w:asciiTheme="majorEastAsia" w:eastAsiaTheme="majorEastAsia" w:hAnsiTheme="majorEastAsia" w:hint="eastAsia"/>
          <w:b/>
          <w:spacing w:val="60"/>
          <w:kern w:val="0"/>
          <w:sz w:val="24"/>
          <w:szCs w:val="24"/>
          <w:fitText w:val="964" w:id="1125431296"/>
        </w:rPr>
        <w:t>対象</w:t>
      </w:r>
      <w:r w:rsidRPr="00EC6E9C">
        <w:rPr>
          <w:rFonts w:asciiTheme="majorEastAsia" w:eastAsiaTheme="majorEastAsia" w:hAnsiTheme="majorEastAsia" w:hint="eastAsia"/>
          <w:b/>
          <w:spacing w:val="1"/>
          <w:kern w:val="0"/>
          <w:sz w:val="24"/>
          <w:szCs w:val="24"/>
          <w:fitText w:val="964" w:id="1125431296"/>
        </w:rPr>
        <w:t>数</w:t>
      </w:r>
      <w:r>
        <w:rPr>
          <w:rFonts w:asciiTheme="majorEastAsia" w:eastAsiaTheme="majorEastAsia" w:hAnsiTheme="majorEastAsia" w:hint="eastAsia"/>
          <w:b/>
          <w:sz w:val="24"/>
          <w:szCs w:val="24"/>
        </w:rPr>
        <w:t xml:space="preserve">　</w:t>
      </w:r>
      <w:r w:rsidRPr="00A8016F">
        <w:rPr>
          <w:rFonts w:asciiTheme="majorEastAsia" w:eastAsiaTheme="majorEastAsia" w:hAnsiTheme="majorEastAsia" w:hint="eastAsia"/>
          <w:b/>
          <w:sz w:val="24"/>
          <w:szCs w:val="24"/>
        </w:rPr>
        <w:t>3,550人</w:t>
      </w:r>
    </w:p>
    <w:p w:rsidR="00EC6E9C" w:rsidRDefault="00EC6E9C" w:rsidP="00EC6E9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00A8016F" w:rsidRPr="00EC6E9C">
        <w:rPr>
          <w:rFonts w:asciiTheme="majorEastAsia" w:eastAsiaTheme="majorEastAsia" w:hAnsiTheme="majorEastAsia" w:hint="eastAsia"/>
          <w:b/>
          <w:kern w:val="0"/>
          <w:sz w:val="24"/>
          <w:szCs w:val="24"/>
        </w:rPr>
        <w:t>調査方法</w:t>
      </w:r>
      <w:r>
        <w:rPr>
          <w:rFonts w:asciiTheme="majorEastAsia" w:eastAsiaTheme="majorEastAsia" w:hAnsiTheme="majorEastAsia" w:hint="eastAsia"/>
          <w:b/>
          <w:sz w:val="24"/>
          <w:szCs w:val="24"/>
        </w:rPr>
        <w:t xml:space="preserve">　</w:t>
      </w:r>
      <w:r w:rsidR="00A8016F" w:rsidRPr="00A8016F">
        <w:rPr>
          <w:rFonts w:asciiTheme="majorEastAsia" w:eastAsiaTheme="majorEastAsia" w:hAnsiTheme="majorEastAsia" w:hint="eastAsia"/>
          <w:b/>
          <w:sz w:val="24"/>
          <w:szCs w:val="24"/>
        </w:rPr>
        <w:t>平成27年10月29日(木)に調査票を調査対象者に郵送し、11月10日(火)に封書により再度協力を依頼</w:t>
      </w:r>
    </w:p>
    <w:p w:rsidR="00A8016F" w:rsidRPr="00A8016F" w:rsidRDefault="00A8016F" w:rsidP="00EC6E9C">
      <w:pPr>
        <w:ind w:firstLineChars="750" w:firstLine="1807"/>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集計対象は、12月3日(木)までに返送された調査票</w:t>
      </w:r>
    </w:p>
    <w:p w:rsidR="00A8016F" w:rsidRPr="00A8016F" w:rsidRDefault="00A8016F" w:rsidP="00A8016F">
      <w:pPr>
        <w:rPr>
          <w:rFonts w:asciiTheme="majorEastAsia" w:eastAsiaTheme="majorEastAsia" w:hAnsiTheme="majorEastAsia"/>
          <w:b/>
          <w:sz w:val="24"/>
          <w:szCs w:val="24"/>
        </w:rPr>
      </w:pPr>
    </w:p>
    <w:p w:rsidR="00A8016F" w:rsidRPr="00A8016F" w:rsidRDefault="00A8016F" w:rsidP="00A8016F">
      <w:pP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抽出方法と層化基準</w:t>
      </w:r>
    </w:p>
    <w:p w:rsidR="00A8016F" w:rsidRPr="00A8016F" w:rsidRDefault="00A8016F" w:rsidP="00E60F4B">
      <w:pPr>
        <w:ind w:firstLineChars="100" w:firstLine="241"/>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(1)抽出方法</w:t>
      </w:r>
      <w:r>
        <w:rPr>
          <w:rFonts w:asciiTheme="majorEastAsia" w:eastAsiaTheme="majorEastAsia" w:hAnsiTheme="majorEastAsia" w:hint="eastAsia"/>
          <w:b/>
          <w:sz w:val="24"/>
          <w:szCs w:val="24"/>
        </w:rPr>
        <w:t xml:space="preserve">　</w:t>
      </w:r>
      <w:r w:rsidRPr="00A8016F">
        <w:rPr>
          <w:rFonts w:asciiTheme="majorEastAsia" w:eastAsiaTheme="majorEastAsia" w:hAnsiTheme="majorEastAsia" w:hint="eastAsia"/>
          <w:b/>
          <w:sz w:val="24"/>
          <w:szCs w:val="24"/>
        </w:rPr>
        <w:t>層化二段無作為抽出</w:t>
      </w:r>
    </w:p>
    <w:p w:rsidR="00A8016F" w:rsidRPr="00A8016F" w:rsidRDefault="00A8016F" w:rsidP="00E60F4B">
      <w:pPr>
        <w:ind w:firstLineChars="100" w:firstLine="241"/>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(2)層化基準</w:t>
      </w:r>
      <w:r>
        <w:rPr>
          <w:rFonts w:asciiTheme="majorEastAsia" w:eastAsiaTheme="majorEastAsia" w:hAnsiTheme="majorEastAsia" w:hint="eastAsia"/>
          <w:b/>
          <w:sz w:val="24"/>
          <w:szCs w:val="24"/>
        </w:rPr>
        <w:t xml:space="preserve">　</w:t>
      </w:r>
      <w:r w:rsidRPr="00A8016F">
        <w:rPr>
          <w:rFonts w:asciiTheme="majorEastAsia" w:eastAsiaTheme="majorEastAsia" w:hAnsiTheme="majorEastAsia" w:hint="eastAsia"/>
          <w:b/>
          <w:sz w:val="24"/>
          <w:szCs w:val="24"/>
        </w:rPr>
        <w:t>府内全66市区町村をそれぞれ1つの層とした。</w:t>
      </w:r>
    </w:p>
    <w:p w:rsidR="00A8016F" w:rsidRPr="00A8016F" w:rsidRDefault="00A8016F" w:rsidP="00A8016F">
      <w:pPr>
        <w:rPr>
          <w:rFonts w:asciiTheme="majorEastAsia" w:eastAsiaTheme="majorEastAsia" w:hAnsiTheme="majorEastAsia"/>
          <w:b/>
          <w:sz w:val="24"/>
          <w:szCs w:val="24"/>
        </w:rPr>
      </w:pPr>
    </w:p>
    <w:p w:rsidR="007456B2" w:rsidRPr="00A8016F" w:rsidRDefault="00A8016F" w:rsidP="00A8016F">
      <w:pP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回収状況</w:t>
      </w:r>
    </w:p>
    <w:tbl>
      <w:tblPr>
        <w:tblW w:w="0" w:type="auto"/>
        <w:tblInd w:w="10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835"/>
        <w:gridCol w:w="1283"/>
        <w:gridCol w:w="1276"/>
        <w:gridCol w:w="1276"/>
        <w:gridCol w:w="1417"/>
        <w:gridCol w:w="1418"/>
        <w:gridCol w:w="1824"/>
        <w:gridCol w:w="1709"/>
      </w:tblGrid>
      <w:tr w:rsidR="007456B2" w:rsidRPr="00A8016F" w:rsidTr="007456B2">
        <w:tc>
          <w:tcPr>
            <w:tcW w:w="1835" w:type="dxa"/>
            <w:tcBorders>
              <w:top w:val="single" w:sz="8" w:space="0" w:color="auto"/>
              <w:left w:val="single" w:sz="8" w:space="0" w:color="auto"/>
              <w:bottom w:val="single" w:sz="8" w:space="0" w:color="auto"/>
              <w:right w:val="single" w:sz="8" w:space="0" w:color="auto"/>
            </w:tcBorders>
            <w:hideMark/>
          </w:tcPr>
          <w:p w:rsidR="00A8016F" w:rsidRPr="00A8016F" w:rsidRDefault="00A8016F" w:rsidP="00E60F4B">
            <w:pPr>
              <w:ind w:firstLineChars="100" w:firstLine="241"/>
              <w:rPr>
                <w:rFonts w:asciiTheme="majorEastAsia" w:eastAsiaTheme="majorEastAsia" w:hAnsiTheme="majorEastAsia"/>
                <w:b/>
                <w:sz w:val="24"/>
                <w:szCs w:val="24"/>
              </w:rPr>
            </w:pPr>
          </w:p>
        </w:tc>
        <w:tc>
          <w:tcPr>
            <w:tcW w:w="1283" w:type="dxa"/>
            <w:tcBorders>
              <w:top w:val="single" w:sz="8" w:space="0" w:color="auto"/>
              <w:left w:val="single" w:sz="8" w:space="0" w:color="auto"/>
              <w:bottom w:val="single" w:sz="8" w:space="0" w:color="auto"/>
              <w:right w:val="single" w:sz="4" w:space="0" w:color="auto"/>
            </w:tcBorders>
            <w:vAlign w:val="center"/>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割　当</w:t>
            </w:r>
          </w:p>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標本数</w:t>
            </w:r>
          </w:p>
        </w:tc>
        <w:tc>
          <w:tcPr>
            <w:tcW w:w="1276" w:type="dxa"/>
            <w:tcBorders>
              <w:top w:val="single" w:sz="8" w:space="0" w:color="auto"/>
              <w:left w:val="single" w:sz="4" w:space="0" w:color="auto"/>
              <w:bottom w:val="single" w:sz="8" w:space="0" w:color="auto"/>
              <w:right w:val="single" w:sz="4" w:space="0" w:color="auto"/>
            </w:tcBorders>
            <w:vAlign w:val="center"/>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到　達</w:t>
            </w:r>
          </w:p>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標本数</w:t>
            </w:r>
          </w:p>
        </w:tc>
        <w:tc>
          <w:tcPr>
            <w:tcW w:w="1276" w:type="dxa"/>
            <w:tcBorders>
              <w:top w:val="single" w:sz="8" w:space="0" w:color="auto"/>
              <w:left w:val="single" w:sz="4" w:space="0" w:color="auto"/>
              <w:bottom w:val="single" w:sz="8" w:space="0" w:color="auto"/>
              <w:right w:val="single" w:sz="4" w:space="0" w:color="auto"/>
            </w:tcBorders>
            <w:vAlign w:val="center"/>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不到達</w:t>
            </w:r>
          </w:p>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標本数</w:t>
            </w:r>
          </w:p>
        </w:tc>
        <w:tc>
          <w:tcPr>
            <w:tcW w:w="1417" w:type="dxa"/>
            <w:tcBorders>
              <w:top w:val="single" w:sz="8" w:space="0" w:color="auto"/>
              <w:left w:val="single" w:sz="4" w:space="0" w:color="auto"/>
              <w:bottom w:val="single" w:sz="8" w:space="0" w:color="auto"/>
              <w:right w:val="single" w:sz="4" w:space="0" w:color="auto"/>
            </w:tcBorders>
            <w:vAlign w:val="center"/>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有効回収</w:t>
            </w:r>
          </w:p>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調査票数</w:t>
            </w:r>
          </w:p>
        </w:tc>
        <w:tc>
          <w:tcPr>
            <w:tcW w:w="1418" w:type="dxa"/>
            <w:tcBorders>
              <w:top w:val="single" w:sz="8" w:space="0" w:color="auto"/>
              <w:left w:val="single" w:sz="4" w:space="0" w:color="auto"/>
              <w:bottom w:val="single" w:sz="8" w:space="0" w:color="auto"/>
              <w:right w:val="single" w:sz="4" w:space="0" w:color="auto"/>
            </w:tcBorders>
            <w:vAlign w:val="center"/>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無効</w:t>
            </w:r>
          </w:p>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調査票数</w:t>
            </w:r>
          </w:p>
        </w:tc>
        <w:tc>
          <w:tcPr>
            <w:tcW w:w="1824" w:type="dxa"/>
            <w:tcBorders>
              <w:top w:val="single" w:sz="8" w:space="0" w:color="auto"/>
              <w:left w:val="single" w:sz="4" w:space="0" w:color="auto"/>
              <w:bottom w:val="single" w:sz="8" w:space="0" w:color="auto"/>
              <w:right w:val="single" w:sz="4" w:space="0" w:color="auto"/>
            </w:tcBorders>
            <w:hideMark/>
          </w:tcPr>
          <w:p w:rsidR="00E60F4B"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割当標本数に</w:t>
            </w:r>
          </w:p>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対する回収率</w:t>
            </w:r>
          </w:p>
        </w:tc>
        <w:tc>
          <w:tcPr>
            <w:tcW w:w="1709" w:type="dxa"/>
            <w:tcBorders>
              <w:top w:val="single" w:sz="8" w:space="0" w:color="auto"/>
              <w:left w:val="single" w:sz="4" w:space="0" w:color="auto"/>
              <w:bottom w:val="single" w:sz="8" w:space="0" w:color="auto"/>
              <w:right w:val="single" w:sz="8" w:space="0" w:color="auto"/>
            </w:tcBorders>
            <w:hideMark/>
          </w:tcPr>
          <w:p w:rsidR="00E60F4B"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到達標本数に</w:t>
            </w:r>
          </w:p>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対する回収率</w:t>
            </w:r>
          </w:p>
        </w:tc>
      </w:tr>
      <w:tr w:rsidR="007456B2" w:rsidRPr="00A8016F" w:rsidTr="007456B2">
        <w:tc>
          <w:tcPr>
            <w:tcW w:w="1835" w:type="dxa"/>
            <w:tcBorders>
              <w:top w:val="single" w:sz="8" w:space="0" w:color="auto"/>
              <w:left w:val="single" w:sz="8" w:space="0" w:color="auto"/>
              <w:bottom w:val="single" w:sz="4" w:space="0" w:color="auto"/>
              <w:right w:val="single" w:sz="8" w:space="0" w:color="auto"/>
            </w:tcBorders>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総　数</w:t>
            </w:r>
          </w:p>
        </w:tc>
        <w:tc>
          <w:tcPr>
            <w:tcW w:w="1283" w:type="dxa"/>
            <w:tcBorders>
              <w:top w:val="single" w:sz="8" w:space="0" w:color="auto"/>
              <w:left w:val="single" w:sz="8" w:space="0" w:color="auto"/>
              <w:bottom w:val="single" w:sz="4"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3,550</w:t>
            </w:r>
          </w:p>
        </w:tc>
        <w:tc>
          <w:tcPr>
            <w:tcW w:w="1276" w:type="dxa"/>
            <w:tcBorders>
              <w:top w:val="single" w:sz="8" w:space="0" w:color="auto"/>
              <w:left w:val="single" w:sz="4" w:space="0" w:color="auto"/>
              <w:bottom w:val="single" w:sz="4"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3,469</w:t>
            </w:r>
          </w:p>
        </w:tc>
        <w:tc>
          <w:tcPr>
            <w:tcW w:w="1276" w:type="dxa"/>
            <w:tcBorders>
              <w:top w:val="single" w:sz="8" w:space="0" w:color="auto"/>
              <w:left w:val="single" w:sz="4" w:space="0" w:color="auto"/>
              <w:bottom w:val="single" w:sz="4"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81</w:t>
            </w:r>
          </w:p>
        </w:tc>
        <w:tc>
          <w:tcPr>
            <w:tcW w:w="1417" w:type="dxa"/>
            <w:tcBorders>
              <w:top w:val="single" w:sz="8" w:space="0" w:color="auto"/>
              <w:left w:val="single" w:sz="4" w:space="0" w:color="auto"/>
              <w:bottom w:val="single" w:sz="4"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1,358</w:t>
            </w:r>
          </w:p>
        </w:tc>
        <w:tc>
          <w:tcPr>
            <w:tcW w:w="1418" w:type="dxa"/>
            <w:tcBorders>
              <w:top w:val="single" w:sz="8" w:space="0" w:color="auto"/>
              <w:left w:val="single" w:sz="4" w:space="0" w:color="auto"/>
              <w:bottom w:val="single" w:sz="4"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w:t>
            </w:r>
          </w:p>
        </w:tc>
        <w:tc>
          <w:tcPr>
            <w:tcW w:w="1824" w:type="dxa"/>
            <w:tcBorders>
              <w:top w:val="single" w:sz="8" w:space="0" w:color="auto"/>
              <w:left w:val="single" w:sz="4" w:space="0" w:color="auto"/>
              <w:bottom w:val="single" w:sz="4"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38.3%</w:t>
            </w:r>
          </w:p>
        </w:tc>
        <w:tc>
          <w:tcPr>
            <w:tcW w:w="1709" w:type="dxa"/>
            <w:tcBorders>
              <w:top w:val="single" w:sz="8" w:space="0" w:color="auto"/>
              <w:left w:val="single" w:sz="4" w:space="0" w:color="auto"/>
              <w:bottom w:val="single" w:sz="4" w:space="0" w:color="auto"/>
              <w:right w:val="single" w:sz="8"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39.1%</w:t>
            </w:r>
          </w:p>
        </w:tc>
      </w:tr>
      <w:tr w:rsidR="007456B2" w:rsidRPr="00A8016F" w:rsidTr="007456B2">
        <w:tc>
          <w:tcPr>
            <w:tcW w:w="1835" w:type="dxa"/>
            <w:tcBorders>
              <w:top w:val="single" w:sz="8" w:space="0" w:color="auto"/>
              <w:left w:val="single" w:sz="8" w:space="0" w:color="auto"/>
              <w:bottom w:val="single" w:sz="2" w:space="0" w:color="auto"/>
              <w:right w:val="single" w:sz="8" w:space="0" w:color="auto"/>
            </w:tcBorders>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平成22年調査</w:t>
            </w:r>
          </w:p>
        </w:tc>
        <w:tc>
          <w:tcPr>
            <w:tcW w:w="1283" w:type="dxa"/>
            <w:tcBorders>
              <w:top w:val="single" w:sz="8" w:space="0" w:color="auto"/>
              <w:left w:val="single" w:sz="8"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2,000</w:t>
            </w:r>
          </w:p>
        </w:tc>
        <w:tc>
          <w:tcPr>
            <w:tcW w:w="1276" w:type="dxa"/>
            <w:tcBorders>
              <w:top w:val="single" w:sz="8"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1,982</w:t>
            </w:r>
          </w:p>
        </w:tc>
        <w:tc>
          <w:tcPr>
            <w:tcW w:w="1276" w:type="dxa"/>
            <w:tcBorders>
              <w:top w:val="single" w:sz="8"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18</w:t>
            </w:r>
          </w:p>
        </w:tc>
        <w:tc>
          <w:tcPr>
            <w:tcW w:w="1417" w:type="dxa"/>
            <w:tcBorders>
              <w:top w:val="single" w:sz="8"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903</w:t>
            </w:r>
          </w:p>
        </w:tc>
        <w:tc>
          <w:tcPr>
            <w:tcW w:w="1418" w:type="dxa"/>
            <w:tcBorders>
              <w:top w:val="single" w:sz="8"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17</w:t>
            </w:r>
          </w:p>
        </w:tc>
        <w:tc>
          <w:tcPr>
            <w:tcW w:w="1824" w:type="dxa"/>
            <w:tcBorders>
              <w:top w:val="single" w:sz="8"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45.2%</w:t>
            </w:r>
          </w:p>
        </w:tc>
        <w:tc>
          <w:tcPr>
            <w:tcW w:w="1709" w:type="dxa"/>
            <w:tcBorders>
              <w:top w:val="single" w:sz="8" w:space="0" w:color="auto"/>
              <w:left w:val="single" w:sz="4" w:space="0" w:color="auto"/>
              <w:bottom w:val="single" w:sz="2" w:space="0" w:color="auto"/>
              <w:right w:val="single" w:sz="8"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45.6%</w:t>
            </w:r>
          </w:p>
        </w:tc>
      </w:tr>
      <w:tr w:rsidR="007456B2" w:rsidRPr="00A8016F" w:rsidTr="007456B2">
        <w:tc>
          <w:tcPr>
            <w:tcW w:w="1835" w:type="dxa"/>
            <w:tcBorders>
              <w:top w:val="single" w:sz="2" w:space="0" w:color="auto"/>
              <w:left w:val="single" w:sz="8" w:space="0" w:color="auto"/>
              <w:bottom w:val="single" w:sz="2" w:space="0" w:color="auto"/>
              <w:right w:val="single" w:sz="8" w:space="0" w:color="auto"/>
            </w:tcBorders>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平成17年調査</w:t>
            </w:r>
          </w:p>
        </w:tc>
        <w:tc>
          <w:tcPr>
            <w:tcW w:w="1283" w:type="dxa"/>
            <w:tcBorders>
              <w:top w:val="single" w:sz="2" w:space="0" w:color="auto"/>
              <w:left w:val="single" w:sz="8"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7,000</w:t>
            </w:r>
          </w:p>
        </w:tc>
        <w:tc>
          <w:tcPr>
            <w:tcW w:w="1276"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6,913</w:t>
            </w:r>
          </w:p>
        </w:tc>
        <w:tc>
          <w:tcPr>
            <w:tcW w:w="1276"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87</w:t>
            </w:r>
          </w:p>
        </w:tc>
        <w:tc>
          <w:tcPr>
            <w:tcW w:w="1417"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3,675</w:t>
            </w:r>
          </w:p>
        </w:tc>
        <w:tc>
          <w:tcPr>
            <w:tcW w:w="1418"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219</w:t>
            </w:r>
          </w:p>
        </w:tc>
        <w:tc>
          <w:tcPr>
            <w:tcW w:w="1824"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52.5%</w:t>
            </w:r>
          </w:p>
        </w:tc>
        <w:tc>
          <w:tcPr>
            <w:tcW w:w="1709" w:type="dxa"/>
            <w:tcBorders>
              <w:top w:val="single" w:sz="2" w:space="0" w:color="auto"/>
              <w:left w:val="single" w:sz="4" w:space="0" w:color="auto"/>
              <w:bottom w:val="single" w:sz="2" w:space="0" w:color="auto"/>
              <w:right w:val="single" w:sz="8"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53.2%</w:t>
            </w:r>
          </w:p>
        </w:tc>
      </w:tr>
      <w:tr w:rsidR="007456B2" w:rsidRPr="00A8016F" w:rsidTr="007456B2">
        <w:tc>
          <w:tcPr>
            <w:tcW w:w="1835" w:type="dxa"/>
            <w:tcBorders>
              <w:top w:val="single" w:sz="2" w:space="0" w:color="auto"/>
              <w:left w:val="single" w:sz="8" w:space="0" w:color="auto"/>
              <w:bottom w:val="single" w:sz="2" w:space="0" w:color="auto"/>
              <w:right w:val="single" w:sz="8" w:space="0" w:color="auto"/>
            </w:tcBorders>
            <w:hideMark/>
          </w:tcPr>
          <w:p w:rsidR="00A8016F" w:rsidRPr="00A8016F" w:rsidRDefault="00A8016F"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平成12年調査</w:t>
            </w:r>
          </w:p>
        </w:tc>
        <w:tc>
          <w:tcPr>
            <w:tcW w:w="1283" w:type="dxa"/>
            <w:tcBorders>
              <w:top w:val="single" w:sz="2" w:space="0" w:color="auto"/>
              <w:left w:val="single" w:sz="8"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10,000</w:t>
            </w:r>
          </w:p>
        </w:tc>
        <w:tc>
          <w:tcPr>
            <w:tcW w:w="1276"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9,770</w:t>
            </w:r>
          </w:p>
        </w:tc>
        <w:tc>
          <w:tcPr>
            <w:tcW w:w="1276"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230</w:t>
            </w:r>
          </w:p>
        </w:tc>
        <w:tc>
          <w:tcPr>
            <w:tcW w:w="1417"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5,568</w:t>
            </w:r>
          </w:p>
        </w:tc>
        <w:tc>
          <w:tcPr>
            <w:tcW w:w="1418"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251</w:t>
            </w:r>
          </w:p>
        </w:tc>
        <w:tc>
          <w:tcPr>
            <w:tcW w:w="1824" w:type="dxa"/>
            <w:tcBorders>
              <w:top w:val="single" w:sz="2" w:space="0" w:color="auto"/>
              <w:left w:val="single" w:sz="4" w:space="0" w:color="auto"/>
              <w:bottom w:val="single" w:sz="2" w:space="0" w:color="auto"/>
              <w:right w:val="single" w:sz="4"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55.7%</w:t>
            </w:r>
          </w:p>
        </w:tc>
        <w:tc>
          <w:tcPr>
            <w:tcW w:w="1709" w:type="dxa"/>
            <w:tcBorders>
              <w:top w:val="single" w:sz="2" w:space="0" w:color="auto"/>
              <w:left w:val="single" w:sz="4" w:space="0" w:color="auto"/>
              <w:bottom w:val="single" w:sz="2" w:space="0" w:color="auto"/>
              <w:right w:val="single" w:sz="8" w:space="0" w:color="auto"/>
            </w:tcBorders>
            <w:vAlign w:val="center"/>
            <w:hideMark/>
          </w:tcPr>
          <w:p w:rsidR="00A8016F" w:rsidRPr="00A8016F" w:rsidRDefault="00A8016F" w:rsidP="00E60F4B">
            <w:pPr>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57.0%</w:t>
            </w:r>
          </w:p>
        </w:tc>
      </w:tr>
    </w:tbl>
    <w:p w:rsidR="00A8016F" w:rsidRPr="00A8016F" w:rsidRDefault="00A8016F" w:rsidP="00A8016F">
      <w:pPr>
        <w:rPr>
          <w:rFonts w:asciiTheme="majorEastAsia" w:eastAsiaTheme="majorEastAsia" w:hAnsiTheme="majorEastAsia"/>
          <w:b/>
          <w:sz w:val="24"/>
          <w:szCs w:val="24"/>
        </w:rPr>
      </w:pPr>
    </w:p>
    <w:p w:rsidR="00A8016F" w:rsidRPr="00A8016F" w:rsidRDefault="00A8016F" w:rsidP="00A8016F">
      <w:pP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基本的属性</w:t>
      </w:r>
    </w:p>
    <w:p w:rsidR="00A8016F" w:rsidRPr="00A8016F" w:rsidRDefault="00A8016F" w:rsidP="00E60F4B">
      <w:pPr>
        <w:ind w:firstLineChars="100" w:firstLine="241"/>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(1)性別</w:t>
      </w:r>
    </w:p>
    <w:tbl>
      <w:tblPr>
        <w:tblpPr w:leftFromText="142" w:rightFromText="142" w:vertAnchor="text" w:horzAnchor="page" w:tblpX="2134" w:tblpY="106"/>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946"/>
        <w:gridCol w:w="1342"/>
        <w:gridCol w:w="1170"/>
        <w:gridCol w:w="1170"/>
        <w:gridCol w:w="2409"/>
        <w:gridCol w:w="1134"/>
      </w:tblGrid>
      <w:tr w:rsidR="007D599D" w:rsidRPr="00A8016F" w:rsidTr="007D599D">
        <w:tc>
          <w:tcPr>
            <w:tcW w:w="1946" w:type="dxa"/>
            <w:tcBorders>
              <w:top w:val="single" w:sz="8" w:space="0" w:color="auto"/>
              <w:left w:val="single" w:sz="8" w:space="0" w:color="auto"/>
              <w:bottom w:val="single" w:sz="8" w:space="0" w:color="auto"/>
              <w:right w:val="single" w:sz="8" w:space="0" w:color="auto"/>
            </w:tcBorders>
            <w:vAlign w:val="center"/>
            <w:hideMark/>
          </w:tcPr>
          <w:p w:rsidR="007D599D" w:rsidRPr="00A8016F" w:rsidRDefault="007D599D" w:rsidP="007456B2">
            <w:pPr>
              <w:spacing w:line="280" w:lineRule="exact"/>
              <w:rPr>
                <w:rFonts w:asciiTheme="majorEastAsia" w:eastAsiaTheme="majorEastAsia" w:hAnsiTheme="majorEastAsia"/>
                <w:b/>
                <w:sz w:val="24"/>
                <w:szCs w:val="24"/>
              </w:rPr>
            </w:pPr>
          </w:p>
        </w:tc>
        <w:tc>
          <w:tcPr>
            <w:tcW w:w="1342" w:type="dxa"/>
            <w:tcBorders>
              <w:top w:val="single" w:sz="8" w:space="0" w:color="auto"/>
              <w:left w:val="single" w:sz="8" w:space="0" w:color="auto"/>
              <w:bottom w:val="single" w:sz="8" w:space="0" w:color="auto"/>
              <w:right w:val="single" w:sz="4" w:space="0" w:color="auto"/>
            </w:tcBorders>
            <w:vAlign w:val="center"/>
            <w:hideMark/>
          </w:tcPr>
          <w:p w:rsidR="007D599D" w:rsidRPr="00A8016F" w:rsidRDefault="007D599D"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回答者数</w:t>
            </w:r>
          </w:p>
        </w:tc>
        <w:tc>
          <w:tcPr>
            <w:tcW w:w="1170" w:type="dxa"/>
            <w:tcBorders>
              <w:top w:val="single" w:sz="8" w:space="0" w:color="auto"/>
              <w:left w:val="single" w:sz="4" w:space="0" w:color="auto"/>
              <w:bottom w:val="single" w:sz="8" w:space="0" w:color="auto"/>
              <w:right w:val="single" w:sz="4" w:space="0" w:color="auto"/>
            </w:tcBorders>
            <w:vAlign w:val="center"/>
            <w:hideMark/>
          </w:tcPr>
          <w:p w:rsidR="007D599D" w:rsidRPr="00A8016F" w:rsidRDefault="007D599D"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男性</w:t>
            </w:r>
          </w:p>
        </w:tc>
        <w:tc>
          <w:tcPr>
            <w:tcW w:w="1170" w:type="dxa"/>
            <w:tcBorders>
              <w:top w:val="single" w:sz="8" w:space="0" w:color="auto"/>
              <w:left w:val="single" w:sz="4" w:space="0" w:color="auto"/>
              <w:bottom w:val="single" w:sz="8" w:space="0" w:color="auto"/>
              <w:right w:val="single" w:sz="6" w:space="0" w:color="auto"/>
            </w:tcBorders>
            <w:vAlign w:val="center"/>
            <w:hideMark/>
          </w:tcPr>
          <w:p w:rsidR="007D599D" w:rsidRPr="00A8016F" w:rsidRDefault="007D599D"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女性</w:t>
            </w:r>
          </w:p>
        </w:tc>
        <w:tc>
          <w:tcPr>
            <w:tcW w:w="2409" w:type="dxa"/>
            <w:tcBorders>
              <w:top w:val="single" w:sz="8" w:space="0" w:color="auto"/>
              <w:left w:val="single" w:sz="6" w:space="0" w:color="auto"/>
              <w:bottom w:val="single" w:sz="8" w:space="0" w:color="auto"/>
              <w:right w:val="single" w:sz="6" w:space="0" w:color="auto"/>
            </w:tcBorders>
            <w:vAlign w:val="center"/>
            <w:hideMark/>
          </w:tcPr>
          <w:p w:rsidR="007D599D" w:rsidRPr="00A8016F" w:rsidRDefault="007D599D" w:rsidP="007456B2">
            <w:pPr>
              <w:spacing w:line="280" w:lineRule="exac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男性・女性と答えることに抵抗を感じる</w:t>
            </w:r>
          </w:p>
        </w:tc>
        <w:tc>
          <w:tcPr>
            <w:tcW w:w="1134" w:type="dxa"/>
            <w:tcBorders>
              <w:top w:val="single" w:sz="8" w:space="0" w:color="auto"/>
              <w:left w:val="single" w:sz="6" w:space="0" w:color="auto"/>
              <w:bottom w:val="single" w:sz="8" w:space="0" w:color="auto"/>
              <w:right w:val="single" w:sz="8" w:space="0" w:color="auto"/>
            </w:tcBorders>
            <w:vAlign w:val="center"/>
            <w:hideMark/>
          </w:tcPr>
          <w:p w:rsidR="007D599D" w:rsidRPr="00A8016F" w:rsidRDefault="007D599D"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不明</w:t>
            </w:r>
          </w:p>
        </w:tc>
      </w:tr>
      <w:tr w:rsidR="007D599D" w:rsidRPr="00A8016F" w:rsidTr="007D599D">
        <w:tc>
          <w:tcPr>
            <w:tcW w:w="1946" w:type="dxa"/>
            <w:tcBorders>
              <w:top w:val="single" w:sz="8" w:space="0" w:color="auto"/>
              <w:left w:val="single" w:sz="8" w:space="0" w:color="auto"/>
              <w:bottom w:val="single" w:sz="8" w:space="0" w:color="auto"/>
              <w:right w:val="single" w:sz="8" w:space="0" w:color="auto"/>
            </w:tcBorders>
            <w:vAlign w:val="center"/>
            <w:hideMark/>
          </w:tcPr>
          <w:p w:rsidR="007D599D" w:rsidRPr="00A8016F" w:rsidRDefault="007D599D"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平成27年調査</w:t>
            </w:r>
          </w:p>
        </w:tc>
        <w:tc>
          <w:tcPr>
            <w:tcW w:w="1342" w:type="dxa"/>
            <w:tcBorders>
              <w:top w:val="single" w:sz="8" w:space="0" w:color="auto"/>
              <w:left w:val="single" w:sz="8" w:space="0" w:color="auto"/>
              <w:bottom w:val="single" w:sz="8" w:space="0" w:color="auto"/>
              <w:right w:val="single" w:sz="4"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100.0</w:t>
            </w:r>
            <w:r w:rsidR="00447670">
              <w:rPr>
                <w:rFonts w:asciiTheme="majorEastAsia" w:eastAsiaTheme="majorEastAsia" w:hAnsiTheme="majorEastAsia" w:hint="eastAsia"/>
                <w:b/>
                <w:sz w:val="24"/>
                <w:szCs w:val="24"/>
              </w:rPr>
              <w:t>%</w:t>
            </w:r>
          </w:p>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1,358</w:t>
            </w:r>
          </w:p>
        </w:tc>
        <w:tc>
          <w:tcPr>
            <w:tcW w:w="1170" w:type="dxa"/>
            <w:tcBorders>
              <w:top w:val="single" w:sz="8" w:space="0" w:color="auto"/>
              <w:left w:val="single" w:sz="4" w:space="0" w:color="auto"/>
              <w:bottom w:val="single" w:sz="8" w:space="0" w:color="auto"/>
              <w:right w:val="single" w:sz="4"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41.9</w:t>
            </w:r>
            <w:r w:rsidR="00447670">
              <w:rPr>
                <w:rFonts w:asciiTheme="majorEastAsia" w:eastAsiaTheme="majorEastAsia" w:hAnsiTheme="majorEastAsia" w:hint="eastAsia"/>
                <w:b/>
                <w:sz w:val="24"/>
                <w:szCs w:val="24"/>
              </w:rPr>
              <w:t>%</w:t>
            </w:r>
          </w:p>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569</w:t>
            </w:r>
          </w:p>
        </w:tc>
        <w:tc>
          <w:tcPr>
            <w:tcW w:w="1170" w:type="dxa"/>
            <w:tcBorders>
              <w:top w:val="single" w:sz="8" w:space="0" w:color="auto"/>
              <w:left w:val="single" w:sz="4" w:space="0" w:color="auto"/>
              <w:bottom w:val="single" w:sz="8" w:space="0" w:color="auto"/>
              <w:right w:val="single" w:sz="6"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55.8</w:t>
            </w:r>
            <w:r w:rsidR="00447670">
              <w:rPr>
                <w:rFonts w:asciiTheme="majorEastAsia" w:eastAsiaTheme="majorEastAsia" w:hAnsiTheme="majorEastAsia" w:hint="eastAsia"/>
                <w:b/>
                <w:sz w:val="24"/>
                <w:szCs w:val="24"/>
              </w:rPr>
              <w:t>%</w:t>
            </w:r>
          </w:p>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758</w:t>
            </w:r>
          </w:p>
        </w:tc>
        <w:tc>
          <w:tcPr>
            <w:tcW w:w="2409" w:type="dxa"/>
            <w:tcBorders>
              <w:top w:val="single" w:sz="8" w:space="0" w:color="auto"/>
              <w:left w:val="single" w:sz="6" w:space="0" w:color="auto"/>
              <w:bottom w:val="single" w:sz="8" w:space="0" w:color="auto"/>
              <w:right w:val="single" w:sz="6"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1.3</w:t>
            </w:r>
            <w:r w:rsidR="00447670">
              <w:rPr>
                <w:rFonts w:asciiTheme="majorEastAsia" w:eastAsiaTheme="majorEastAsia" w:hAnsiTheme="majorEastAsia" w:hint="eastAsia"/>
                <w:b/>
                <w:sz w:val="24"/>
                <w:szCs w:val="24"/>
              </w:rPr>
              <w:t>%</w:t>
            </w:r>
          </w:p>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18</w:t>
            </w:r>
          </w:p>
        </w:tc>
        <w:tc>
          <w:tcPr>
            <w:tcW w:w="1134" w:type="dxa"/>
            <w:tcBorders>
              <w:top w:val="single" w:sz="8" w:space="0" w:color="auto"/>
              <w:left w:val="single" w:sz="6" w:space="0" w:color="auto"/>
              <w:bottom w:val="single" w:sz="8" w:space="0" w:color="auto"/>
              <w:right w:val="single" w:sz="8"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1.0</w:t>
            </w:r>
            <w:r w:rsidR="00447670">
              <w:rPr>
                <w:rFonts w:asciiTheme="majorEastAsia" w:eastAsiaTheme="majorEastAsia" w:hAnsiTheme="majorEastAsia" w:hint="eastAsia"/>
                <w:b/>
                <w:sz w:val="24"/>
                <w:szCs w:val="24"/>
              </w:rPr>
              <w:t>%</w:t>
            </w:r>
          </w:p>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13</w:t>
            </w:r>
          </w:p>
        </w:tc>
      </w:tr>
      <w:tr w:rsidR="007D599D" w:rsidRPr="00A8016F" w:rsidTr="007D599D">
        <w:trPr>
          <w:trHeight w:val="354"/>
        </w:trPr>
        <w:tc>
          <w:tcPr>
            <w:tcW w:w="1946" w:type="dxa"/>
            <w:tcBorders>
              <w:top w:val="double" w:sz="4" w:space="0" w:color="auto"/>
              <w:left w:val="single" w:sz="8" w:space="0" w:color="auto"/>
              <w:bottom w:val="single" w:sz="8" w:space="0" w:color="auto"/>
              <w:right w:val="single" w:sz="8" w:space="0" w:color="auto"/>
            </w:tcBorders>
            <w:vAlign w:val="center"/>
            <w:hideMark/>
          </w:tcPr>
          <w:p w:rsidR="007D599D" w:rsidRPr="00A8016F" w:rsidRDefault="007D599D"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平成22年</w:t>
            </w:r>
          </w:p>
          <w:p w:rsidR="007D599D" w:rsidRPr="00A8016F" w:rsidRDefault="007D599D"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国勢調査</w:t>
            </w:r>
          </w:p>
        </w:tc>
        <w:tc>
          <w:tcPr>
            <w:tcW w:w="1342" w:type="dxa"/>
            <w:tcBorders>
              <w:top w:val="double" w:sz="4" w:space="0" w:color="auto"/>
              <w:left w:val="single" w:sz="8" w:space="0" w:color="auto"/>
              <w:bottom w:val="single" w:sz="8" w:space="0" w:color="auto"/>
              <w:right w:val="single" w:sz="4"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100.0</w:t>
            </w:r>
            <w:r w:rsidR="00447670">
              <w:rPr>
                <w:rFonts w:asciiTheme="majorEastAsia" w:eastAsiaTheme="majorEastAsia" w:hAnsiTheme="majorEastAsia" w:hint="eastAsia"/>
                <w:b/>
                <w:sz w:val="24"/>
                <w:szCs w:val="24"/>
              </w:rPr>
              <w:t>%</w:t>
            </w:r>
          </w:p>
        </w:tc>
        <w:tc>
          <w:tcPr>
            <w:tcW w:w="1170" w:type="dxa"/>
            <w:tcBorders>
              <w:top w:val="double" w:sz="4" w:space="0" w:color="auto"/>
              <w:left w:val="single" w:sz="4" w:space="0" w:color="auto"/>
              <w:bottom w:val="single" w:sz="8" w:space="0" w:color="auto"/>
              <w:right w:val="single" w:sz="4"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47.7</w:t>
            </w:r>
            <w:r w:rsidR="00447670">
              <w:rPr>
                <w:rFonts w:asciiTheme="majorEastAsia" w:eastAsiaTheme="majorEastAsia" w:hAnsiTheme="majorEastAsia" w:hint="eastAsia"/>
                <w:b/>
                <w:sz w:val="24"/>
                <w:szCs w:val="24"/>
              </w:rPr>
              <w:t>%</w:t>
            </w:r>
          </w:p>
        </w:tc>
        <w:tc>
          <w:tcPr>
            <w:tcW w:w="1170" w:type="dxa"/>
            <w:tcBorders>
              <w:top w:val="double" w:sz="4" w:space="0" w:color="auto"/>
              <w:left w:val="single" w:sz="4" w:space="0" w:color="auto"/>
              <w:bottom w:val="single" w:sz="8" w:space="0" w:color="auto"/>
              <w:right w:val="single" w:sz="6"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52.3</w:t>
            </w:r>
            <w:r w:rsidR="00447670">
              <w:rPr>
                <w:rFonts w:asciiTheme="majorEastAsia" w:eastAsiaTheme="majorEastAsia" w:hAnsiTheme="majorEastAsia" w:hint="eastAsia"/>
                <w:b/>
                <w:sz w:val="24"/>
                <w:szCs w:val="24"/>
              </w:rPr>
              <w:t>%</w:t>
            </w:r>
          </w:p>
        </w:tc>
        <w:tc>
          <w:tcPr>
            <w:tcW w:w="2409" w:type="dxa"/>
            <w:tcBorders>
              <w:top w:val="double" w:sz="4" w:space="0" w:color="auto"/>
              <w:left w:val="single" w:sz="6" w:space="0" w:color="auto"/>
              <w:bottom w:val="single" w:sz="8" w:space="0" w:color="auto"/>
              <w:right w:val="single" w:sz="6"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w:t>
            </w:r>
          </w:p>
        </w:tc>
        <w:tc>
          <w:tcPr>
            <w:tcW w:w="1134" w:type="dxa"/>
            <w:tcBorders>
              <w:top w:val="double" w:sz="4" w:space="0" w:color="auto"/>
              <w:left w:val="single" w:sz="6" w:space="0" w:color="auto"/>
              <w:bottom w:val="single" w:sz="8" w:space="0" w:color="auto"/>
              <w:right w:val="single" w:sz="8" w:space="0" w:color="auto"/>
            </w:tcBorders>
            <w:vAlign w:val="center"/>
            <w:hideMark/>
          </w:tcPr>
          <w:p w:rsidR="007D599D" w:rsidRPr="00A8016F" w:rsidRDefault="007D599D"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0.0</w:t>
            </w:r>
            <w:r w:rsidR="00447670">
              <w:rPr>
                <w:rFonts w:asciiTheme="majorEastAsia" w:eastAsiaTheme="majorEastAsia" w:hAnsiTheme="majorEastAsia" w:hint="eastAsia"/>
                <w:b/>
                <w:sz w:val="24"/>
                <w:szCs w:val="24"/>
              </w:rPr>
              <w:t>%</w:t>
            </w:r>
          </w:p>
        </w:tc>
      </w:tr>
    </w:tbl>
    <w:p w:rsidR="00A8016F" w:rsidRPr="00A8016F" w:rsidRDefault="00A8016F" w:rsidP="00A8016F">
      <w:pPr>
        <w:rPr>
          <w:rFonts w:asciiTheme="majorEastAsia" w:eastAsiaTheme="majorEastAsia" w:hAnsiTheme="majorEastAsia"/>
          <w:b/>
          <w:sz w:val="24"/>
          <w:szCs w:val="24"/>
        </w:rPr>
      </w:pPr>
    </w:p>
    <w:p w:rsidR="00A8016F" w:rsidRPr="00A8016F" w:rsidRDefault="00A8016F" w:rsidP="00A8016F">
      <w:pPr>
        <w:rPr>
          <w:rFonts w:asciiTheme="majorEastAsia" w:eastAsiaTheme="majorEastAsia" w:hAnsiTheme="majorEastAsia"/>
          <w:b/>
          <w:sz w:val="24"/>
          <w:szCs w:val="24"/>
        </w:rPr>
      </w:pPr>
    </w:p>
    <w:p w:rsidR="00A8016F" w:rsidRDefault="00A8016F" w:rsidP="00A8016F">
      <w:pPr>
        <w:rPr>
          <w:rFonts w:asciiTheme="majorEastAsia" w:eastAsiaTheme="majorEastAsia" w:hAnsiTheme="majorEastAsia"/>
          <w:b/>
          <w:sz w:val="24"/>
          <w:szCs w:val="24"/>
        </w:rPr>
      </w:pPr>
    </w:p>
    <w:p w:rsidR="00E60F4B" w:rsidRDefault="00E60F4B" w:rsidP="00A8016F">
      <w:pPr>
        <w:rPr>
          <w:rFonts w:asciiTheme="majorEastAsia" w:eastAsiaTheme="majorEastAsia" w:hAnsiTheme="majorEastAsia"/>
          <w:b/>
          <w:sz w:val="24"/>
          <w:szCs w:val="24"/>
        </w:rPr>
      </w:pPr>
    </w:p>
    <w:p w:rsidR="00E60F4B" w:rsidRDefault="00E60F4B" w:rsidP="00A8016F">
      <w:pPr>
        <w:rPr>
          <w:rFonts w:asciiTheme="majorEastAsia" w:eastAsiaTheme="majorEastAsia" w:hAnsiTheme="majorEastAsia"/>
          <w:b/>
          <w:sz w:val="24"/>
          <w:szCs w:val="24"/>
        </w:rPr>
      </w:pPr>
    </w:p>
    <w:p w:rsidR="00E60F4B" w:rsidRDefault="00E60F4B" w:rsidP="00A8016F">
      <w:pPr>
        <w:rPr>
          <w:rFonts w:asciiTheme="majorEastAsia" w:eastAsiaTheme="majorEastAsia" w:hAnsiTheme="majorEastAsia"/>
          <w:b/>
          <w:sz w:val="24"/>
          <w:szCs w:val="24"/>
        </w:rPr>
      </w:pPr>
    </w:p>
    <w:p w:rsidR="00E60F4B" w:rsidRDefault="00E60F4B" w:rsidP="00A8016F">
      <w:pPr>
        <w:rPr>
          <w:rFonts w:asciiTheme="majorEastAsia" w:eastAsiaTheme="majorEastAsia" w:hAnsiTheme="majorEastAsia"/>
          <w:b/>
          <w:sz w:val="24"/>
          <w:szCs w:val="24"/>
        </w:rPr>
      </w:pPr>
    </w:p>
    <w:p w:rsidR="0054302C" w:rsidRPr="00A8016F" w:rsidRDefault="00A8016F" w:rsidP="00E60F4B">
      <w:pPr>
        <w:ind w:firstLineChars="100" w:firstLine="241"/>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 xml:space="preserve">(2)年齢 </w:t>
      </w:r>
    </w:p>
    <w:tbl>
      <w:tblPr>
        <w:tblpPr w:leftFromText="142" w:rightFromText="142" w:vertAnchor="text" w:horzAnchor="margin" w:tblpXSpec="center" w:tblpY="42"/>
        <w:tblW w:w="12812" w:type="dxa"/>
        <w:tblBorders>
          <w:top w:val="single" w:sz="2" w:space="0" w:color="auto"/>
          <w:left w:val="single" w:sz="2" w:space="0" w:color="auto"/>
          <w:bottom w:val="single" w:sz="2" w:space="0" w:color="auto"/>
          <w:right w:val="single" w:sz="2" w:space="0" w:color="auto"/>
        </w:tblBorders>
        <w:tblCellMar>
          <w:left w:w="99" w:type="dxa"/>
          <w:right w:w="99" w:type="dxa"/>
        </w:tblCellMar>
        <w:tblLook w:val="04A0" w:firstRow="1" w:lastRow="0" w:firstColumn="1" w:lastColumn="0" w:noHBand="0" w:noVBand="1"/>
      </w:tblPr>
      <w:tblGrid>
        <w:gridCol w:w="1946"/>
        <w:gridCol w:w="1342"/>
        <w:gridCol w:w="1404"/>
        <w:gridCol w:w="1404"/>
        <w:gridCol w:w="1404"/>
        <w:gridCol w:w="1404"/>
        <w:gridCol w:w="1404"/>
        <w:gridCol w:w="1403"/>
        <w:gridCol w:w="1101"/>
      </w:tblGrid>
      <w:tr w:rsidR="006C6680" w:rsidRPr="00A8016F" w:rsidTr="007D599D">
        <w:trPr>
          <w:trHeight w:val="372"/>
        </w:trPr>
        <w:tc>
          <w:tcPr>
            <w:tcW w:w="1946" w:type="dxa"/>
            <w:tcBorders>
              <w:top w:val="single" w:sz="8" w:space="0" w:color="auto"/>
              <w:left w:val="single" w:sz="8" w:space="0" w:color="auto"/>
              <w:bottom w:val="single" w:sz="8" w:space="0" w:color="auto"/>
              <w:right w:val="single" w:sz="8" w:space="0" w:color="auto"/>
            </w:tcBorders>
            <w:vAlign w:val="center"/>
            <w:hideMark/>
          </w:tcPr>
          <w:p w:rsidR="006C6680" w:rsidRPr="00A8016F" w:rsidRDefault="006C6680" w:rsidP="00A8016F">
            <w:pPr>
              <w:rPr>
                <w:rFonts w:asciiTheme="majorEastAsia" w:eastAsiaTheme="majorEastAsia" w:hAnsiTheme="majorEastAsia"/>
                <w:b/>
                <w:sz w:val="24"/>
                <w:szCs w:val="24"/>
              </w:rPr>
            </w:pPr>
          </w:p>
        </w:tc>
        <w:tc>
          <w:tcPr>
            <w:tcW w:w="1342" w:type="dxa"/>
            <w:tcBorders>
              <w:top w:val="single" w:sz="8" w:space="0" w:color="auto"/>
              <w:left w:val="single" w:sz="8" w:space="0" w:color="auto"/>
              <w:bottom w:val="single" w:sz="8" w:space="0" w:color="auto"/>
              <w:right w:val="single" w:sz="8"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回答者数</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20～29歳</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30～39歳</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40～49歳</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50～59歳</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60～69歳</w:t>
            </w:r>
          </w:p>
        </w:tc>
        <w:tc>
          <w:tcPr>
            <w:tcW w:w="1403" w:type="dxa"/>
            <w:tcBorders>
              <w:top w:val="single" w:sz="8" w:space="0" w:color="auto"/>
              <w:left w:val="single" w:sz="2" w:space="0" w:color="auto"/>
              <w:bottom w:val="single" w:sz="8" w:space="0" w:color="auto"/>
              <w:right w:val="single" w:sz="6"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70歳以上</w:t>
            </w:r>
          </w:p>
        </w:tc>
        <w:tc>
          <w:tcPr>
            <w:tcW w:w="1101" w:type="dxa"/>
            <w:tcBorders>
              <w:top w:val="single" w:sz="8" w:space="0" w:color="auto"/>
              <w:left w:val="single" w:sz="6" w:space="0" w:color="auto"/>
              <w:bottom w:val="single" w:sz="8" w:space="0" w:color="auto"/>
              <w:right w:val="single" w:sz="8" w:space="0" w:color="auto"/>
            </w:tcBorders>
            <w:vAlign w:val="center"/>
            <w:hideMark/>
          </w:tcPr>
          <w:p w:rsidR="006C6680" w:rsidRPr="00A8016F" w:rsidRDefault="006C6680" w:rsidP="00E60F4B">
            <w:pPr>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不　明</w:t>
            </w:r>
          </w:p>
        </w:tc>
      </w:tr>
      <w:tr w:rsidR="006C6680" w:rsidRPr="00A8016F" w:rsidTr="007D599D">
        <w:trPr>
          <w:trHeight w:val="170"/>
        </w:trPr>
        <w:tc>
          <w:tcPr>
            <w:tcW w:w="1946" w:type="dxa"/>
            <w:tcBorders>
              <w:top w:val="single" w:sz="8" w:space="0" w:color="auto"/>
              <w:left w:val="single" w:sz="8" w:space="0" w:color="auto"/>
              <w:bottom w:val="single" w:sz="8" w:space="0" w:color="auto"/>
              <w:right w:val="single" w:sz="8" w:space="0" w:color="auto"/>
            </w:tcBorders>
            <w:vAlign w:val="center"/>
            <w:hideMark/>
          </w:tcPr>
          <w:p w:rsidR="006C6680" w:rsidRPr="00A8016F" w:rsidRDefault="006C6680"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平成27年調査</w:t>
            </w:r>
          </w:p>
        </w:tc>
        <w:tc>
          <w:tcPr>
            <w:tcW w:w="1342" w:type="dxa"/>
            <w:tcBorders>
              <w:top w:val="single" w:sz="8" w:space="0" w:color="auto"/>
              <w:left w:val="single" w:sz="8" w:space="0" w:color="auto"/>
              <w:bottom w:val="single" w:sz="8" w:space="0" w:color="auto"/>
              <w:right w:val="single" w:sz="8"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100.0</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1,358</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7.8</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106</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11.6</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158</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17.0</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231</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14.9</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203</w:t>
            </w:r>
          </w:p>
        </w:tc>
        <w:tc>
          <w:tcPr>
            <w:tcW w:w="1404" w:type="dxa"/>
            <w:tcBorders>
              <w:top w:val="single" w:sz="8"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25.3</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343</w:t>
            </w:r>
          </w:p>
        </w:tc>
        <w:tc>
          <w:tcPr>
            <w:tcW w:w="1403" w:type="dxa"/>
            <w:tcBorders>
              <w:top w:val="single" w:sz="8" w:space="0" w:color="auto"/>
              <w:left w:val="single" w:sz="2" w:space="0" w:color="auto"/>
              <w:bottom w:val="single" w:sz="8" w:space="0" w:color="auto"/>
              <w:right w:val="single" w:sz="6"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22.5</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305</w:t>
            </w:r>
          </w:p>
        </w:tc>
        <w:tc>
          <w:tcPr>
            <w:tcW w:w="1101" w:type="dxa"/>
            <w:tcBorders>
              <w:top w:val="single" w:sz="8" w:space="0" w:color="auto"/>
              <w:left w:val="single" w:sz="6" w:space="0" w:color="auto"/>
              <w:bottom w:val="single" w:sz="8" w:space="0" w:color="auto"/>
              <w:right w:val="single" w:sz="8"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0.9</w:t>
            </w:r>
            <w:r w:rsidR="00447670">
              <w:rPr>
                <w:rFonts w:asciiTheme="majorEastAsia" w:eastAsiaTheme="majorEastAsia" w:hAnsiTheme="majorEastAsia" w:hint="eastAsia"/>
                <w:b/>
                <w:sz w:val="24"/>
                <w:szCs w:val="24"/>
              </w:rPr>
              <w:t>%</w:t>
            </w:r>
          </w:p>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12</w:t>
            </w:r>
          </w:p>
        </w:tc>
      </w:tr>
      <w:tr w:rsidR="006C6680" w:rsidRPr="00A8016F" w:rsidTr="007D599D">
        <w:trPr>
          <w:trHeight w:val="477"/>
        </w:trPr>
        <w:tc>
          <w:tcPr>
            <w:tcW w:w="1946" w:type="dxa"/>
            <w:tcBorders>
              <w:top w:val="double" w:sz="4" w:space="0" w:color="auto"/>
              <w:left w:val="single" w:sz="8" w:space="0" w:color="auto"/>
              <w:bottom w:val="single" w:sz="8" w:space="0" w:color="auto"/>
              <w:right w:val="single" w:sz="8" w:space="0" w:color="auto"/>
            </w:tcBorders>
            <w:vAlign w:val="center"/>
            <w:hideMark/>
          </w:tcPr>
          <w:p w:rsidR="006C6680" w:rsidRPr="00A8016F" w:rsidRDefault="006C6680"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平成22年</w:t>
            </w:r>
          </w:p>
          <w:p w:rsidR="006C6680" w:rsidRPr="00A8016F" w:rsidRDefault="006C6680" w:rsidP="007456B2">
            <w:pPr>
              <w:spacing w:line="280" w:lineRule="exact"/>
              <w:jc w:val="center"/>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国勢調査</w:t>
            </w:r>
          </w:p>
        </w:tc>
        <w:tc>
          <w:tcPr>
            <w:tcW w:w="1342" w:type="dxa"/>
            <w:tcBorders>
              <w:top w:val="double" w:sz="4" w:space="0" w:color="auto"/>
              <w:left w:val="single" w:sz="8" w:space="0" w:color="auto"/>
              <w:bottom w:val="single" w:sz="8" w:space="0" w:color="auto"/>
              <w:right w:val="single" w:sz="8"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100.0</w:t>
            </w:r>
            <w:r w:rsidR="00447670">
              <w:rPr>
                <w:rFonts w:asciiTheme="majorEastAsia" w:eastAsiaTheme="majorEastAsia" w:hAnsiTheme="majorEastAsia" w:hint="eastAsia"/>
                <w:b/>
                <w:sz w:val="24"/>
                <w:szCs w:val="24"/>
              </w:rPr>
              <w:t>%</w:t>
            </w:r>
          </w:p>
        </w:tc>
        <w:tc>
          <w:tcPr>
            <w:tcW w:w="1404" w:type="dxa"/>
            <w:tcBorders>
              <w:top w:val="double" w:sz="4"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13.6</w:t>
            </w:r>
            <w:r w:rsidR="00447670">
              <w:rPr>
                <w:rFonts w:asciiTheme="majorEastAsia" w:eastAsiaTheme="majorEastAsia" w:hAnsiTheme="majorEastAsia" w:hint="eastAsia"/>
                <w:b/>
                <w:sz w:val="24"/>
                <w:szCs w:val="24"/>
              </w:rPr>
              <w:t>%</w:t>
            </w:r>
          </w:p>
        </w:tc>
        <w:tc>
          <w:tcPr>
            <w:tcW w:w="1404" w:type="dxa"/>
            <w:tcBorders>
              <w:top w:val="double" w:sz="4"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17.9</w:t>
            </w:r>
            <w:r w:rsidR="00447670">
              <w:rPr>
                <w:rFonts w:asciiTheme="majorEastAsia" w:eastAsiaTheme="majorEastAsia" w:hAnsiTheme="majorEastAsia" w:hint="eastAsia"/>
                <w:b/>
                <w:sz w:val="24"/>
                <w:szCs w:val="24"/>
              </w:rPr>
              <w:t>%</w:t>
            </w:r>
          </w:p>
        </w:tc>
        <w:tc>
          <w:tcPr>
            <w:tcW w:w="1404" w:type="dxa"/>
            <w:tcBorders>
              <w:top w:val="double" w:sz="4"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16.5</w:t>
            </w:r>
            <w:r w:rsidR="00447670">
              <w:rPr>
                <w:rFonts w:asciiTheme="majorEastAsia" w:eastAsiaTheme="majorEastAsia" w:hAnsiTheme="majorEastAsia" w:hint="eastAsia"/>
                <w:b/>
                <w:sz w:val="24"/>
                <w:szCs w:val="24"/>
              </w:rPr>
              <w:t>%</w:t>
            </w:r>
          </w:p>
        </w:tc>
        <w:tc>
          <w:tcPr>
            <w:tcW w:w="1404" w:type="dxa"/>
            <w:tcBorders>
              <w:top w:val="double" w:sz="4"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14.1</w:t>
            </w:r>
            <w:r w:rsidR="00447670">
              <w:rPr>
                <w:rFonts w:asciiTheme="majorEastAsia" w:eastAsiaTheme="majorEastAsia" w:hAnsiTheme="majorEastAsia" w:hint="eastAsia"/>
                <w:b/>
                <w:sz w:val="24"/>
                <w:szCs w:val="24"/>
              </w:rPr>
              <w:t>%</w:t>
            </w:r>
          </w:p>
        </w:tc>
        <w:tc>
          <w:tcPr>
            <w:tcW w:w="1404" w:type="dxa"/>
            <w:tcBorders>
              <w:top w:val="double" w:sz="4" w:space="0" w:color="auto"/>
              <w:left w:val="single" w:sz="2" w:space="0" w:color="auto"/>
              <w:bottom w:val="single" w:sz="8" w:space="0" w:color="auto"/>
              <w:right w:val="single" w:sz="2"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18.2</w:t>
            </w:r>
            <w:r w:rsidR="00447670">
              <w:rPr>
                <w:rFonts w:asciiTheme="majorEastAsia" w:eastAsiaTheme="majorEastAsia" w:hAnsiTheme="majorEastAsia" w:hint="eastAsia"/>
                <w:b/>
                <w:sz w:val="24"/>
                <w:szCs w:val="24"/>
              </w:rPr>
              <w:t>%</w:t>
            </w:r>
          </w:p>
        </w:tc>
        <w:tc>
          <w:tcPr>
            <w:tcW w:w="1403" w:type="dxa"/>
            <w:tcBorders>
              <w:top w:val="double" w:sz="4" w:space="0" w:color="auto"/>
              <w:left w:val="single" w:sz="2" w:space="0" w:color="auto"/>
              <w:bottom w:val="single" w:sz="8" w:space="0" w:color="auto"/>
              <w:right w:val="single" w:sz="6"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18.4</w:t>
            </w:r>
            <w:r w:rsidR="00447670">
              <w:rPr>
                <w:rFonts w:asciiTheme="majorEastAsia" w:eastAsiaTheme="majorEastAsia" w:hAnsiTheme="majorEastAsia" w:hint="eastAsia"/>
                <w:b/>
                <w:sz w:val="24"/>
                <w:szCs w:val="24"/>
              </w:rPr>
              <w:t>%</w:t>
            </w:r>
          </w:p>
        </w:tc>
        <w:tc>
          <w:tcPr>
            <w:tcW w:w="1101" w:type="dxa"/>
            <w:tcBorders>
              <w:top w:val="double" w:sz="4" w:space="0" w:color="auto"/>
              <w:left w:val="single" w:sz="6" w:space="0" w:color="auto"/>
              <w:bottom w:val="single" w:sz="8" w:space="0" w:color="auto"/>
              <w:right w:val="single" w:sz="8" w:space="0" w:color="auto"/>
            </w:tcBorders>
            <w:vAlign w:val="center"/>
            <w:hideMark/>
          </w:tcPr>
          <w:p w:rsidR="006C6680" w:rsidRPr="00A8016F" w:rsidRDefault="006C6680" w:rsidP="007456B2">
            <w:pPr>
              <w:spacing w:line="280" w:lineRule="exact"/>
              <w:jc w:val="right"/>
              <w:rPr>
                <w:rFonts w:asciiTheme="majorEastAsia" w:eastAsiaTheme="majorEastAsia" w:hAnsiTheme="majorEastAsia"/>
                <w:b/>
                <w:sz w:val="24"/>
                <w:szCs w:val="24"/>
              </w:rPr>
            </w:pPr>
            <w:r w:rsidRPr="00A8016F">
              <w:rPr>
                <w:rFonts w:asciiTheme="majorEastAsia" w:eastAsiaTheme="majorEastAsia" w:hAnsiTheme="majorEastAsia" w:hint="eastAsia"/>
                <w:b/>
                <w:sz w:val="24"/>
                <w:szCs w:val="24"/>
              </w:rPr>
              <w:t>1.2</w:t>
            </w:r>
            <w:r w:rsidR="00447670">
              <w:rPr>
                <w:rFonts w:asciiTheme="majorEastAsia" w:eastAsiaTheme="majorEastAsia" w:hAnsiTheme="majorEastAsia" w:hint="eastAsia"/>
                <w:b/>
                <w:sz w:val="24"/>
                <w:szCs w:val="24"/>
              </w:rPr>
              <w:t>%</w:t>
            </w:r>
          </w:p>
        </w:tc>
      </w:tr>
    </w:tbl>
    <w:p w:rsidR="0054302C" w:rsidRDefault="0054302C" w:rsidP="00A8016F">
      <w:pPr>
        <w:rPr>
          <w:rFonts w:asciiTheme="majorEastAsia" w:eastAsiaTheme="majorEastAsia" w:hAnsiTheme="majorEastAsia"/>
          <w:b/>
          <w:sz w:val="24"/>
          <w:szCs w:val="24"/>
        </w:rPr>
      </w:pPr>
    </w:p>
    <w:p w:rsidR="0054302C" w:rsidRDefault="0054302C" w:rsidP="00A8016F">
      <w:pPr>
        <w:rPr>
          <w:rFonts w:asciiTheme="majorEastAsia" w:eastAsiaTheme="majorEastAsia" w:hAnsiTheme="majorEastAsia"/>
          <w:b/>
          <w:sz w:val="24"/>
          <w:szCs w:val="24"/>
        </w:rPr>
      </w:pPr>
    </w:p>
    <w:p w:rsidR="0054302C" w:rsidRDefault="0054302C" w:rsidP="00A8016F">
      <w:pPr>
        <w:rPr>
          <w:rFonts w:asciiTheme="majorEastAsia" w:eastAsiaTheme="majorEastAsia" w:hAnsiTheme="majorEastAsia"/>
          <w:b/>
          <w:sz w:val="24"/>
          <w:szCs w:val="24"/>
        </w:rPr>
      </w:pPr>
    </w:p>
    <w:p w:rsidR="006C6680" w:rsidRDefault="006C6680" w:rsidP="00A8016F">
      <w:pPr>
        <w:rPr>
          <w:rFonts w:asciiTheme="majorEastAsia" w:eastAsiaTheme="majorEastAsia" w:hAnsiTheme="majorEastAsia"/>
          <w:b/>
          <w:sz w:val="24"/>
          <w:szCs w:val="24"/>
        </w:rPr>
      </w:pPr>
    </w:p>
    <w:p w:rsidR="00AB781C" w:rsidRPr="007456B2" w:rsidRDefault="00AB781C">
      <w:pPr>
        <w:rPr>
          <w:rFonts w:asciiTheme="majorEastAsia" w:eastAsiaTheme="majorEastAsia" w:hAnsiTheme="majorEastAsia"/>
          <w:b/>
          <w:sz w:val="24"/>
          <w:szCs w:val="24"/>
        </w:rPr>
      </w:pPr>
    </w:p>
    <w:p w:rsidR="007D599D" w:rsidRPr="007456B2" w:rsidRDefault="007D599D" w:rsidP="007456B2">
      <w:pPr>
        <w:rPr>
          <w:rFonts w:asciiTheme="majorEastAsia" w:eastAsiaTheme="majorEastAsia" w:hAnsiTheme="majorEastAsia"/>
          <w:b/>
          <w:sz w:val="24"/>
          <w:szCs w:val="24"/>
        </w:rPr>
      </w:pPr>
    </w:p>
    <w:p w:rsidR="00EC6E9C" w:rsidRDefault="00EC6E9C" w:rsidP="007456B2">
      <w:pPr>
        <w:autoSpaceDE w:val="0"/>
        <w:autoSpaceDN w:val="0"/>
        <w:adjustRightInd w:val="0"/>
        <w:rPr>
          <w:rFonts w:ascii="ＭＳ Ｐゴシック" w:eastAsia="ＭＳ Ｐゴシック" w:hAnsi="ＭＳ Ｐゴシック" w:cs="ＭＳ 明朝"/>
          <w:b/>
          <w:kern w:val="0"/>
          <w:sz w:val="24"/>
          <w:szCs w:val="24"/>
        </w:rPr>
      </w:pPr>
    </w:p>
    <w:p w:rsidR="007456B2" w:rsidRDefault="007456B2" w:rsidP="007456B2">
      <w:pPr>
        <w:autoSpaceDE w:val="0"/>
        <w:autoSpaceDN w:val="0"/>
        <w:adjustRightInd w:val="0"/>
        <w:rPr>
          <w:rFonts w:ascii="ＭＳ Ｐゴシック" w:eastAsia="ＭＳ Ｐゴシック" w:hAnsi="ＭＳ Ｐゴシック" w:cs="ＭＳ 明朝"/>
          <w:b/>
          <w:kern w:val="0"/>
          <w:sz w:val="24"/>
          <w:szCs w:val="24"/>
        </w:rPr>
      </w:pPr>
    </w:p>
    <w:p w:rsidR="007456B2" w:rsidRDefault="007456B2" w:rsidP="007456B2">
      <w:pPr>
        <w:autoSpaceDE w:val="0"/>
        <w:autoSpaceDN w:val="0"/>
        <w:adjustRightInd w:val="0"/>
        <w:rPr>
          <w:rFonts w:ascii="ＭＳ Ｐゴシック" w:eastAsia="ＭＳ Ｐゴシック" w:hAnsi="ＭＳ Ｐゴシック" w:cs="ＭＳ 明朝"/>
          <w:b/>
          <w:kern w:val="0"/>
          <w:sz w:val="24"/>
          <w:szCs w:val="24"/>
        </w:rPr>
      </w:pPr>
    </w:p>
    <w:p w:rsidR="007456B2" w:rsidRDefault="007456B2" w:rsidP="007456B2">
      <w:pPr>
        <w:autoSpaceDE w:val="0"/>
        <w:autoSpaceDN w:val="0"/>
        <w:adjustRightInd w:val="0"/>
        <w:rPr>
          <w:rFonts w:ascii="ＭＳ Ｐゴシック" w:eastAsia="ＭＳ Ｐゴシック" w:hAnsi="ＭＳ Ｐゴシック" w:cs="ＭＳ 明朝"/>
          <w:b/>
          <w:kern w:val="0"/>
          <w:sz w:val="24"/>
          <w:szCs w:val="24"/>
        </w:rPr>
      </w:pPr>
    </w:p>
    <w:p w:rsidR="007456B2" w:rsidRPr="007456B2" w:rsidRDefault="007456B2" w:rsidP="007456B2">
      <w:pPr>
        <w:autoSpaceDE w:val="0"/>
        <w:autoSpaceDN w:val="0"/>
        <w:adjustRightInd w:val="0"/>
        <w:rPr>
          <w:rFonts w:ascii="ＭＳ Ｐゴシック" w:eastAsia="ＭＳ Ｐゴシック" w:hAnsi="ＭＳ Ｐゴシック" w:cs="ＭＳ 明朝"/>
          <w:b/>
          <w:kern w:val="0"/>
          <w:sz w:val="24"/>
          <w:szCs w:val="24"/>
        </w:rPr>
      </w:pPr>
    </w:p>
    <w:p w:rsidR="006C6680" w:rsidRPr="006C6680" w:rsidRDefault="009336C9" w:rsidP="006C6680">
      <w:pPr>
        <w:autoSpaceDE w:val="0"/>
        <w:autoSpaceDN w:val="0"/>
        <w:adjustRightInd w:val="0"/>
        <w:spacing w:before="100" w:beforeAutospacing="1"/>
        <w:rPr>
          <w:rFonts w:ascii="ＭＳ Ｐゴシック" w:eastAsia="ＭＳ Ｐゴシック" w:hAnsi="ＭＳ Ｐゴシック" w:cs="ＭＳ 明朝"/>
          <w:b/>
          <w:kern w:val="0"/>
          <w:sz w:val="44"/>
          <w:szCs w:val="44"/>
        </w:rPr>
      </w:pPr>
      <w:r>
        <w:rPr>
          <w:rFonts w:asciiTheme="majorEastAsia" w:eastAsiaTheme="majorEastAsia" w:hAnsiTheme="majorEastAsia" w:hint="eastAsia"/>
          <w:noProof/>
          <w:kern w:val="0"/>
          <w:sz w:val="72"/>
          <w:szCs w:val="72"/>
        </w:rPr>
        <w:lastRenderedPageBreak/>
        <mc:AlternateContent>
          <mc:Choice Requires="wps">
            <w:drawing>
              <wp:anchor distT="0" distB="0" distL="114300" distR="114300" simplePos="0" relativeHeight="251775487" behindDoc="0" locked="0" layoutInCell="1" allowOverlap="1" wp14:anchorId="49227D31" wp14:editId="4B299758">
                <wp:simplePos x="0" y="0"/>
                <wp:positionH relativeFrom="column">
                  <wp:posOffset>7947025</wp:posOffset>
                </wp:positionH>
                <wp:positionV relativeFrom="paragraph">
                  <wp:posOffset>-557530</wp:posOffset>
                </wp:positionV>
                <wp:extent cx="1753235" cy="763270"/>
                <wp:effectExtent l="0" t="0" r="18415" b="17780"/>
                <wp:wrapNone/>
                <wp:docPr id="99" name="正方形/長方形 99"/>
                <wp:cNvGraphicFramePr/>
                <a:graphic xmlns:a="http://schemas.openxmlformats.org/drawingml/2006/main">
                  <a:graphicData uri="http://schemas.microsoft.com/office/word/2010/wordprocessingShape">
                    <wps:wsp>
                      <wps:cNvSpPr/>
                      <wps:spPr>
                        <a:xfrm>
                          <a:off x="0" y="0"/>
                          <a:ext cx="1753235" cy="763270"/>
                        </a:xfrm>
                        <a:prstGeom prst="rect">
                          <a:avLst/>
                        </a:prstGeom>
                        <a:noFill/>
                      </wps:spPr>
                      <wps:style>
                        <a:lnRef idx="2">
                          <a:schemeClr val="dk1"/>
                        </a:lnRef>
                        <a:fillRef idx="1">
                          <a:schemeClr val="lt1"/>
                        </a:fillRef>
                        <a:effectRef idx="0">
                          <a:schemeClr val="dk1"/>
                        </a:effectRef>
                        <a:fontRef idx="minor">
                          <a:schemeClr val="dk1"/>
                        </a:fontRef>
                      </wps:style>
                      <wps:txbx>
                        <w:txbxContent>
                          <w:p w:rsidR="009336C9" w:rsidRPr="007D599D" w:rsidRDefault="009336C9" w:rsidP="009336C9">
                            <w:pPr>
                              <w:jc w:val="center"/>
                              <w:rPr>
                                <w:rFonts w:asciiTheme="majorEastAsia" w:eastAsiaTheme="majorEastAsia" w:hAnsiTheme="majorEastAsia"/>
                                <w:sz w:val="72"/>
                                <w:szCs w:val="72"/>
                              </w:rPr>
                            </w:pPr>
                            <w:r w:rsidRPr="007D599D">
                              <w:rPr>
                                <w:rFonts w:asciiTheme="majorEastAsia" w:eastAsiaTheme="majorEastAsia" w:hAnsiTheme="majorEastAsia" w:hint="eastAsia"/>
                                <w:sz w:val="72"/>
                                <w:szCs w:val="72"/>
                              </w:rPr>
                              <w:t>資料</w:t>
                            </w:r>
                            <w:r>
                              <w:rPr>
                                <w:rFonts w:asciiTheme="majorEastAsia" w:eastAsiaTheme="majorEastAsia" w:hAnsiTheme="majorEastAsia" w:hint="eastAsia"/>
                                <w:sz w:val="72"/>
                                <w:szCs w:val="7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9" o:spid="_x0000_s1026" style="position:absolute;left:0;text-align:left;margin-left:625.75pt;margin-top:-43.9pt;width:138.05pt;height:60.1pt;z-index:2517754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" filled="f" strokecolor="black [3200]" strokeweight="2pt">
                <v:textbox>
                  <w:txbxContent>
                    <w:p w:rsidR="009336C9" w:rsidRPr="007D599D" w:rsidRDefault="009336C9" w:rsidP="009336C9">
                      <w:pPr>
                        <w:jc w:val="center"/>
                        <w:rPr>
                          <w:rFonts w:asciiTheme="majorEastAsia" w:eastAsiaTheme="majorEastAsia" w:hAnsiTheme="majorEastAsia"/>
                          <w:sz w:val="72"/>
                          <w:szCs w:val="72"/>
                        </w:rPr>
                      </w:pPr>
                      <w:r w:rsidRPr="007D599D">
                        <w:rPr>
                          <w:rFonts w:asciiTheme="majorEastAsia" w:eastAsiaTheme="majorEastAsia" w:hAnsiTheme="majorEastAsia" w:hint="eastAsia"/>
                          <w:sz w:val="72"/>
                          <w:szCs w:val="72"/>
                        </w:rPr>
                        <w:t>資料</w:t>
                      </w:r>
                      <w:r>
                        <w:rPr>
                          <w:rFonts w:asciiTheme="majorEastAsia" w:eastAsiaTheme="majorEastAsia" w:hAnsiTheme="majorEastAsia" w:hint="eastAsia"/>
                          <w:sz w:val="72"/>
                          <w:szCs w:val="72"/>
                        </w:rPr>
                        <w:t>１</w:t>
                      </w:r>
                    </w:p>
                  </w:txbxContent>
                </v:textbox>
              </v:rect>
            </w:pict>
          </mc:Fallback>
        </mc:AlternateContent>
      </w:r>
      <w:r w:rsidR="006C6680" w:rsidRPr="006C6680">
        <w:rPr>
          <w:rFonts w:ascii="ＭＳ Ｐゴシック" w:eastAsia="ＭＳ Ｐゴシック" w:hAnsi="ＭＳ Ｐゴシック" w:cs="ＭＳ 明朝" w:hint="eastAsia"/>
          <w:b/>
          <w:kern w:val="0"/>
          <w:sz w:val="44"/>
          <w:szCs w:val="44"/>
        </w:rPr>
        <w:t>Ⅱ</w:t>
      </w:r>
      <w:r w:rsidR="006C6680" w:rsidRPr="006C6680">
        <w:rPr>
          <w:rFonts w:ascii="ＭＳ Ｐゴシック" w:eastAsia="ＭＳ Ｐゴシック" w:hAnsi="ＭＳ Ｐゴシック" w:cs="HG創英角ｺﾞｼｯｸUB-WinCharSetFFFF-"/>
          <w:b/>
          <w:kern w:val="0"/>
          <w:sz w:val="44"/>
          <w:szCs w:val="44"/>
        </w:rPr>
        <w:t xml:space="preserve"> </w:t>
      </w:r>
      <w:r w:rsidR="006C6680" w:rsidRPr="006C6680">
        <w:rPr>
          <w:rFonts w:ascii="ＭＳ Ｐゴシック" w:eastAsia="ＭＳ Ｐゴシック" w:hAnsi="ＭＳ Ｐゴシック" w:cs="ＭＳ 明朝" w:hint="eastAsia"/>
          <w:b/>
          <w:kern w:val="0"/>
          <w:sz w:val="44"/>
          <w:szCs w:val="44"/>
        </w:rPr>
        <w:t>調査結果の概要</w:t>
      </w:r>
    </w:p>
    <w:p w:rsidR="006C6680" w:rsidRDefault="006C6680">
      <w:pPr>
        <w:rPr>
          <w:rFonts w:asciiTheme="majorEastAsia" w:eastAsiaTheme="majorEastAsia" w:hAnsiTheme="majorEastAsia"/>
          <w:b/>
          <w:sz w:val="24"/>
          <w:szCs w:val="24"/>
        </w:rPr>
      </w:pPr>
    </w:p>
    <w:p w:rsidR="0023529A" w:rsidRDefault="0023529A">
      <w:pPr>
        <w:rPr>
          <w:rFonts w:asciiTheme="majorEastAsia" w:eastAsiaTheme="majorEastAsia" w:hAnsiTheme="majorEastAsia"/>
          <w:b/>
          <w:sz w:val="24"/>
          <w:szCs w:val="24"/>
        </w:rPr>
      </w:pPr>
    </w:p>
    <w:p w:rsidR="003E3274" w:rsidRDefault="008C786D" w:rsidP="005D398E">
      <w:pPr>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3E3274" w:rsidRPr="008C786D">
        <w:rPr>
          <w:rFonts w:asciiTheme="majorEastAsia" w:eastAsiaTheme="majorEastAsia" w:hAnsiTheme="majorEastAsia" w:hint="eastAsia"/>
          <w:b/>
          <w:sz w:val="24"/>
          <w:szCs w:val="24"/>
        </w:rPr>
        <w:t>問1</w:t>
      </w:r>
      <w:r w:rsidRPr="008C786D">
        <w:rPr>
          <w:rFonts w:asciiTheme="majorEastAsia" w:eastAsiaTheme="majorEastAsia" w:hAnsiTheme="majorEastAsia" w:hint="eastAsia"/>
          <w:b/>
          <w:sz w:val="24"/>
          <w:szCs w:val="24"/>
        </w:rPr>
        <w:t>.</w:t>
      </w:r>
      <w:r w:rsidR="006F464B">
        <w:rPr>
          <w:rFonts w:asciiTheme="majorEastAsia" w:eastAsiaTheme="majorEastAsia" w:hAnsiTheme="majorEastAsia" w:hint="eastAsia"/>
          <w:b/>
          <w:sz w:val="24"/>
          <w:szCs w:val="24"/>
        </w:rPr>
        <w:t>あなたは、次のことがらについて、人権上問題があると思いますか。</w:t>
      </w:r>
      <w:r>
        <w:rPr>
          <w:rFonts w:asciiTheme="majorEastAsia" w:eastAsiaTheme="majorEastAsia" w:hAnsiTheme="majorEastAsia" w:hint="eastAsia"/>
          <w:b/>
          <w:sz w:val="24"/>
          <w:szCs w:val="24"/>
        </w:rPr>
        <w:t>】</w:t>
      </w:r>
      <w:r w:rsidR="005D398E">
        <w:rPr>
          <w:rFonts w:asciiTheme="majorEastAsia" w:eastAsiaTheme="majorEastAsia" w:hAnsiTheme="majorEastAsia" w:hint="eastAsia"/>
          <w:b/>
          <w:sz w:val="24"/>
          <w:szCs w:val="24"/>
        </w:rPr>
        <w:t xml:space="preserve"> </w:t>
      </w:r>
      <w:r w:rsidR="006F464B">
        <w:rPr>
          <w:rFonts w:asciiTheme="majorEastAsia" w:eastAsiaTheme="majorEastAsia" w:hAnsiTheme="majorEastAsia" w:hint="eastAsia"/>
          <w:sz w:val="24"/>
          <w:szCs w:val="24"/>
        </w:rPr>
        <w:t>（(1)～(16)それぞれについて、いずれか１つに○）</w:t>
      </w:r>
    </w:p>
    <w:p w:rsidR="005D398E" w:rsidRPr="006F464B" w:rsidRDefault="005D398E" w:rsidP="005D398E">
      <w:pPr>
        <w:rPr>
          <w:rFonts w:asciiTheme="majorEastAsia" w:eastAsiaTheme="majorEastAsia" w:hAnsiTheme="majorEastAsia"/>
          <w:sz w:val="24"/>
          <w:szCs w:val="24"/>
        </w:rPr>
      </w:pPr>
    </w:p>
    <w:p w:rsidR="0076148F" w:rsidRDefault="00FE7639">
      <w:pPr>
        <w:widowControl/>
        <w:jc w:val="left"/>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44767" behindDoc="0" locked="0" layoutInCell="1" allowOverlap="1" wp14:anchorId="5E5792CE" wp14:editId="60A7C393">
                <wp:simplePos x="0" y="0"/>
                <wp:positionH relativeFrom="column">
                  <wp:posOffset>8985314</wp:posOffset>
                </wp:positionH>
                <wp:positionV relativeFrom="paragraph">
                  <wp:posOffset>137230</wp:posOffset>
                </wp:positionV>
                <wp:extent cx="385445" cy="301625"/>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385445" cy="301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7" style="position:absolute;margin-left:707.5pt;margin-top:10.8pt;width:30.35pt;height:23.75pt;z-index:251744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" filled="f" stroked="f" strokeweight="2pt">
                <v:textbo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272740">
        <w:rPr>
          <w:rFonts w:asciiTheme="majorEastAsia" w:eastAsiaTheme="majorEastAsia" w:hAnsiTheme="majorEastAsia" w:hint="eastAsia"/>
          <w:noProof/>
          <w:sz w:val="24"/>
          <w:szCs w:val="24"/>
        </w:rPr>
        <w:drawing>
          <wp:inline distT="0" distB="0" distL="0" distR="0" wp14:anchorId="718B38BF" wp14:editId="050CF3B2">
            <wp:extent cx="9320169" cy="9362114"/>
            <wp:effectExtent l="0" t="0" r="14605" b="10795"/>
            <wp:docPr id="95" name="グラフ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148F" w:rsidRDefault="0076148F">
      <w:pPr>
        <w:widowControl/>
        <w:jc w:val="left"/>
        <w:rPr>
          <w:rFonts w:asciiTheme="majorEastAsia" w:eastAsiaTheme="majorEastAsia" w:hAnsiTheme="majorEastAsia"/>
          <w:sz w:val="24"/>
          <w:szCs w:val="24"/>
        </w:rPr>
      </w:pPr>
    </w:p>
    <w:p w:rsidR="008B6F74" w:rsidRPr="008B6F74" w:rsidRDefault="008B6F74" w:rsidP="008B6F74">
      <w:pPr>
        <w:spacing w:line="320" w:lineRule="exact"/>
        <w:ind w:leftChars="85" w:left="178" w:firstLineChars="137" w:firstLine="329"/>
        <w:rPr>
          <w:rFonts w:ascii="ＭＳ Ｐ明朝" w:eastAsia="ＭＳ Ｐ明朝" w:hAnsi="ＭＳ Ｐ明朝" w:cs="Times New Roman"/>
          <w:sz w:val="24"/>
          <w:szCs w:val="24"/>
        </w:rPr>
      </w:pPr>
      <w:r w:rsidRPr="008B6F74">
        <w:rPr>
          <w:rFonts w:ascii="ＭＳ Ｐ明朝" w:eastAsia="ＭＳ Ｐ明朝" w:hAnsi="ＭＳ Ｐ明朝" w:cs="Times New Roman" w:hint="eastAsia"/>
          <w:sz w:val="24"/>
          <w:szCs w:val="24"/>
        </w:rPr>
        <w:t>「問題があると思う」又は「やや問題があると思う」と回答した人の割合（≒問題があると思う）は、「(13)インターネットのサイトに他人の誹謗中傷を書き込む」が96.4％で最も高く、次いで「(12)人前で部下を長時間にわたり大声で叱る」94.8％、「(16)恋人や配偶者の携帯電話やスマートフォンの通信履歴を見る」82.7％となっている。</w:t>
      </w:r>
    </w:p>
    <w:p w:rsidR="008B6F74" w:rsidRPr="008B6F74" w:rsidRDefault="008B6F74" w:rsidP="008B6F74">
      <w:pPr>
        <w:spacing w:line="320" w:lineRule="exact"/>
        <w:ind w:leftChars="85" w:left="178" w:firstLineChars="137" w:firstLine="329"/>
        <w:rPr>
          <w:rFonts w:ascii="ＭＳ Ｐ明朝" w:eastAsia="ＭＳ Ｐ明朝" w:hAnsi="ＭＳ Ｐ明朝" w:cs="Times New Roman"/>
          <w:sz w:val="24"/>
          <w:szCs w:val="24"/>
        </w:rPr>
      </w:pPr>
      <w:r w:rsidRPr="008B6F74">
        <w:rPr>
          <w:rFonts w:ascii="ＭＳ Ｐ明朝" w:eastAsia="ＭＳ Ｐ明朝" w:hAnsi="ＭＳ Ｐ明朝" w:cs="Times New Roman" w:hint="eastAsia"/>
          <w:sz w:val="24"/>
          <w:szCs w:val="24"/>
        </w:rPr>
        <w:t>一方、最も低いのは、「(2)中学生の携帯電話やスマートフォンの使用を親の判断で制限する」で12.1％、次いで「(14)災害時に支援が必要な人のリストを作成するため、自治会が住民に緊急連絡先や疾病、障がいの有無などを尋ねる」21.0％、「(10)公園でホームレスが近づいてきたので、足早に立ち去る」28.8％、となっている。</w:t>
      </w:r>
    </w:p>
    <w:p w:rsidR="0076148F" w:rsidRPr="008B6F74"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76148F">
      <w:pPr>
        <w:widowControl/>
        <w:jc w:val="left"/>
        <w:rPr>
          <w:rFonts w:asciiTheme="majorEastAsia" w:eastAsiaTheme="majorEastAsia" w:hAnsiTheme="majorEastAsia"/>
          <w:sz w:val="24"/>
          <w:szCs w:val="24"/>
        </w:rPr>
      </w:pPr>
    </w:p>
    <w:p w:rsidR="0076148F" w:rsidRDefault="00114F1C">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76511" behindDoc="0" locked="0" layoutInCell="1" allowOverlap="1">
                <wp:simplePos x="0" y="0"/>
                <wp:positionH relativeFrom="column">
                  <wp:posOffset>8383014</wp:posOffset>
                </wp:positionH>
                <wp:positionV relativeFrom="paragraph">
                  <wp:posOffset>418261</wp:posOffset>
                </wp:positionV>
                <wp:extent cx="939567" cy="570235"/>
                <wp:effectExtent l="0" t="0" r="13335" b="20320"/>
                <wp:wrapNone/>
                <wp:docPr id="64" name="正方形/長方形 64"/>
                <wp:cNvGraphicFramePr/>
                <a:graphic xmlns:a="http://schemas.openxmlformats.org/drawingml/2006/main">
                  <a:graphicData uri="http://schemas.microsoft.com/office/word/2010/wordprocessingShape">
                    <wps:wsp>
                      <wps:cNvSpPr/>
                      <wps:spPr>
                        <a:xfrm>
                          <a:off x="0" y="0"/>
                          <a:ext cx="939567" cy="570235"/>
                        </a:xfrm>
                        <a:prstGeom prst="rect">
                          <a:avLst/>
                        </a:prstGeom>
                      </wps:spPr>
                      <wps:style>
                        <a:lnRef idx="2">
                          <a:schemeClr val="accent6"/>
                        </a:lnRef>
                        <a:fillRef idx="1">
                          <a:schemeClr val="lt1"/>
                        </a:fillRef>
                        <a:effectRef idx="0">
                          <a:schemeClr val="accent6"/>
                        </a:effectRef>
                        <a:fontRef idx="minor">
                          <a:schemeClr val="dk1"/>
                        </a:fontRef>
                      </wps:style>
                      <wps:txbx>
                        <w:txbxContent>
                          <w:p w:rsidR="00114F1C" w:rsidRPr="00114F1C" w:rsidRDefault="00114F1C" w:rsidP="00114F1C">
                            <w:pPr>
                              <w:jc w:val="center"/>
                              <w:rPr>
                                <w:rFonts w:asciiTheme="majorEastAsia" w:eastAsiaTheme="majorEastAsia" w:hAnsiTheme="majorEastAsia"/>
                                <w:sz w:val="40"/>
                                <w:szCs w:val="40"/>
                              </w:rPr>
                            </w:pPr>
                            <w:r w:rsidRPr="00114F1C">
                              <w:rPr>
                                <w:rFonts w:asciiTheme="majorEastAsia" w:eastAsiaTheme="majorEastAsia" w:hAnsiTheme="majorEastAsia"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4" o:spid="_x0000_s1028" style="position:absolute;margin-left:660.1pt;margin-top:32.95pt;width:74pt;height:44.9pt;z-index:2517765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" fillcolor="white [3201]" strokecolor="#f79646 [3209]" strokeweight="2pt">
                <v:textbox>
                  <w:txbxContent>
                    <w:p w:rsidR="00114F1C" w:rsidRPr="00114F1C" w:rsidRDefault="00114F1C" w:rsidP="00114F1C">
                      <w:pPr>
                        <w:jc w:val="center"/>
                        <w:rPr>
                          <w:rFonts w:asciiTheme="majorEastAsia" w:eastAsiaTheme="majorEastAsia" w:hAnsiTheme="majorEastAsia"/>
                          <w:sz w:val="40"/>
                          <w:szCs w:val="40"/>
                        </w:rPr>
                      </w:pPr>
                      <w:r w:rsidRPr="00114F1C">
                        <w:rPr>
                          <w:rFonts w:asciiTheme="majorEastAsia" w:eastAsiaTheme="majorEastAsia" w:hAnsiTheme="majorEastAsia" w:hint="eastAsia"/>
                          <w:sz w:val="40"/>
                          <w:szCs w:val="40"/>
                        </w:rPr>
                        <w:t>１</w:t>
                      </w:r>
                    </w:p>
                  </w:txbxContent>
                </v:textbox>
              </v:rect>
            </w:pict>
          </mc:Fallback>
        </mc:AlternateContent>
      </w:r>
    </w:p>
    <w:p w:rsidR="006F464B" w:rsidRPr="00660A39" w:rsidRDefault="006F464B" w:rsidP="008C786D">
      <w:pPr>
        <w:jc w:val="left"/>
        <w:rPr>
          <w:rFonts w:asciiTheme="majorEastAsia" w:eastAsiaTheme="majorEastAsia" w:hAnsiTheme="majorEastAsia"/>
        </w:rPr>
      </w:pPr>
    </w:p>
    <w:p w:rsidR="00660A39" w:rsidRPr="00E94F34" w:rsidRDefault="00660A39" w:rsidP="008C786D">
      <w:pPr>
        <w:jc w:val="left"/>
        <w:rPr>
          <w:rFonts w:asciiTheme="majorEastAsia" w:eastAsiaTheme="majorEastAsia" w:hAnsiTheme="majorEastAsia"/>
          <w:b/>
          <w:sz w:val="24"/>
          <w:szCs w:val="24"/>
        </w:rPr>
      </w:pPr>
      <w:r w:rsidRPr="00E94F34">
        <w:rPr>
          <w:rFonts w:asciiTheme="majorEastAsia" w:eastAsiaTheme="majorEastAsia" w:hAnsiTheme="majorEastAsia" w:hint="eastAsia"/>
          <w:b/>
          <w:sz w:val="24"/>
          <w:szCs w:val="24"/>
        </w:rPr>
        <w:t>【問2．</w:t>
      </w:r>
      <w:r w:rsidR="00E94F34" w:rsidRPr="00E94F34">
        <w:rPr>
          <w:rFonts w:asciiTheme="majorEastAsia" w:eastAsiaTheme="majorEastAsia" w:hAnsiTheme="majorEastAsia" w:hint="eastAsia"/>
          <w:b/>
          <w:sz w:val="24"/>
          <w:szCs w:val="24"/>
        </w:rPr>
        <w:t>一般的に「差別」というものについて、あなたはどのようなお考えをお持ちですか。</w:t>
      </w:r>
      <w:r w:rsidRPr="00E94F34">
        <w:rPr>
          <w:rFonts w:asciiTheme="majorEastAsia" w:eastAsiaTheme="majorEastAsia" w:hAnsiTheme="majorEastAsia" w:hint="eastAsia"/>
          <w:b/>
          <w:sz w:val="24"/>
          <w:szCs w:val="24"/>
        </w:rPr>
        <w:t>】</w:t>
      </w:r>
    </w:p>
    <w:p w:rsidR="00660A39" w:rsidRDefault="00E94F34" w:rsidP="00C0562E">
      <w:pPr>
        <w:jc w:val="right"/>
        <w:rPr>
          <w:rFonts w:asciiTheme="majorEastAsia" w:eastAsiaTheme="majorEastAsia" w:hAnsiTheme="majorEastAsia"/>
        </w:rPr>
      </w:pPr>
      <w:r w:rsidRPr="00E94F34">
        <w:rPr>
          <w:rFonts w:asciiTheme="majorEastAsia" w:eastAsiaTheme="majorEastAsia" w:hAnsiTheme="majorEastAsia" w:hint="eastAsia"/>
        </w:rPr>
        <w:t>（(1)～(8)それぞれについて、いずれか１つに○）</w:t>
      </w:r>
    </w:p>
    <w:p w:rsidR="00C0562E" w:rsidRPr="00E94F34" w:rsidRDefault="00C0562E" w:rsidP="00E94F34">
      <w:pPr>
        <w:jc w:val="center"/>
        <w:rPr>
          <w:rFonts w:asciiTheme="majorEastAsia" w:eastAsiaTheme="majorEastAsia" w:hAnsiTheme="majorEastAsia"/>
        </w:rPr>
      </w:pPr>
    </w:p>
    <w:p w:rsidR="00660A39" w:rsidRPr="00660A39" w:rsidRDefault="00940B0D" w:rsidP="008C786D">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6568644" wp14:editId="1069976D">
            <wp:extent cx="9328558" cy="8716161"/>
            <wp:effectExtent l="0" t="0" r="25400" b="2794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1927" w:rsidRDefault="00C61927" w:rsidP="006F1092">
      <w:pPr>
        <w:jc w:val="left"/>
        <w:rPr>
          <w:rFonts w:asciiTheme="majorEastAsia" w:eastAsiaTheme="majorEastAsia" w:hAnsiTheme="majorEastAsia"/>
        </w:rPr>
      </w:pPr>
    </w:p>
    <w:p w:rsidR="008B6F74" w:rsidRPr="005F0530" w:rsidRDefault="008B6F74" w:rsidP="005F0530">
      <w:pPr>
        <w:ind w:leftChars="85" w:left="178" w:firstLineChars="137" w:firstLine="329"/>
        <w:rPr>
          <w:rFonts w:ascii="ＭＳ Ｐ明朝" w:eastAsia="ＭＳ Ｐ明朝" w:hAnsi="ＭＳ Ｐ明朝" w:cs="Times New Roman"/>
          <w:sz w:val="24"/>
          <w:szCs w:val="24"/>
        </w:rPr>
      </w:pPr>
      <w:r w:rsidRPr="005F0530">
        <w:rPr>
          <w:rFonts w:ascii="ＭＳ Ｐ明朝" w:eastAsia="ＭＳ Ｐ明朝" w:hAnsi="ＭＳ Ｐ明朝" w:cs="Times New Roman" w:hint="eastAsia"/>
          <w:sz w:val="24"/>
          <w:szCs w:val="24"/>
        </w:rPr>
        <w:t>「そう思う」又は「ややそう思う」と回答した人の割合（≒そう思う）は、「(1)差別は人間として恥ずべき行為であり、私たち一人ひとりが差別しない人にならなければならない」が91.8％で最も高く、次いで「(5)差別をなくすために、行政は努力する必要がある」79.2％、「(3)差別問題に無関心な人にも、差別問題についてきちんと理解してもらうことが必要である」78.6％、「(6)どのような手段を講じても、差別を完全になくすことは無理だ」71.4％となっている。</w:t>
      </w:r>
    </w:p>
    <w:p w:rsidR="008B6F74" w:rsidRPr="005F0530" w:rsidRDefault="008B6F74" w:rsidP="005F0530">
      <w:pPr>
        <w:ind w:leftChars="85" w:left="178" w:firstLineChars="137" w:firstLine="329"/>
        <w:rPr>
          <w:rFonts w:ascii="ＭＳ Ｐ明朝" w:eastAsia="ＭＳ Ｐ明朝" w:hAnsi="ＭＳ Ｐ明朝" w:cs="Times New Roman"/>
          <w:sz w:val="24"/>
          <w:szCs w:val="24"/>
        </w:rPr>
      </w:pPr>
      <w:r w:rsidRPr="005F0530">
        <w:rPr>
          <w:rFonts w:ascii="ＭＳ Ｐ明朝" w:eastAsia="ＭＳ Ｐ明朝" w:hAnsi="ＭＳ Ｐ明朝" w:cs="Times New Roman" w:hint="eastAsia"/>
          <w:sz w:val="24"/>
          <w:szCs w:val="24"/>
        </w:rPr>
        <w:t>一方、最も低いのは、「(4)差別の原因には、差別される人の側に問題があることも多い」で36.8％、次いで「(2)差別されている人は、まず、自分たちが世の中に受け入れられるよう努力することが必要だ」47.0％、「(8)差別に対して抗議や反対をすることによって、かえって問題が解決しにくくなる」49.7％となっている。</w:t>
      </w:r>
    </w:p>
    <w:p w:rsidR="00AE2751" w:rsidRPr="005F0530" w:rsidRDefault="00AE2751" w:rsidP="006F1092">
      <w:pPr>
        <w:jc w:val="left"/>
        <w:rPr>
          <w:rFonts w:asciiTheme="majorEastAsia" w:eastAsiaTheme="majorEastAsia" w:hAnsiTheme="majorEastAsia"/>
          <w:sz w:val="24"/>
          <w:szCs w:val="24"/>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8B6F74" w:rsidP="006F1092">
      <w:pPr>
        <w:jc w:val="left"/>
        <w:rPr>
          <w:rFonts w:asciiTheme="majorEastAsia" w:eastAsiaTheme="majorEastAsia" w:hAnsiTheme="majorEastAsia"/>
        </w:rPr>
      </w:pPr>
    </w:p>
    <w:p w:rsidR="008B6F74" w:rsidRDefault="00114F1C" w:rsidP="006F1092">
      <w:pPr>
        <w:jc w:val="left"/>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78559" behindDoc="0" locked="0" layoutInCell="1" allowOverlap="1" wp14:anchorId="1363ED2A" wp14:editId="7B8E1E40">
                <wp:simplePos x="0" y="0"/>
                <wp:positionH relativeFrom="column">
                  <wp:posOffset>3425</wp:posOffset>
                </wp:positionH>
                <wp:positionV relativeFrom="paragraph">
                  <wp:posOffset>284410</wp:posOffset>
                </wp:positionV>
                <wp:extent cx="939567" cy="570235"/>
                <wp:effectExtent l="0" t="0" r="13335" b="20320"/>
                <wp:wrapNone/>
                <wp:docPr id="65" name="正方形/長方形 65"/>
                <wp:cNvGraphicFramePr/>
                <a:graphic xmlns:a="http://schemas.openxmlformats.org/drawingml/2006/main">
                  <a:graphicData uri="http://schemas.microsoft.com/office/word/2010/wordprocessingShape">
                    <wps:wsp>
                      <wps:cNvSpPr/>
                      <wps:spPr>
                        <a:xfrm>
                          <a:off x="0" y="0"/>
                          <a:ext cx="939567" cy="570235"/>
                        </a:xfrm>
                        <a:prstGeom prst="rect">
                          <a:avLst/>
                        </a:prstGeom>
                        <a:solidFill>
                          <a:sysClr val="window" lastClr="FFFFFF"/>
                        </a:solidFill>
                        <a:ln w="25400" cap="flat" cmpd="sng" algn="ctr">
                          <a:solidFill>
                            <a:srgbClr val="F79646"/>
                          </a:solidFill>
                          <a:prstDash val="solid"/>
                        </a:ln>
                        <a:effectLst/>
                      </wps:spPr>
                      <wps:txbx>
                        <w:txbxContent>
                          <w:p w:rsidR="00114F1C" w:rsidRPr="00114F1C" w:rsidRDefault="00114F1C"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5" o:spid="_x0000_s1029" style="position:absolute;margin-left:.25pt;margin-top:22.4pt;width:74pt;height:44.9pt;z-index:2517785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" fillcolor="window" strokecolor="#f79646" strokeweight="2pt">
                <v:textbox>
                  <w:txbxContent>
                    <w:p w:rsidR="00114F1C" w:rsidRPr="00114F1C" w:rsidRDefault="00114F1C"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２</w:t>
                      </w:r>
                    </w:p>
                  </w:txbxContent>
                </v:textbox>
              </v:rect>
            </w:pict>
          </mc:Fallback>
        </mc:AlternateContent>
      </w:r>
    </w:p>
    <w:p w:rsidR="0039601D" w:rsidRDefault="0039601D" w:rsidP="008C786D">
      <w:pPr>
        <w:jc w:val="left"/>
        <w:rPr>
          <w:rFonts w:asciiTheme="majorEastAsia" w:eastAsiaTheme="majorEastAsia" w:hAnsiTheme="majorEastAsia"/>
        </w:rPr>
      </w:pPr>
    </w:p>
    <w:p w:rsidR="00660A39" w:rsidRDefault="000B4AD5" w:rsidP="005B4300">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3</w:t>
      </w:r>
      <w:r w:rsidRPr="00660A39">
        <w:rPr>
          <w:rFonts w:asciiTheme="majorEastAsia" w:eastAsiaTheme="majorEastAsia" w:hAnsiTheme="majorEastAsia" w:hint="eastAsia"/>
          <w:b/>
          <w:sz w:val="24"/>
          <w:szCs w:val="24"/>
        </w:rPr>
        <w:t>．</w:t>
      </w:r>
      <w:r w:rsidR="00FA74E3">
        <w:rPr>
          <w:rFonts w:asciiTheme="majorEastAsia" w:eastAsiaTheme="majorEastAsia" w:hAnsiTheme="majorEastAsia" w:hint="eastAsia"/>
          <w:b/>
          <w:sz w:val="24"/>
          <w:szCs w:val="24"/>
        </w:rPr>
        <w:t>あなたは、次の人権問題を知っていますか？</w:t>
      </w:r>
      <w:r w:rsidRPr="00660A39">
        <w:rPr>
          <w:rFonts w:asciiTheme="majorEastAsia" w:eastAsiaTheme="majorEastAsia" w:hAnsiTheme="majorEastAsia" w:hint="eastAsia"/>
          <w:b/>
          <w:sz w:val="24"/>
          <w:szCs w:val="24"/>
        </w:rPr>
        <w:t>】</w:t>
      </w:r>
      <w:r w:rsidR="00FA74E3">
        <w:rPr>
          <w:rFonts w:asciiTheme="majorEastAsia" w:eastAsiaTheme="majorEastAsia" w:hAnsiTheme="majorEastAsia" w:hint="eastAsia"/>
        </w:rPr>
        <w:t>（知っているものに○）</w:t>
      </w:r>
    </w:p>
    <w:p w:rsidR="005B4300" w:rsidRPr="005B4300" w:rsidRDefault="005B4300" w:rsidP="005B4300">
      <w:pPr>
        <w:jc w:val="left"/>
        <w:rPr>
          <w:rFonts w:asciiTheme="majorEastAsia" w:eastAsiaTheme="majorEastAsia" w:hAnsiTheme="majorEastAsia"/>
        </w:rPr>
      </w:pPr>
    </w:p>
    <w:p w:rsidR="00660A39" w:rsidRPr="00660A39" w:rsidRDefault="006D0D5F" w:rsidP="008C786D">
      <w:pPr>
        <w:jc w:val="left"/>
        <w:rPr>
          <w:rFonts w:asciiTheme="majorEastAsia" w:eastAsiaTheme="majorEastAsia" w:hAnsiTheme="majorEastAsia"/>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46815" behindDoc="0" locked="0" layoutInCell="1" allowOverlap="1" wp14:anchorId="249C2B19" wp14:editId="162E1874">
                <wp:simplePos x="0" y="0"/>
                <wp:positionH relativeFrom="column">
                  <wp:posOffset>-1771</wp:posOffset>
                </wp:positionH>
                <wp:positionV relativeFrom="paragraph">
                  <wp:posOffset>197555</wp:posOffset>
                </wp:positionV>
                <wp:extent cx="385445" cy="30162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30" style="position:absolute;margin-left:-.15pt;margin-top:15.55pt;width:30.35pt;height:23.75pt;z-index:251746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" filled="f" stroked="f" strokeweight="2pt">
                <v:textbo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FF75D0">
        <w:rPr>
          <w:rFonts w:asciiTheme="majorEastAsia" w:eastAsiaTheme="majorEastAsia" w:hAnsiTheme="majorEastAsia"/>
          <w:noProof/>
        </w:rPr>
        <w:drawing>
          <wp:inline distT="0" distB="0" distL="0" distR="0" wp14:anchorId="3D61B513" wp14:editId="686C6D25">
            <wp:extent cx="9497961" cy="9173496"/>
            <wp:effectExtent l="0" t="0" r="27305" b="2794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0A39" w:rsidRPr="00660A39" w:rsidRDefault="00660A39" w:rsidP="00AE2751">
      <w:pPr>
        <w:ind w:right="840"/>
        <w:jc w:val="left"/>
        <w:rPr>
          <w:rFonts w:asciiTheme="majorEastAsia" w:eastAsiaTheme="majorEastAsia" w:hAnsiTheme="majorEastAsia"/>
        </w:rPr>
      </w:pPr>
    </w:p>
    <w:p w:rsidR="005B4300" w:rsidRPr="005B4300" w:rsidRDefault="005B4300" w:rsidP="005B4300">
      <w:pPr>
        <w:ind w:firstLineChars="100" w:firstLine="240"/>
        <w:jc w:val="left"/>
        <w:rPr>
          <w:rFonts w:ascii="ＭＳ Ｐ明朝" w:eastAsia="ＭＳ Ｐ明朝" w:hAnsi="ＭＳ Ｐ明朝"/>
          <w:sz w:val="24"/>
          <w:szCs w:val="24"/>
        </w:rPr>
      </w:pPr>
      <w:r w:rsidRPr="005B4300">
        <w:rPr>
          <w:rFonts w:ascii="ＭＳ Ｐ明朝" w:eastAsia="ＭＳ Ｐ明朝" w:hAnsi="ＭＳ Ｐ明朝" w:hint="eastAsia"/>
          <w:sz w:val="24"/>
          <w:szCs w:val="24"/>
        </w:rPr>
        <w:t>「子どもの人権問題」と回答した人の割合が85.3％で最も高く、次いで「高齢者の人権問題」80.1％、「女性の人権問題」77.0％、「セクシャルハラスメント・パワーハラスメント」76.2％、「障がい者」75.6％、「同和問題」74.2％となっている。</w:t>
      </w:r>
    </w:p>
    <w:p w:rsidR="00660A39" w:rsidRPr="005B4300" w:rsidRDefault="005B4300" w:rsidP="005B4300">
      <w:pPr>
        <w:ind w:firstLineChars="100" w:firstLine="240"/>
        <w:jc w:val="left"/>
        <w:rPr>
          <w:rFonts w:ascii="ＭＳ Ｐ明朝" w:eastAsia="ＭＳ Ｐ明朝" w:hAnsi="ＭＳ Ｐ明朝"/>
          <w:sz w:val="24"/>
          <w:szCs w:val="24"/>
        </w:rPr>
      </w:pPr>
      <w:r w:rsidRPr="005B4300">
        <w:rPr>
          <w:rFonts w:ascii="ＭＳ Ｐ明朝" w:eastAsia="ＭＳ Ｐ明朝" w:hAnsi="ＭＳ Ｐ明朝" w:hint="eastAsia"/>
          <w:sz w:val="24"/>
          <w:szCs w:val="24"/>
        </w:rPr>
        <w:t>一方、最も低いのは「性的マイノリティの人権問題」で43.3％、次いで「ホームレスの人権問題」51.0％となっている。</w:t>
      </w:r>
    </w:p>
    <w:p w:rsidR="00660A39" w:rsidRDefault="00660A39"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FF75D0" w:rsidRDefault="00FF75D0"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A63CF5" w:rsidRDefault="00A63CF5" w:rsidP="008C786D">
      <w:pPr>
        <w:jc w:val="left"/>
        <w:rPr>
          <w:rFonts w:asciiTheme="majorEastAsia" w:eastAsiaTheme="majorEastAsia" w:hAnsiTheme="majorEastAsia"/>
          <w:b/>
          <w:sz w:val="24"/>
          <w:szCs w:val="24"/>
        </w:rPr>
      </w:pPr>
    </w:p>
    <w:p w:rsidR="005B218D" w:rsidRDefault="00987A7C" w:rsidP="005B4300">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3－1</w:t>
      </w:r>
      <w:r w:rsidRPr="00660A39">
        <w:rPr>
          <w:rFonts w:asciiTheme="majorEastAsia" w:eastAsiaTheme="majorEastAsia" w:hAnsiTheme="majorEastAsia" w:hint="eastAsia"/>
          <w:b/>
          <w:sz w:val="24"/>
          <w:szCs w:val="24"/>
        </w:rPr>
        <w:t>．</w:t>
      </w:r>
      <w:r w:rsidR="00A63CF5">
        <w:rPr>
          <w:rFonts w:asciiTheme="majorEastAsia" w:eastAsiaTheme="majorEastAsia" w:hAnsiTheme="majorEastAsia" w:hint="eastAsia"/>
          <w:b/>
          <w:sz w:val="24"/>
          <w:szCs w:val="24"/>
        </w:rPr>
        <w:t>これらのうち、急いで対応すべきものはどれだと思いますか？</w:t>
      </w:r>
      <w:r w:rsidRPr="00660A39">
        <w:rPr>
          <w:rFonts w:asciiTheme="majorEastAsia" w:eastAsiaTheme="majorEastAsia" w:hAnsiTheme="majorEastAsia" w:hint="eastAsia"/>
          <w:b/>
          <w:sz w:val="24"/>
          <w:szCs w:val="24"/>
        </w:rPr>
        <w:t>】</w:t>
      </w:r>
      <w:r w:rsidR="00A63CF5">
        <w:rPr>
          <w:rFonts w:asciiTheme="majorEastAsia" w:eastAsiaTheme="majorEastAsia" w:hAnsiTheme="majorEastAsia" w:hint="eastAsia"/>
        </w:rPr>
        <w:t>（該当するものの番号を3つまで記入）</w:t>
      </w:r>
    </w:p>
    <w:p w:rsidR="005B4300" w:rsidRPr="005B4300" w:rsidRDefault="005B4300" w:rsidP="005B4300">
      <w:pPr>
        <w:jc w:val="left"/>
        <w:rPr>
          <w:rFonts w:asciiTheme="majorEastAsia" w:eastAsiaTheme="majorEastAsia" w:hAnsiTheme="majorEastAsia"/>
        </w:rPr>
      </w:pPr>
    </w:p>
    <w:p w:rsidR="005B218D" w:rsidRDefault="006D0D5F" w:rsidP="00FE7639">
      <w:pPr>
        <w:jc w:val="center"/>
        <w:rPr>
          <w:rFonts w:asciiTheme="majorEastAsia" w:eastAsiaTheme="majorEastAsia" w:hAnsiTheme="majorEastAsia"/>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48863" behindDoc="0" locked="0" layoutInCell="1" allowOverlap="1" wp14:anchorId="63148407" wp14:editId="2519FB94">
                <wp:simplePos x="0" y="0"/>
                <wp:positionH relativeFrom="column">
                  <wp:posOffset>247650</wp:posOffset>
                </wp:positionH>
                <wp:positionV relativeFrom="paragraph">
                  <wp:posOffset>340133</wp:posOffset>
                </wp:positionV>
                <wp:extent cx="385445" cy="30162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1" style="position:absolute;left:0;text-align:left;margin-left:19.5pt;margin-top:26.8pt;width:30.35pt;height:23.75pt;z-index:251748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" filled="f" stroked="f" strokeweight="2pt">
                <v:textbox>
                  <w:txbxContent>
                    <w:p w:rsidR="00FE7639" w:rsidRPr="00FE7639" w:rsidRDefault="00FE7639" w:rsidP="00FE7639">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5B218D">
        <w:rPr>
          <w:rFonts w:asciiTheme="majorEastAsia" w:eastAsiaTheme="majorEastAsia" w:hAnsiTheme="majorEastAsia" w:hint="eastAsia"/>
          <w:noProof/>
        </w:rPr>
        <w:drawing>
          <wp:inline distT="0" distB="0" distL="0" distR="0" wp14:anchorId="22A41D14" wp14:editId="0CFC4CAE">
            <wp:extent cx="8760542" cy="8731045"/>
            <wp:effectExtent l="0" t="0" r="21590" b="1333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218D" w:rsidRDefault="005B218D" w:rsidP="00AE2751">
      <w:pPr>
        <w:ind w:right="840"/>
        <w:jc w:val="left"/>
        <w:rPr>
          <w:rFonts w:asciiTheme="majorEastAsia" w:eastAsiaTheme="majorEastAsia" w:hAnsiTheme="majorEastAsia"/>
        </w:rPr>
      </w:pPr>
    </w:p>
    <w:p w:rsidR="005B4300" w:rsidRPr="005B4300" w:rsidRDefault="005B4300" w:rsidP="005B4300">
      <w:pPr>
        <w:ind w:leftChars="100" w:left="210" w:firstLineChars="100" w:firstLine="240"/>
        <w:rPr>
          <w:rFonts w:ascii="ＭＳ Ｐ明朝" w:eastAsia="ＭＳ Ｐ明朝" w:hAnsi="ＭＳ Ｐ明朝" w:cs="Times New Roman"/>
          <w:sz w:val="24"/>
          <w:szCs w:val="24"/>
        </w:rPr>
      </w:pPr>
      <w:r w:rsidRPr="005B4300">
        <w:rPr>
          <w:rFonts w:ascii="ＭＳ Ｐ明朝" w:eastAsia="ＭＳ Ｐ明朝" w:hAnsi="ＭＳ Ｐ明朝" w:cs="Times New Roman" w:hint="eastAsia"/>
          <w:sz w:val="24"/>
          <w:szCs w:val="24"/>
        </w:rPr>
        <w:t>「子どもの人権問題」と回答した人の割合が74.9％で最も高く、次の「高齢者の人権問題」47.8％とは27.1ポイントの差がある。</w:t>
      </w:r>
    </w:p>
    <w:p w:rsidR="005B4300" w:rsidRPr="005B4300" w:rsidRDefault="005B4300" w:rsidP="005B4300">
      <w:pPr>
        <w:ind w:leftChars="85" w:left="178" w:firstLineChars="137" w:firstLine="329"/>
        <w:rPr>
          <w:rFonts w:ascii="ＭＳ Ｐ明朝" w:eastAsia="ＭＳ Ｐ明朝" w:hAnsi="ＭＳ Ｐ明朝" w:cs="Times New Roman"/>
          <w:sz w:val="24"/>
          <w:szCs w:val="24"/>
        </w:rPr>
      </w:pPr>
      <w:r w:rsidRPr="005B4300">
        <w:rPr>
          <w:rFonts w:ascii="ＭＳ Ｐ明朝" w:eastAsia="ＭＳ Ｐ明朝" w:hAnsi="ＭＳ Ｐ明朝" w:cs="Times New Roman" w:hint="eastAsia"/>
          <w:sz w:val="24"/>
          <w:szCs w:val="24"/>
        </w:rPr>
        <w:t>一方、最も低いのは、「性的マイノリティの人権問題」で2.8％、ほか「外国人の人権問題」、「ホームレスの人権問題」、「ＨＩＶ感染者やハンセン病回復者の人権問題」、「同和問題」、「職業や雇用をめぐる人権問題」が10％を下回っている。</w:t>
      </w:r>
    </w:p>
    <w:p w:rsidR="005B218D" w:rsidRDefault="005B4300" w:rsidP="005B4300">
      <w:pPr>
        <w:tabs>
          <w:tab w:val="left" w:pos="2074"/>
        </w:tabs>
        <w:jc w:val="left"/>
        <w:rPr>
          <w:rFonts w:asciiTheme="majorEastAsia" w:eastAsiaTheme="majorEastAsia" w:hAnsiTheme="majorEastAsia"/>
        </w:rPr>
      </w:pPr>
      <w:r>
        <w:rPr>
          <w:rFonts w:asciiTheme="majorEastAsia" w:eastAsiaTheme="majorEastAsia" w:hAnsiTheme="majorEastAsia"/>
        </w:rPr>
        <w:tab/>
      </w:r>
    </w:p>
    <w:p w:rsidR="005B218D" w:rsidRDefault="005B218D"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5B4300" w:rsidP="008C786D">
      <w:pPr>
        <w:jc w:val="left"/>
        <w:rPr>
          <w:rFonts w:asciiTheme="majorEastAsia" w:eastAsiaTheme="majorEastAsia" w:hAnsiTheme="majorEastAsia"/>
        </w:rPr>
      </w:pPr>
      <w:r>
        <w:rPr>
          <w:rFonts w:asciiTheme="majorEastAsia" w:eastAsiaTheme="majorEastAsia" w:hAnsiTheme="majorEastAsia" w:hint="eastAsia"/>
        </w:rPr>
        <w:t xml:space="preserve">≪参考≫　</w:t>
      </w:r>
      <w:r w:rsidR="00A63CF5" w:rsidRPr="00A63CF5">
        <w:rPr>
          <w:rFonts w:asciiTheme="majorEastAsia" w:eastAsiaTheme="majorEastAsia" w:hAnsiTheme="majorEastAsia" w:hint="eastAsia"/>
          <w:b/>
        </w:rPr>
        <w:t>問３・３－１</w:t>
      </w:r>
      <w:r>
        <w:rPr>
          <w:rFonts w:asciiTheme="majorEastAsia" w:eastAsiaTheme="majorEastAsia" w:hAnsiTheme="majorEastAsia" w:hint="eastAsia"/>
          <w:b/>
        </w:rPr>
        <w:t>の並列表記</w:t>
      </w:r>
    </w:p>
    <w:p w:rsidR="00A1506A" w:rsidRDefault="00A1506A" w:rsidP="008C786D">
      <w:pPr>
        <w:jc w:val="left"/>
        <w:rPr>
          <w:rFonts w:asciiTheme="majorEastAsia" w:eastAsiaTheme="majorEastAsia" w:hAnsiTheme="majorEastAsia"/>
        </w:rPr>
      </w:pPr>
    </w:p>
    <w:p w:rsidR="00A63CF5"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0911" behindDoc="0" locked="0" layoutInCell="1" allowOverlap="1" wp14:anchorId="1F2DFCC9" wp14:editId="42477815">
                <wp:simplePos x="0" y="0"/>
                <wp:positionH relativeFrom="column">
                  <wp:posOffset>34424</wp:posOffset>
                </wp:positionH>
                <wp:positionV relativeFrom="paragraph">
                  <wp:posOffset>191135</wp:posOffset>
                </wp:positionV>
                <wp:extent cx="385445" cy="30162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30" style="position:absolute;margin-left:2.7pt;margin-top:15.05pt;width:30.35pt;height:23.75pt;z-index:251750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3F67DB">
        <w:rPr>
          <w:rFonts w:asciiTheme="majorEastAsia" w:eastAsiaTheme="majorEastAsia" w:hAnsiTheme="majorEastAsia" w:hint="eastAsia"/>
          <w:noProof/>
        </w:rPr>
        <w:drawing>
          <wp:inline distT="0" distB="0" distL="0" distR="0" wp14:anchorId="4AD6A3A5" wp14:editId="2750C337">
            <wp:extent cx="9085006" cy="8760542"/>
            <wp:effectExtent l="0" t="0" r="20955" b="2159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3CF5" w:rsidRDefault="00A63CF5" w:rsidP="00AE2751">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A63CF5" w:rsidRDefault="00A63CF5"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5B218D" w:rsidRDefault="005B218D"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3F67DB" w:rsidP="008C786D">
      <w:pPr>
        <w:jc w:val="left"/>
        <w:rPr>
          <w:rFonts w:asciiTheme="majorEastAsia" w:eastAsiaTheme="majorEastAsia" w:hAnsiTheme="majorEastAsia"/>
        </w:rPr>
      </w:pPr>
    </w:p>
    <w:p w:rsidR="003F67DB" w:rsidRDefault="00114F1C" w:rsidP="008C786D">
      <w:pPr>
        <w:jc w:val="left"/>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80607" behindDoc="0" locked="0" layoutInCell="1" allowOverlap="1" wp14:anchorId="4F51D85F" wp14:editId="11E6952C">
                <wp:simplePos x="0" y="0"/>
                <wp:positionH relativeFrom="column">
                  <wp:posOffset>8374088</wp:posOffset>
                </wp:positionH>
                <wp:positionV relativeFrom="paragraph">
                  <wp:posOffset>267335</wp:posOffset>
                </wp:positionV>
                <wp:extent cx="939165" cy="570230"/>
                <wp:effectExtent l="0" t="0" r="13335" b="20320"/>
                <wp:wrapNone/>
                <wp:docPr id="66" name="正方形/長方形 66"/>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114F1C" w:rsidRPr="00114F1C" w:rsidRDefault="00114F1C"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6" o:spid="_x0000_s1033" style="position:absolute;margin-left:659.4pt;margin-top:21.05pt;width:73.95pt;height:44.9pt;z-index:2517806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" fillcolor="window" strokecolor="#f79646" strokeweight="2pt">
                <v:textbox>
                  <w:txbxContent>
                    <w:p w:rsidR="00114F1C" w:rsidRPr="00114F1C" w:rsidRDefault="00114F1C"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３</w:t>
                      </w:r>
                    </w:p>
                  </w:txbxContent>
                </v:textbox>
              </v:rect>
            </w:pict>
          </mc:Fallback>
        </mc:AlternateContent>
      </w:r>
    </w:p>
    <w:p w:rsidR="003F67DB" w:rsidRDefault="003F67DB" w:rsidP="008C786D">
      <w:pPr>
        <w:jc w:val="left"/>
        <w:rPr>
          <w:rFonts w:asciiTheme="majorEastAsia" w:eastAsiaTheme="majorEastAsia" w:hAnsiTheme="majorEastAsia"/>
        </w:rPr>
      </w:pPr>
    </w:p>
    <w:p w:rsidR="000B4AD5" w:rsidRDefault="00FF75D0"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sidR="00B6295C">
        <w:rPr>
          <w:rFonts w:asciiTheme="majorEastAsia" w:eastAsiaTheme="majorEastAsia" w:hAnsiTheme="majorEastAsia" w:hint="eastAsia"/>
          <w:b/>
          <w:sz w:val="24"/>
          <w:szCs w:val="24"/>
        </w:rPr>
        <w:t>4</w:t>
      </w:r>
      <w:r w:rsidRPr="00660A39">
        <w:rPr>
          <w:rFonts w:asciiTheme="majorEastAsia" w:eastAsiaTheme="majorEastAsia" w:hAnsiTheme="majorEastAsia" w:hint="eastAsia"/>
          <w:b/>
          <w:sz w:val="24"/>
          <w:szCs w:val="24"/>
        </w:rPr>
        <w:t>．</w:t>
      </w:r>
      <w:r w:rsidR="003F67DB">
        <w:rPr>
          <w:rFonts w:asciiTheme="majorEastAsia" w:eastAsiaTheme="majorEastAsia" w:hAnsiTheme="majorEastAsia" w:hint="eastAsia"/>
          <w:b/>
          <w:sz w:val="24"/>
          <w:szCs w:val="24"/>
        </w:rPr>
        <w:t>あなたは、人権問題についての情報や知識は主にどこで（何で）知りましたか？</w:t>
      </w:r>
      <w:r w:rsidRPr="00660A39">
        <w:rPr>
          <w:rFonts w:asciiTheme="majorEastAsia" w:eastAsiaTheme="majorEastAsia" w:hAnsiTheme="majorEastAsia" w:hint="eastAsia"/>
          <w:b/>
          <w:sz w:val="24"/>
          <w:szCs w:val="24"/>
        </w:rPr>
        <w:t>】</w:t>
      </w:r>
      <w:r w:rsidR="003F67DB">
        <w:rPr>
          <w:rFonts w:asciiTheme="majorEastAsia" w:eastAsiaTheme="majorEastAsia" w:hAnsiTheme="majorEastAsia" w:hint="eastAsia"/>
        </w:rPr>
        <w:t>（○はいくつでも）</w:t>
      </w:r>
    </w:p>
    <w:p w:rsidR="00F36122" w:rsidRPr="00F36122" w:rsidRDefault="00F36122" w:rsidP="00F36122">
      <w:pPr>
        <w:jc w:val="left"/>
        <w:rPr>
          <w:rFonts w:asciiTheme="majorEastAsia" w:eastAsiaTheme="majorEastAsia" w:hAnsiTheme="majorEastAsia"/>
        </w:rPr>
      </w:pPr>
    </w:p>
    <w:p w:rsidR="000B4AD5"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2959" behindDoc="0" locked="0" layoutInCell="1" allowOverlap="1" wp14:anchorId="24A16AE8" wp14:editId="5F8F1075">
                <wp:simplePos x="0" y="0"/>
                <wp:positionH relativeFrom="column">
                  <wp:posOffset>8725535</wp:posOffset>
                </wp:positionH>
                <wp:positionV relativeFrom="paragraph">
                  <wp:posOffset>116339</wp:posOffset>
                </wp:positionV>
                <wp:extent cx="385445" cy="301625"/>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31" style="position:absolute;margin-left:687.05pt;margin-top:9.15pt;width:30.35pt;height:23.75pt;z-index:25175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951FE9">
        <w:rPr>
          <w:rFonts w:asciiTheme="majorEastAsia" w:eastAsiaTheme="majorEastAsia" w:hAnsiTheme="majorEastAsia"/>
          <w:noProof/>
        </w:rPr>
        <w:drawing>
          <wp:anchor distT="0" distB="0" distL="114300" distR="114300" simplePos="0" relativeHeight="251660288" behindDoc="0" locked="0" layoutInCell="1" allowOverlap="1" wp14:anchorId="0E7751F7" wp14:editId="12903511">
            <wp:simplePos x="0" y="0"/>
            <wp:positionH relativeFrom="column">
              <wp:posOffset>5316</wp:posOffset>
            </wp:positionH>
            <wp:positionV relativeFrom="paragraph">
              <wp:posOffset>21265</wp:posOffset>
            </wp:positionV>
            <wp:extent cx="9027042" cy="5752214"/>
            <wp:effectExtent l="0" t="0" r="22225" b="2032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0B4AD5" w:rsidRDefault="000B4AD5"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987A7C" w:rsidRDefault="00987A7C" w:rsidP="008C786D">
      <w:pPr>
        <w:jc w:val="left"/>
        <w:rPr>
          <w:rFonts w:asciiTheme="majorEastAsia" w:eastAsiaTheme="majorEastAsia" w:hAnsiTheme="majorEastAsia"/>
        </w:rPr>
      </w:pPr>
    </w:p>
    <w:p w:rsidR="004B3D22" w:rsidRDefault="004B3D22" w:rsidP="008C786D">
      <w:pPr>
        <w:jc w:val="left"/>
        <w:rPr>
          <w:rFonts w:asciiTheme="majorEastAsia" w:eastAsiaTheme="majorEastAsia" w:hAnsiTheme="majorEastAsia"/>
        </w:rPr>
      </w:pPr>
    </w:p>
    <w:p w:rsidR="004B3D22" w:rsidRDefault="004B3D22" w:rsidP="008C786D">
      <w:pPr>
        <w:jc w:val="left"/>
        <w:rPr>
          <w:rFonts w:asciiTheme="majorEastAsia" w:eastAsiaTheme="majorEastAsia" w:hAnsiTheme="majorEastAsia"/>
        </w:rPr>
      </w:pPr>
    </w:p>
    <w:p w:rsidR="004B3D22" w:rsidRDefault="004B3D22" w:rsidP="008C786D">
      <w:pPr>
        <w:jc w:val="left"/>
        <w:rPr>
          <w:rFonts w:asciiTheme="majorEastAsia" w:eastAsiaTheme="majorEastAsia" w:hAnsiTheme="majorEastAsia"/>
        </w:rPr>
      </w:pPr>
    </w:p>
    <w:p w:rsidR="004B3D22" w:rsidRDefault="004B3D22" w:rsidP="00142244">
      <w:pPr>
        <w:wordWrap w:val="0"/>
        <w:ind w:right="840"/>
        <w:rPr>
          <w:rFonts w:asciiTheme="majorEastAsia" w:eastAsiaTheme="majorEastAsia" w:hAnsiTheme="majorEastAsia"/>
        </w:rPr>
      </w:pPr>
    </w:p>
    <w:p w:rsidR="00F36122" w:rsidRPr="00F36122" w:rsidRDefault="00F36122" w:rsidP="00F36122">
      <w:pPr>
        <w:ind w:firstLineChars="200" w:firstLine="48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「新聞・ＴＶ・ラジオ」と回答した人の割合が84.2％と突出しており、次の「学校教育」34.2％の約2.5倍となっている。</w:t>
      </w:r>
    </w:p>
    <w:p w:rsidR="00F36122" w:rsidRPr="00F36122" w:rsidRDefault="00F36122" w:rsidP="00F36122">
      <w:pPr>
        <w:ind w:firstLineChars="200" w:firstLine="48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「その他」の自由記述は、「書籍や映画」(7件)、「地域活動」(5件)、「講演会」（5件</w:t>
      </w:r>
      <w:r w:rsidRPr="00F36122">
        <w:rPr>
          <w:rFonts w:ascii="ＭＳ Ｐ明朝" w:eastAsia="ＭＳ Ｐ明朝" w:hAnsi="ＭＳ Ｐ明朝" w:cs="Times New Roman"/>
          <w:sz w:val="24"/>
          <w:szCs w:val="24"/>
        </w:rPr>
        <w:t>）</w:t>
      </w:r>
      <w:r w:rsidRPr="00F36122">
        <w:rPr>
          <w:rFonts w:ascii="ＭＳ Ｐ明朝" w:eastAsia="ＭＳ Ｐ明朝" w:hAnsi="ＭＳ Ｐ明朝" w:cs="Times New Roman" w:hint="eastAsia"/>
          <w:sz w:val="24"/>
          <w:szCs w:val="24"/>
        </w:rPr>
        <w:t>、「実体験」(3件)、等となっている。</w:t>
      </w:r>
    </w:p>
    <w:p w:rsidR="00EE4331" w:rsidRDefault="00EE4331" w:rsidP="008C786D">
      <w:pPr>
        <w:jc w:val="left"/>
        <w:rPr>
          <w:rFonts w:asciiTheme="majorEastAsia" w:eastAsiaTheme="majorEastAsia" w:hAnsiTheme="majorEastAsia"/>
        </w:rPr>
      </w:pPr>
    </w:p>
    <w:p w:rsidR="00F36122" w:rsidRDefault="00F36122" w:rsidP="008C786D">
      <w:pPr>
        <w:jc w:val="left"/>
        <w:rPr>
          <w:rFonts w:asciiTheme="majorEastAsia" w:eastAsiaTheme="majorEastAsia" w:hAnsiTheme="majorEastAsia"/>
        </w:rPr>
      </w:pPr>
    </w:p>
    <w:p w:rsidR="009336C9" w:rsidRPr="00F36122" w:rsidRDefault="009336C9" w:rsidP="008C786D">
      <w:pPr>
        <w:jc w:val="left"/>
        <w:rPr>
          <w:rFonts w:asciiTheme="majorEastAsia" w:eastAsiaTheme="majorEastAsia" w:hAnsiTheme="majorEastAsia"/>
        </w:rPr>
      </w:pPr>
    </w:p>
    <w:p w:rsidR="00F36122" w:rsidRDefault="00F36122"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問4　「６．学校教育」の内訳</w:t>
      </w:r>
      <w:r w:rsidRPr="00660A39">
        <w:rPr>
          <w:rFonts w:asciiTheme="majorEastAsia" w:eastAsiaTheme="majorEastAsia" w:hAnsiTheme="majorEastAsia" w:hint="eastAsia"/>
          <w:b/>
          <w:sz w:val="24"/>
          <w:szCs w:val="24"/>
        </w:rPr>
        <w:t>】</w:t>
      </w:r>
    </w:p>
    <w:p w:rsidR="00F36122" w:rsidRPr="004B3D22" w:rsidRDefault="00F36122" w:rsidP="008C786D">
      <w:pPr>
        <w:jc w:val="left"/>
        <w:rPr>
          <w:rFonts w:asciiTheme="majorEastAsia" w:eastAsiaTheme="majorEastAsia" w:hAnsiTheme="majorEastAsia"/>
        </w:rPr>
      </w:pPr>
    </w:p>
    <w:p w:rsidR="007212C3" w:rsidRDefault="006D0D5F" w:rsidP="00A71BA5">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5007" behindDoc="0" locked="0" layoutInCell="1" allowOverlap="1" wp14:anchorId="415099D4" wp14:editId="4C2A2CE3">
                <wp:simplePos x="0" y="0"/>
                <wp:positionH relativeFrom="column">
                  <wp:posOffset>5202689</wp:posOffset>
                </wp:positionH>
                <wp:positionV relativeFrom="paragraph">
                  <wp:posOffset>214630</wp:posOffset>
                </wp:positionV>
                <wp:extent cx="385445" cy="301625"/>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2" style="position:absolute;margin-left:409.65pt;margin-top:16.9pt;width:30.35pt;height:23.75pt;z-index:251755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A71BA5">
        <w:rPr>
          <w:rFonts w:asciiTheme="majorEastAsia" w:eastAsiaTheme="majorEastAsia" w:hAnsiTheme="majorEastAsia"/>
          <w:noProof/>
        </w:rPr>
        <w:drawing>
          <wp:inline distT="0" distB="0" distL="0" distR="0" wp14:anchorId="0908D643" wp14:editId="33107AFE">
            <wp:extent cx="5486400" cy="3200400"/>
            <wp:effectExtent l="0" t="0" r="19050" b="19050"/>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12C3" w:rsidRDefault="007212C3" w:rsidP="008C786D">
      <w:pPr>
        <w:jc w:val="left"/>
        <w:rPr>
          <w:rFonts w:asciiTheme="majorEastAsia" w:eastAsiaTheme="majorEastAsia" w:hAnsiTheme="majorEastAsia"/>
        </w:rPr>
      </w:pPr>
    </w:p>
    <w:p w:rsidR="00F36122" w:rsidRPr="00F36122" w:rsidRDefault="00F36122" w:rsidP="00F36122">
      <w:pPr>
        <w:ind w:firstLineChars="200" w:firstLine="48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「小学校」、「中学校」と回答した人の割合が突出して高く、48.1％、46.1％と拮抗している。</w:t>
      </w:r>
    </w:p>
    <w:p w:rsidR="007212C3" w:rsidRPr="00F36122" w:rsidRDefault="007212C3" w:rsidP="008C786D">
      <w:pPr>
        <w:jc w:val="left"/>
        <w:rPr>
          <w:rFonts w:asciiTheme="majorEastAsia" w:eastAsiaTheme="majorEastAsia" w:hAnsiTheme="majorEastAsia"/>
        </w:rPr>
      </w:pPr>
    </w:p>
    <w:p w:rsidR="00A72334" w:rsidRDefault="00A72334" w:rsidP="008C786D">
      <w:pPr>
        <w:jc w:val="left"/>
        <w:rPr>
          <w:rFonts w:asciiTheme="majorEastAsia" w:eastAsiaTheme="majorEastAsia" w:hAnsiTheme="majorEastAsia"/>
        </w:rPr>
      </w:pPr>
    </w:p>
    <w:p w:rsidR="00A72334" w:rsidRDefault="00A72334" w:rsidP="008C786D">
      <w:pPr>
        <w:jc w:val="left"/>
        <w:rPr>
          <w:rFonts w:asciiTheme="majorEastAsia" w:eastAsiaTheme="majorEastAsia" w:hAnsiTheme="majorEastAsia"/>
        </w:rPr>
      </w:pPr>
    </w:p>
    <w:p w:rsidR="00F36122" w:rsidRDefault="00F36122" w:rsidP="008C786D">
      <w:pPr>
        <w:jc w:val="left"/>
        <w:rPr>
          <w:rFonts w:asciiTheme="majorEastAsia" w:eastAsiaTheme="majorEastAsia" w:hAnsiTheme="majorEastAsia"/>
        </w:rPr>
      </w:pPr>
    </w:p>
    <w:p w:rsidR="00F36122" w:rsidRDefault="000654D6" w:rsidP="008C786D">
      <w:pPr>
        <w:jc w:val="left"/>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84703" behindDoc="0" locked="0" layoutInCell="1" allowOverlap="1" wp14:anchorId="6FABC632" wp14:editId="2BDF5CA2">
                <wp:simplePos x="0" y="0"/>
                <wp:positionH relativeFrom="column">
                  <wp:posOffset>13836</wp:posOffset>
                </wp:positionH>
                <wp:positionV relativeFrom="paragraph">
                  <wp:posOffset>268605</wp:posOffset>
                </wp:positionV>
                <wp:extent cx="939165" cy="570230"/>
                <wp:effectExtent l="0" t="0" r="13335" b="20320"/>
                <wp:wrapNone/>
                <wp:docPr id="68" name="正方形/長方形 68"/>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114F1C" w:rsidRPr="00114F1C" w:rsidRDefault="000654D6"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 o:spid="_x0000_s1036" style="position:absolute;margin-left:1.1pt;margin-top:21.15pt;width:73.95pt;height:44.9pt;z-index:251784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" fillcolor="window" strokecolor="#f79646" strokeweight="2pt">
                <v:textbox>
                  <w:txbxContent>
                    <w:p w:rsidR="00114F1C" w:rsidRPr="00114F1C" w:rsidRDefault="000654D6"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４</w:t>
                      </w:r>
                    </w:p>
                  </w:txbxContent>
                </v:textbox>
              </v:rect>
            </w:pict>
          </mc:Fallback>
        </mc:AlternateContent>
      </w:r>
    </w:p>
    <w:p w:rsidR="00F36122" w:rsidRDefault="00F36122" w:rsidP="008C786D">
      <w:pPr>
        <w:jc w:val="left"/>
        <w:rPr>
          <w:rFonts w:asciiTheme="majorEastAsia" w:eastAsiaTheme="majorEastAsia" w:hAnsiTheme="majorEastAsia"/>
        </w:rPr>
      </w:pPr>
    </w:p>
    <w:p w:rsidR="00614BBC" w:rsidRPr="00660A39" w:rsidRDefault="00614BBC"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5</w:t>
      </w:r>
      <w:r w:rsidRPr="00660A39">
        <w:rPr>
          <w:rFonts w:asciiTheme="majorEastAsia" w:eastAsiaTheme="majorEastAsia" w:hAnsiTheme="majorEastAsia" w:hint="eastAsia"/>
          <w:b/>
          <w:sz w:val="24"/>
          <w:szCs w:val="24"/>
        </w:rPr>
        <w:t>．</w:t>
      </w:r>
      <w:r w:rsidR="00A72334">
        <w:rPr>
          <w:rFonts w:asciiTheme="majorEastAsia" w:eastAsiaTheme="majorEastAsia" w:hAnsiTheme="majorEastAsia" w:hint="eastAsia"/>
          <w:b/>
          <w:sz w:val="24"/>
          <w:szCs w:val="24"/>
        </w:rPr>
        <w:t>あなたは、人権問題の解決に向けた次のような施策を知っていますか？また、見て、あるいは利用・参加して</w:t>
      </w:r>
      <w:r w:rsidR="00D91AB5">
        <w:rPr>
          <w:rFonts w:asciiTheme="majorEastAsia" w:eastAsiaTheme="majorEastAsia" w:hAnsiTheme="majorEastAsia" w:hint="eastAsia"/>
          <w:b/>
          <w:sz w:val="24"/>
          <w:szCs w:val="24"/>
        </w:rPr>
        <w:t>役にたちましたか？</w:t>
      </w:r>
      <w:r w:rsidRPr="00660A39">
        <w:rPr>
          <w:rFonts w:asciiTheme="majorEastAsia" w:eastAsiaTheme="majorEastAsia" w:hAnsiTheme="majorEastAsia" w:hint="eastAsia"/>
          <w:b/>
          <w:sz w:val="24"/>
          <w:szCs w:val="24"/>
        </w:rPr>
        <w:t>】</w:t>
      </w:r>
    </w:p>
    <w:p w:rsidR="00987A7C" w:rsidRDefault="00D91AB5" w:rsidP="00F36122">
      <w:pPr>
        <w:jc w:val="right"/>
        <w:rPr>
          <w:rFonts w:asciiTheme="majorEastAsia" w:eastAsiaTheme="majorEastAsia" w:hAnsiTheme="majorEastAsia"/>
        </w:rPr>
      </w:pPr>
      <w:r>
        <w:rPr>
          <w:rFonts w:asciiTheme="majorEastAsia" w:eastAsiaTheme="majorEastAsia" w:hAnsiTheme="majorEastAsia" w:hint="eastAsia"/>
        </w:rPr>
        <w:t xml:space="preserve">　　　　　　　　　　　　　　　　　　　　　　　　　（(1)～(9)それぞれについて、いずれか1つに○）</w:t>
      </w:r>
    </w:p>
    <w:p w:rsidR="00F36122" w:rsidRPr="00D91AB5" w:rsidRDefault="00F36122" w:rsidP="003872C3">
      <w:pPr>
        <w:rPr>
          <w:rFonts w:asciiTheme="majorEastAsia" w:eastAsiaTheme="majorEastAsia" w:hAnsiTheme="majorEastAsia"/>
        </w:rPr>
      </w:pPr>
    </w:p>
    <w:p w:rsidR="00987A7C" w:rsidRDefault="000F5CF3" w:rsidP="00793565">
      <w:pPr>
        <w:rPr>
          <w:rFonts w:asciiTheme="majorEastAsia" w:eastAsiaTheme="majorEastAsia" w:hAnsiTheme="majorEastAsia"/>
        </w:rPr>
      </w:pPr>
      <w:r>
        <w:rPr>
          <w:rFonts w:asciiTheme="majorEastAsia" w:eastAsiaTheme="majorEastAsia" w:hAnsiTheme="majorEastAsia"/>
          <w:noProof/>
        </w:rPr>
        <w:drawing>
          <wp:inline distT="0" distB="0" distL="0" distR="0" wp14:anchorId="399D37D4" wp14:editId="5F7391C3">
            <wp:extent cx="9194334" cy="10226180"/>
            <wp:effectExtent l="0" t="0" r="26035" b="2286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7A7C" w:rsidRDefault="00987A7C" w:rsidP="00AE2751">
      <w:pPr>
        <w:ind w:right="210"/>
        <w:jc w:val="left"/>
        <w:rPr>
          <w:rFonts w:asciiTheme="majorEastAsia" w:eastAsiaTheme="majorEastAsia" w:hAnsiTheme="majorEastAsia"/>
        </w:rPr>
      </w:pP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知っているが利用・参加したことはない」、「役に立った」、「役に立たなかった」又は「どちらとも言えない」と回答した人の割合（≒知っている）は、「(2)新聞・雑誌、テレビ・ラジオ、インターネットなどを利用した啓発広報」82.4％、「(1)啓発ポスターや車内吊り広告」72.3％が突出している。また、(1)～(9)いずれの施策についても「知っているが利用・参加したことはない」と回答した人の割合が最も高く、「(2)新聞・雑誌、テレビ・ラジオ、インターネットなどを利用した啓発広報」、「(8)人権相談窓口」で50％を超えている。また、「役に立った」と回答した人の割合は、「(4)講演会・映画会」、「(2)新聞・雑誌、テレビ・ラジオ、インターネットなどを利用した啓発広報」、「(3)啓発冊子や教材」、「(5)研修会」で10％を超えている。</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一方、「知らない」と回答した人の割合が最も高いのは「(9)事前登録型本人通知制度」73.9％で、次の「(5)研修会」44.8％とは29.1ポイントの差がある。</w:t>
      </w:r>
    </w:p>
    <w:p w:rsidR="007A6E56" w:rsidRPr="00F36122"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614BBC" w:rsidRDefault="00C97039" w:rsidP="00F3612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5－1</w:t>
      </w:r>
      <w:r w:rsidRPr="00660A39">
        <w:rPr>
          <w:rFonts w:asciiTheme="majorEastAsia" w:eastAsiaTheme="majorEastAsia" w:hAnsiTheme="majorEastAsia" w:hint="eastAsia"/>
          <w:b/>
          <w:sz w:val="24"/>
          <w:szCs w:val="24"/>
        </w:rPr>
        <w:t>．</w:t>
      </w:r>
      <w:r w:rsidR="00250024">
        <w:rPr>
          <w:rFonts w:asciiTheme="majorEastAsia" w:eastAsiaTheme="majorEastAsia" w:hAnsiTheme="majorEastAsia" w:hint="eastAsia"/>
          <w:b/>
          <w:sz w:val="24"/>
          <w:szCs w:val="24"/>
        </w:rPr>
        <w:t>続けていくべきだと思いますか？</w:t>
      </w:r>
      <w:r w:rsidRPr="00660A39">
        <w:rPr>
          <w:rFonts w:asciiTheme="majorEastAsia" w:eastAsiaTheme="majorEastAsia" w:hAnsiTheme="majorEastAsia" w:hint="eastAsia"/>
          <w:b/>
          <w:sz w:val="24"/>
          <w:szCs w:val="24"/>
        </w:rPr>
        <w:t>】</w:t>
      </w:r>
      <w:r w:rsidR="00250024">
        <w:rPr>
          <w:rFonts w:asciiTheme="majorEastAsia" w:eastAsiaTheme="majorEastAsia" w:hAnsiTheme="majorEastAsia" w:hint="eastAsia"/>
        </w:rPr>
        <w:t>（（1）～（9）それぞれについて、いずれか１つに○）</w:t>
      </w:r>
    </w:p>
    <w:p w:rsidR="00F36122" w:rsidRPr="00F36122" w:rsidRDefault="00F36122" w:rsidP="00F36122">
      <w:pPr>
        <w:jc w:val="left"/>
        <w:rPr>
          <w:rFonts w:asciiTheme="majorEastAsia" w:eastAsiaTheme="majorEastAsia" w:hAnsiTheme="majorEastAsia"/>
        </w:rPr>
      </w:pPr>
    </w:p>
    <w:p w:rsidR="00614BBC" w:rsidRDefault="00250024" w:rsidP="008C786D">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B353185" wp14:editId="22B9ADF5">
            <wp:extent cx="9114503" cy="7698658"/>
            <wp:effectExtent l="0" t="0" r="10795" b="1714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5CE3" w:rsidRDefault="00355CE3" w:rsidP="00AE2751">
      <w:pPr>
        <w:jc w:val="left"/>
        <w:rPr>
          <w:rFonts w:asciiTheme="majorEastAsia" w:eastAsiaTheme="majorEastAsia" w:hAnsiTheme="majorEastAsia"/>
        </w:rPr>
      </w:pP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「拡充すべき」と回答した人の割合は、「(8)人権相談窓口」30.1％、「(2)新聞・雑誌、テレビ・ラジオ、インターネットなどを利用した啓発広報」28.9％が比較的高い。</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現状のまま継続すべき」と回答した人の割合は、「(1)啓発ポスターや車内吊り広告」、「(2)新聞・雑誌、テレビ・ラジオ、インターネットなどを利用した啓発広報」、「(8)人権相談窓口」で40％を超えている。</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「縮小すべき」と回答した人の割合は、(1)～(9)いずれの施策についても10％を下回っているが、「(3)啓発冊子や教材」、「(6)イベント」がともに9.1％と、最も高い。</w:t>
      </w:r>
    </w:p>
    <w:p w:rsidR="00F36122" w:rsidRPr="00F36122" w:rsidRDefault="00F36122" w:rsidP="00F36122">
      <w:pPr>
        <w:ind w:firstLineChars="100" w:firstLine="240"/>
        <w:rPr>
          <w:rFonts w:ascii="ＭＳ Ｐ明朝" w:eastAsia="ＭＳ Ｐ明朝" w:hAnsi="ＭＳ Ｐ明朝" w:cs="Times New Roman"/>
          <w:sz w:val="24"/>
          <w:szCs w:val="24"/>
        </w:rPr>
      </w:pPr>
      <w:r w:rsidRPr="00F36122">
        <w:rPr>
          <w:rFonts w:ascii="ＭＳ Ｐ明朝" w:eastAsia="ＭＳ Ｐ明朝" w:hAnsi="ＭＳ Ｐ明朝" w:cs="Times New Roman" w:hint="eastAsia"/>
          <w:sz w:val="24"/>
          <w:szCs w:val="24"/>
        </w:rPr>
        <w:t>「どちらとも言えない」と回答した人の割合は、「(9)事前登録型本人通知制度」35.2％が最も高い。また、この施策のみ、「どちらとも言えない」と回答した人の割合が他の回答（「拡充すべき」、「現状のまま継続すべき」、「縮小すべき」）をした人の割合を超えている。</w:t>
      </w:r>
    </w:p>
    <w:p w:rsidR="00F36122" w:rsidRPr="00F36122" w:rsidRDefault="00F36122" w:rsidP="00F36122">
      <w:pPr>
        <w:ind w:firstLineChars="100" w:firstLine="240"/>
        <w:rPr>
          <w:rFonts w:ascii="ＭＳ ゴシック" w:eastAsia="ＭＳ ゴシック" w:hAnsi="ＭＳ ゴシック" w:cs="HG創英角ｺﾞｼｯｸUB-WinCharSetFFFF-"/>
          <w:b/>
          <w:kern w:val="0"/>
          <w:sz w:val="24"/>
          <w:szCs w:val="24"/>
        </w:rPr>
      </w:pPr>
      <w:r w:rsidRPr="00F36122">
        <w:rPr>
          <w:rFonts w:ascii="ＭＳ Ｐ明朝" w:eastAsia="ＭＳ Ｐ明朝" w:hAnsi="ＭＳ Ｐ明朝" w:cs="Times New Roman" w:hint="eastAsia"/>
          <w:sz w:val="24"/>
          <w:szCs w:val="24"/>
        </w:rPr>
        <w:t>なお、「(9)事前登録型本人通知制度」以外の(1)～(8)いずれの施策も、「現状のまま継続すべき」と回答した人の割合が最も高い。</w:t>
      </w:r>
    </w:p>
    <w:p w:rsidR="00614BBC" w:rsidRPr="00F36122"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7A6E56" w:rsidRDefault="007A6E56"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463BF" w:rsidRDefault="006463BF" w:rsidP="008C786D">
      <w:pPr>
        <w:jc w:val="left"/>
        <w:rPr>
          <w:rFonts w:asciiTheme="majorEastAsia" w:eastAsiaTheme="majorEastAsia" w:hAnsiTheme="majorEastAsia"/>
        </w:rPr>
      </w:pPr>
    </w:p>
    <w:p w:rsidR="00614BBC" w:rsidRDefault="00355CE3" w:rsidP="00611015">
      <w:pPr>
        <w:ind w:left="241" w:hangingChars="100" w:hanging="241"/>
        <w:jc w:val="left"/>
        <w:rPr>
          <w:rFonts w:asciiTheme="majorEastAsia" w:eastAsiaTheme="majorEastAsia" w:hAnsiTheme="majorEastAsia"/>
          <w:b/>
          <w:sz w:val="24"/>
          <w:szCs w:val="24"/>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6</w:t>
      </w:r>
      <w:r w:rsidRPr="00660A39">
        <w:rPr>
          <w:rFonts w:asciiTheme="majorEastAsia" w:eastAsiaTheme="majorEastAsia" w:hAnsiTheme="majorEastAsia" w:hint="eastAsia"/>
          <w:b/>
          <w:sz w:val="24"/>
          <w:szCs w:val="24"/>
        </w:rPr>
        <w:t>．</w:t>
      </w:r>
      <w:r w:rsidR="006463BF">
        <w:rPr>
          <w:rFonts w:asciiTheme="majorEastAsia" w:eastAsiaTheme="majorEastAsia" w:hAnsiTheme="majorEastAsia" w:hint="eastAsia"/>
          <w:b/>
          <w:sz w:val="24"/>
          <w:szCs w:val="24"/>
        </w:rPr>
        <w:t>あなたは、「人権上の課題を有する人やその支援者との交流会」や「子どもの居場所づくりや高齢者の見守りなど地域の自主的な活動」に参加したことがありますか？</w:t>
      </w:r>
      <w:r w:rsidRPr="00660A39">
        <w:rPr>
          <w:rFonts w:asciiTheme="majorEastAsia" w:eastAsiaTheme="majorEastAsia" w:hAnsiTheme="majorEastAsia" w:hint="eastAsia"/>
          <w:b/>
          <w:sz w:val="24"/>
          <w:szCs w:val="24"/>
        </w:rPr>
        <w:t>】</w:t>
      </w:r>
      <w:r w:rsidR="00611015">
        <w:rPr>
          <w:rFonts w:asciiTheme="majorEastAsia" w:eastAsiaTheme="majorEastAsia" w:hAnsiTheme="majorEastAsia" w:hint="eastAsia"/>
        </w:rPr>
        <w:t>（いずれか1つに○）</w:t>
      </w:r>
    </w:p>
    <w:p w:rsidR="00466CB8" w:rsidRDefault="00466CB8" w:rsidP="00466CB8">
      <w:pPr>
        <w:rPr>
          <w:rFonts w:asciiTheme="majorEastAsia" w:eastAsiaTheme="majorEastAsia" w:hAnsiTheme="majorEastAsia"/>
        </w:rPr>
      </w:pPr>
    </w:p>
    <w:p w:rsidR="00614BBC" w:rsidRPr="006463BF" w:rsidRDefault="006463BF" w:rsidP="00466CB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1312" behindDoc="1" locked="0" layoutInCell="1" allowOverlap="1" wp14:anchorId="5C2D1258" wp14:editId="4825A50B">
            <wp:simplePos x="0" y="0"/>
            <wp:positionH relativeFrom="column">
              <wp:posOffset>127931</wp:posOffset>
            </wp:positionH>
            <wp:positionV relativeFrom="paragraph">
              <wp:posOffset>50334</wp:posOffset>
            </wp:positionV>
            <wp:extent cx="4664011" cy="3900881"/>
            <wp:effectExtent l="0" t="0" r="22860" b="2349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614BBC" w:rsidRDefault="001A5DC2" w:rsidP="001A5DC2">
      <w:pPr>
        <w:tabs>
          <w:tab w:val="left" w:pos="1202"/>
        </w:tabs>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423" behindDoc="0" locked="0" layoutInCell="1" allowOverlap="1" wp14:anchorId="67396020" wp14:editId="1F299042">
                <wp:simplePos x="0" y="0"/>
                <wp:positionH relativeFrom="column">
                  <wp:posOffset>3321685</wp:posOffset>
                </wp:positionH>
                <wp:positionV relativeFrom="paragraph">
                  <wp:posOffset>78939</wp:posOffset>
                </wp:positionV>
                <wp:extent cx="2712720" cy="382270"/>
                <wp:effectExtent l="19050" t="133350" r="11430" b="208280"/>
                <wp:wrapNone/>
                <wp:docPr id="34" name="右矢印 34"/>
                <wp:cNvGraphicFramePr/>
                <a:graphic xmlns:a="http://schemas.openxmlformats.org/drawingml/2006/main">
                  <a:graphicData uri="http://schemas.microsoft.com/office/word/2010/wordprocessingShape">
                    <wps:wsp>
                      <wps:cNvSpPr/>
                      <wps:spPr>
                        <a:xfrm rot="510554">
                          <a:off x="0" y="0"/>
                          <a:ext cx="2712720" cy="382270"/>
                        </a:xfrm>
                        <a:prstGeom prst="rightArrow">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261.55pt;margin-top:6.2pt;width:213.6pt;height:30.1pt;rotation:557661fd;z-index:25168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" adj="20078" filled="f" strokecolor="gray [1629]" strokeweight="1.25pt"/>
            </w:pict>
          </mc:Fallback>
        </mc:AlternateContent>
      </w:r>
      <w:r>
        <w:rPr>
          <w:rFonts w:asciiTheme="majorEastAsia" w:eastAsiaTheme="majorEastAsia" w:hAnsiTheme="majorEastAsia"/>
        </w:rPr>
        <w:tab/>
      </w:r>
    </w:p>
    <w:p w:rsidR="00614BBC" w:rsidRDefault="006463BF" w:rsidP="001A5DC2">
      <w:pPr>
        <w:tabs>
          <w:tab w:val="left" w:pos="1202"/>
        </w:tabs>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3871" behindDoc="0" locked="0" layoutInCell="1" allowOverlap="1" wp14:anchorId="188FE548" wp14:editId="635BC290">
            <wp:simplePos x="0" y="0"/>
            <wp:positionH relativeFrom="column">
              <wp:posOffset>4949455</wp:posOffset>
            </wp:positionH>
            <wp:positionV relativeFrom="paragraph">
              <wp:posOffset>104140</wp:posOffset>
            </wp:positionV>
            <wp:extent cx="4317840" cy="3572640"/>
            <wp:effectExtent l="0" t="0" r="26035" b="2794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A5DC2">
        <w:rPr>
          <w:rFonts w:asciiTheme="majorEastAsia" w:eastAsiaTheme="majorEastAsia" w:hAnsiTheme="majorEastAsia"/>
        </w:rPr>
        <w:tab/>
      </w: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1A5DC2" w:rsidP="001A5DC2">
      <w:pPr>
        <w:tabs>
          <w:tab w:val="left" w:pos="3844"/>
        </w:tabs>
        <w:jc w:val="left"/>
        <w:rPr>
          <w:rFonts w:asciiTheme="majorEastAsia" w:eastAsiaTheme="majorEastAsia" w:hAnsiTheme="majorEastAsia"/>
        </w:rPr>
      </w:pPr>
      <w:r>
        <w:rPr>
          <w:rFonts w:asciiTheme="majorEastAsia" w:eastAsiaTheme="majorEastAsia" w:hAnsiTheme="majorEastAsia"/>
        </w:rPr>
        <w:tab/>
      </w:r>
    </w:p>
    <w:p w:rsidR="00614BBC" w:rsidRDefault="001A5DC2" w:rsidP="001A5DC2">
      <w:pPr>
        <w:tabs>
          <w:tab w:val="left" w:pos="4122"/>
        </w:tabs>
        <w:jc w:val="left"/>
        <w:rPr>
          <w:rFonts w:asciiTheme="majorEastAsia" w:eastAsiaTheme="majorEastAsia" w:hAnsiTheme="majorEastAsia"/>
        </w:rPr>
      </w:pPr>
      <w:r>
        <w:rPr>
          <w:rFonts w:asciiTheme="majorEastAsia" w:eastAsiaTheme="majorEastAsia" w:hAnsiTheme="majorEastAsia"/>
        </w:rPr>
        <w:tab/>
      </w:r>
    </w:p>
    <w:p w:rsidR="00614BBC" w:rsidRDefault="001A5DC2" w:rsidP="001A5DC2">
      <w:pPr>
        <w:tabs>
          <w:tab w:val="left" w:pos="3871"/>
        </w:tabs>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8447" behindDoc="0" locked="0" layoutInCell="1" allowOverlap="1" wp14:anchorId="5243EC1F" wp14:editId="12C64AFD">
                <wp:simplePos x="0" y="0"/>
                <wp:positionH relativeFrom="column">
                  <wp:posOffset>1427480</wp:posOffset>
                </wp:positionH>
                <wp:positionV relativeFrom="paragraph">
                  <wp:posOffset>70485</wp:posOffset>
                </wp:positionV>
                <wp:extent cx="371475" cy="1878330"/>
                <wp:effectExtent l="19050" t="0" r="28575" b="45720"/>
                <wp:wrapNone/>
                <wp:docPr id="33" name="下矢印 33"/>
                <wp:cNvGraphicFramePr/>
                <a:graphic xmlns:a="http://schemas.openxmlformats.org/drawingml/2006/main">
                  <a:graphicData uri="http://schemas.microsoft.com/office/word/2010/wordprocessingShape">
                    <wps:wsp>
                      <wps:cNvSpPr/>
                      <wps:spPr>
                        <a:xfrm>
                          <a:off x="0" y="0"/>
                          <a:ext cx="371475" cy="1878330"/>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112.4pt;margin-top:5.55pt;width:29.25pt;height:147.9pt;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" adj="19464" filled="f" strokecolor="black [3213]" strokeweight="1.25pt"/>
            </w:pict>
          </mc:Fallback>
        </mc:AlternateContent>
      </w:r>
      <w:r>
        <w:rPr>
          <w:rFonts w:asciiTheme="majorEastAsia" w:eastAsiaTheme="majorEastAsia" w:hAnsiTheme="majorEastAsia"/>
        </w:rPr>
        <w:tab/>
      </w:r>
    </w:p>
    <w:p w:rsidR="00611015" w:rsidRPr="007E2460" w:rsidRDefault="00611015" w:rsidP="00466CB8">
      <w:pPr>
        <w:jc w:val="left"/>
        <w:rPr>
          <w:rFonts w:ascii="ＭＳ Ｐ明朝" w:eastAsia="ＭＳ Ｐ明朝" w:hAnsi="ＭＳ Ｐ明朝"/>
          <w:sz w:val="24"/>
          <w:szCs w:val="24"/>
        </w:rPr>
      </w:pPr>
    </w:p>
    <w:p w:rsidR="00614BBC" w:rsidRPr="00611015" w:rsidRDefault="00614BBC" w:rsidP="008C786D">
      <w:pPr>
        <w:jc w:val="left"/>
        <w:rPr>
          <w:rFonts w:asciiTheme="majorEastAsia" w:eastAsiaTheme="majorEastAsia" w:hAnsiTheme="majorEastAsia"/>
        </w:rPr>
      </w:pPr>
    </w:p>
    <w:p w:rsidR="00614BBC" w:rsidRDefault="00466CB8"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8623" behindDoc="0" locked="0" layoutInCell="1" allowOverlap="1" wp14:anchorId="5C378AB3" wp14:editId="59D0D71B">
                <wp:simplePos x="0" y="0"/>
                <wp:positionH relativeFrom="column">
                  <wp:posOffset>207010</wp:posOffset>
                </wp:positionH>
                <wp:positionV relativeFrom="paragraph">
                  <wp:posOffset>147955</wp:posOffset>
                </wp:positionV>
                <wp:extent cx="4588510" cy="335280"/>
                <wp:effectExtent l="0" t="0" r="2540" b="7620"/>
                <wp:wrapNone/>
                <wp:docPr id="49" name="フローチャート: 処理 49"/>
                <wp:cNvGraphicFramePr/>
                <a:graphic xmlns:a="http://schemas.openxmlformats.org/drawingml/2006/main">
                  <a:graphicData uri="http://schemas.microsoft.com/office/word/2010/wordprocessingShape">
                    <wps:wsp>
                      <wps:cNvSpPr/>
                      <wps:spPr>
                        <a:xfrm>
                          <a:off x="0" y="0"/>
                          <a:ext cx="4588510" cy="335280"/>
                        </a:xfrm>
                        <a:prstGeom prst="flowChartProcess">
                          <a:avLst/>
                        </a:prstGeom>
                        <a:solidFill>
                          <a:sysClr val="window" lastClr="FFFFFF"/>
                        </a:solidFill>
                        <a:ln w="25400" cap="flat" cmpd="sng" algn="ctr">
                          <a:noFill/>
                          <a:prstDash val="solid"/>
                        </a:ln>
                        <a:effectLst/>
                      </wps:spPr>
                      <wps:txbx>
                        <w:txbxContent>
                          <w:p w:rsidR="00466CB8" w:rsidRPr="002972C6" w:rsidRDefault="00466CB8" w:rsidP="00466CB8">
                            <w:pPr>
                              <w:ind w:firstLineChars="100" w:firstLine="240"/>
                              <w:rPr>
                                <w:sz w:val="24"/>
                                <w:szCs w:val="24"/>
                              </w:rPr>
                            </w:pPr>
                            <w:r w:rsidRPr="007E2460">
                              <w:rPr>
                                <w:rFonts w:ascii="ＭＳ Ｐ明朝" w:eastAsia="ＭＳ Ｐ明朝" w:hAnsi="ＭＳ Ｐ明朝" w:hint="eastAsia"/>
                                <w:sz w:val="24"/>
                                <w:szCs w:val="24"/>
                              </w:rPr>
                              <w:t>「参加したことがある」と回答した人の割合は11.0</w:t>
                            </w:r>
                            <w:r w:rsidRPr="007E2460">
                              <w:rPr>
                                <w:rFonts w:ascii="ＭＳ Ｐ明朝" w:eastAsia="ＭＳ Ｐ明朝" w:hAnsi="ＭＳ Ｐ明朝" w:hint="eastAsia"/>
                                <w:sz w:val="24"/>
                                <w:szCs w:val="24"/>
                              </w:rPr>
                              <w:t>％に留まる。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49" o:spid="_x0000_s1033" type="#_x0000_t109" style="position:absolute;margin-left:16.3pt;margin-top:11.65pt;width:361.3pt;height:26.4pt;z-index:251738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" fillcolor="window" stroked="f" strokeweight="2pt">
                <v:textbox>
                  <w:txbxContent>
                    <w:p w:rsidR="00466CB8" w:rsidRPr="002972C6" w:rsidRDefault="00466CB8" w:rsidP="00466CB8">
                      <w:pPr>
                        <w:ind w:firstLineChars="100" w:firstLine="240"/>
                        <w:rPr>
                          <w:sz w:val="24"/>
                          <w:szCs w:val="24"/>
                        </w:rPr>
                      </w:pPr>
                      <w:r w:rsidRPr="007E2460">
                        <w:rPr>
                          <w:rFonts w:ascii="ＭＳ Ｐ明朝" w:eastAsia="ＭＳ Ｐ明朝" w:hAnsi="ＭＳ Ｐ明朝" w:hint="eastAsia"/>
                          <w:sz w:val="24"/>
                          <w:szCs w:val="24"/>
                        </w:rPr>
                        <w:t>「参加したことがある」と回答した人の割合は11.0％に留まる。</w:t>
                      </w:r>
                    </w:p>
                  </w:txbxContent>
                </v:textbox>
              </v:shape>
            </w:pict>
          </mc:Fallback>
        </mc:AlternateContent>
      </w:r>
    </w:p>
    <w:p w:rsidR="00611015" w:rsidRDefault="00466CB8"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6575" behindDoc="0" locked="0" layoutInCell="1" allowOverlap="1" wp14:anchorId="3BD91E18" wp14:editId="13645F28">
                <wp:simplePos x="0" y="0"/>
                <wp:positionH relativeFrom="column">
                  <wp:posOffset>4867275</wp:posOffset>
                </wp:positionH>
                <wp:positionV relativeFrom="paragraph">
                  <wp:posOffset>146685</wp:posOffset>
                </wp:positionV>
                <wp:extent cx="4588510" cy="620395"/>
                <wp:effectExtent l="0" t="0" r="2540" b="8255"/>
                <wp:wrapNone/>
                <wp:docPr id="48" name="フローチャート: 処理 48"/>
                <wp:cNvGraphicFramePr/>
                <a:graphic xmlns:a="http://schemas.openxmlformats.org/drawingml/2006/main">
                  <a:graphicData uri="http://schemas.microsoft.com/office/word/2010/wordprocessingShape">
                    <wps:wsp>
                      <wps:cNvSpPr/>
                      <wps:spPr>
                        <a:xfrm>
                          <a:off x="0" y="0"/>
                          <a:ext cx="4588510" cy="620395"/>
                        </a:xfrm>
                        <a:prstGeom prst="flowChartProcess">
                          <a:avLst/>
                        </a:prstGeom>
                        <a:solidFill>
                          <a:sysClr val="window" lastClr="FFFFFF"/>
                        </a:solidFill>
                        <a:ln w="25400" cap="flat" cmpd="sng" algn="ctr">
                          <a:noFill/>
                          <a:prstDash val="solid"/>
                        </a:ln>
                        <a:effectLst/>
                      </wps:spPr>
                      <wps:txbx>
                        <w:txbxContent>
                          <w:p w:rsidR="00466CB8" w:rsidRPr="002972C6" w:rsidRDefault="00466CB8" w:rsidP="00466CB8">
                            <w:pPr>
                              <w:ind w:firstLineChars="100" w:firstLine="240"/>
                              <w:rPr>
                                <w:sz w:val="24"/>
                                <w:szCs w:val="24"/>
                              </w:rPr>
                            </w:pPr>
                            <w:r w:rsidRPr="00611015">
                              <w:rPr>
                                <w:rFonts w:ascii="ＭＳ Ｐ明朝" w:eastAsia="ＭＳ Ｐ明朝" w:hAnsi="ＭＳ Ｐ明朝" w:cs="Times New Roman" w:hint="eastAsia"/>
                                <w:sz w:val="24"/>
                                <w:szCs w:val="24"/>
                              </w:rPr>
                              <w:t>「参加したい」、「どちらとも言えない」と回答した人の割合が40</w:t>
                            </w:r>
                            <w:r w:rsidRPr="00611015">
                              <w:rPr>
                                <w:rFonts w:ascii="ＭＳ Ｐ明朝" w:eastAsia="ＭＳ Ｐ明朝" w:hAnsi="ＭＳ Ｐ明朝" w:cs="Times New Roman" w:hint="eastAsia"/>
                                <w:sz w:val="24"/>
                                <w:szCs w:val="24"/>
                              </w:rPr>
                              <w:t>％台</w:t>
                            </w:r>
                            <w:r>
                              <w:rPr>
                                <w:rFonts w:ascii="ＭＳ Ｐ明朝" w:eastAsia="ＭＳ Ｐ明朝" w:hAnsi="ＭＳ Ｐ明朝" w:cs="Times New Roman" w:hint="eastAsia"/>
                                <w:sz w:val="24"/>
                                <w:szCs w:val="24"/>
                              </w:rPr>
                              <w:t xml:space="preserve">　</w:t>
                            </w:r>
                            <w:r w:rsidRPr="00611015">
                              <w:rPr>
                                <w:rFonts w:ascii="ＭＳ Ｐ明朝" w:eastAsia="ＭＳ Ｐ明朝" w:hAnsi="ＭＳ Ｐ明朝" w:cs="Times New Roman" w:hint="eastAsia"/>
                                <w:sz w:val="24"/>
                                <w:szCs w:val="24"/>
                              </w:rPr>
                              <w:t>半ばで拮抗しており、「参加したくない」は7.3％に留まる。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8" o:spid="_x0000_s1034" type="#_x0000_t109" style="position:absolute;margin-left:383.25pt;margin-top:11.55pt;width:361.3pt;height:48.85pt;z-index:251736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" fillcolor="window" stroked="f" strokeweight="2pt">
                <v:textbox>
                  <w:txbxContent>
                    <w:p w:rsidR="00466CB8" w:rsidRPr="002972C6" w:rsidRDefault="00466CB8" w:rsidP="00466CB8">
                      <w:pPr>
                        <w:ind w:firstLineChars="100" w:firstLine="240"/>
                        <w:rPr>
                          <w:sz w:val="24"/>
                          <w:szCs w:val="24"/>
                        </w:rPr>
                      </w:pPr>
                      <w:r w:rsidRPr="00611015">
                        <w:rPr>
                          <w:rFonts w:ascii="ＭＳ Ｐ明朝" w:eastAsia="ＭＳ Ｐ明朝" w:hAnsi="ＭＳ Ｐ明朝" w:cs="Times New Roman" w:hint="eastAsia"/>
                          <w:sz w:val="24"/>
                          <w:szCs w:val="24"/>
                        </w:rPr>
                        <w:t>「参加したい」、「どちらとも言えない」と回答した人の割合が40％台</w:t>
                      </w:r>
                      <w:r>
                        <w:rPr>
                          <w:rFonts w:ascii="ＭＳ Ｐ明朝" w:eastAsia="ＭＳ Ｐ明朝" w:hAnsi="ＭＳ Ｐ明朝" w:cs="Times New Roman" w:hint="eastAsia"/>
                          <w:sz w:val="24"/>
                          <w:szCs w:val="24"/>
                        </w:rPr>
                        <w:t xml:space="preserve">　</w:t>
                      </w:r>
                      <w:r w:rsidRPr="00611015">
                        <w:rPr>
                          <w:rFonts w:ascii="ＭＳ Ｐ明朝" w:eastAsia="ＭＳ Ｐ明朝" w:hAnsi="ＭＳ Ｐ明朝" w:cs="Times New Roman" w:hint="eastAsia"/>
                          <w:sz w:val="24"/>
                          <w:szCs w:val="24"/>
                        </w:rPr>
                        <w:t>半ばで拮抗しており、「参加したくない」は7.3％に留まる。</w:t>
                      </w:r>
                    </w:p>
                  </w:txbxContent>
                </v:textbox>
              </v:shape>
            </w:pict>
          </mc:Fallback>
        </mc:AlternateContent>
      </w:r>
    </w:p>
    <w:p w:rsidR="00611015" w:rsidRPr="00611015" w:rsidRDefault="00611015" w:rsidP="00466CB8">
      <w:pPr>
        <w:rPr>
          <w:rFonts w:ascii="HG丸ｺﾞｼｯｸM-PRO" w:eastAsia="HG丸ｺﾞｼｯｸM-PRO" w:hAnsi="Century" w:cs="Times New Roman"/>
          <w:sz w:val="24"/>
          <w:szCs w:val="24"/>
        </w:rPr>
      </w:pPr>
    </w:p>
    <w:p w:rsidR="00611015" w:rsidRPr="00611015" w:rsidRDefault="00611015" w:rsidP="008C786D">
      <w:pPr>
        <w:jc w:val="left"/>
        <w:rPr>
          <w:rFonts w:asciiTheme="majorEastAsia" w:eastAsiaTheme="majorEastAsia" w:hAnsiTheme="majorEastAsia"/>
        </w:rPr>
      </w:pPr>
    </w:p>
    <w:p w:rsidR="00614BBC" w:rsidRDefault="00350B99"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4895" behindDoc="0" locked="0" layoutInCell="1" allowOverlap="1" wp14:anchorId="0CA32C3E" wp14:editId="6AE50E87">
            <wp:simplePos x="0" y="0"/>
            <wp:positionH relativeFrom="column">
              <wp:posOffset>143510</wp:posOffset>
            </wp:positionH>
            <wp:positionV relativeFrom="paragraph">
              <wp:posOffset>153670</wp:posOffset>
            </wp:positionV>
            <wp:extent cx="4518660" cy="4008120"/>
            <wp:effectExtent l="0" t="0" r="15240" b="1143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472B97" w:rsidRDefault="00472B97" w:rsidP="008C786D">
      <w:pPr>
        <w:jc w:val="left"/>
        <w:rPr>
          <w:rFonts w:asciiTheme="majorEastAsia" w:eastAsiaTheme="majorEastAsia" w:hAnsiTheme="majorEastAsia"/>
        </w:rPr>
      </w:pPr>
    </w:p>
    <w:p w:rsidR="00472B97" w:rsidRDefault="00472B97" w:rsidP="008C786D">
      <w:pPr>
        <w:jc w:val="left"/>
        <w:rPr>
          <w:rFonts w:asciiTheme="majorEastAsia" w:eastAsiaTheme="majorEastAsia" w:hAnsiTheme="majorEastAsia"/>
        </w:rPr>
      </w:pPr>
    </w:p>
    <w:p w:rsidR="00472B97" w:rsidRDefault="00472B97" w:rsidP="008C786D">
      <w:pPr>
        <w:jc w:val="left"/>
        <w:rPr>
          <w:rFonts w:asciiTheme="majorEastAsia" w:eastAsiaTheme="majorEastAsia" w:hAnsiTheme="majorEastAsia"/>
        </w:rPr>
      </w:pPr>
    </w:p>
    <w:p w:rsidR="00472B97" w:rsidRDefault="00472B97" w:rsidP="008C786D">
      <w:pPr>
        <w:jc w:val="left"/>
        <w:rPr>
          <w:rFonts w:asciiTheme="majorEastAsia" w:eastAsiaTheme="majorEastAsia" w:hAnsiTheme="majorEastAsia"/>
        </w:rPr>
      </w:pPr>
    </w:p>
    <w:p w:rsidR="00614BBC" w:rsidRDefault="00614BBC" w:rsidP="00611015">
      <w:pPr>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614BBC" w:rsidRDefault="00614BBC" w:rsidP="008C786D">
      <w:pPr>
        <w:jc w:val="left"/>
        <w:rPr>
          <w:rFonts w:asciiTheme="majorEastAsia" w:eastAsiaTheme="majorEastAsia" w:hAnsiTheme="majorEastAsia"/>
        </w:rPr>
      </w:pPr>
    </w:p>
    <w:p w:rsidR="00987A7C" w:rsidRDefault="00987A7C" w:rsidP="00C43211">
      <w:pPr>
        <w:jc w:val="left"/>
        <w:rPr>
          <w:rFonts w:asciiTheme="majorEastAsia" w:eastAsiaTheme="majorEastAsia" w:hAnsiTheme="majorEastAsia"/>
        </w:rPr>
      </w:pPr>
    </w:p>
    <w:p w:rsidR="00472B97" w:rsidRDefault="00472B97" w:rsidP="00C43211">
      <w:pPr>
        <w:jc w:val="left"/>
        <w:rPr>
          <w:rFonts w:asciiTheme="majorEastAsia" w:eastAsiaTheme="majorEastAsia" w:hAnsiTheme="majorEastAsia"/>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466CB8" w:rsidRDefault="00466CB8" w:rsidP="00D6385F">
      <w:pPr>
        <w:jc w:val="left"/>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734527" behindDoc="0" locked="0" layoutInCell="1" allowOverlap="1" wp14:anchorId="706B403C" wp14:editId="5D8C2CEA">
                <wp:simplePos x="0" y="0"/>
                <wp:positionH relativeFrom="column">
                  <wp:posOffset>125730</wp:posOffset>
                </wp:positionH>
                <wp:positionV relativeFrom="paragraph">
                  <wp:posOffset>13836</wp:posOffset>
                </wp:positionV>
                <wp:extent cx="4588778" cy="2130803"/>
                <wp:effectExtent l="0" t="0" r="2540" b="3175"/>
                <wp:wrapNone/>
                <wp:docPr id="37" name="フローチャート: 処理 37"/>
                <wp:cNvGraphicFramePr/>
                <a:graphic xmlns:a="http://schemas.openxmlformats.org/drawingml/2006/main">
                  <a:graphicData uri="http://schemas.microsoft.com/office/word/2010/wordprocessingShape">
                    <wps:wsp>
                      <wps:cNvSpPr/>
                      <wps:spPr>
                        <a:xfrm>
                          <a:off x="0" y="0"/>
                          <a:ext cx="4588778" cy="2130803"/>
                        </a:xfrm>
                        <a:prstGeom prst="flowChartProcess">
                          <a:avLst/>
                        </a:prstGeom>
                        <a:solidFill>
                          <a:sysClr val="window" lastClr="FFFFFF"/>
                        </a:solidFill>
                        <a:ln w="25400" cap="flat" cmpd="sng" algn="ctr">
                          <a:noFill/>
                          <a:prstDash val="solid"/>
                        </a:ln>
                        <a:effectLst/>
                      </wps:spPr>
                      <wps:txbx>
                        <w:txbxContent>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「内容を魅力的なものに見直す」と回答した人の割合が39.7</w:t>
                            </w:r>
                            <w:r w:rsidRPr="007E2460">
                              <w:rPr>
                                <w:rFonts w:ascii="ＭＳ Ｐ明朝" w:eastAsia="ＭＳ Ｐ明朝" w:hAnsi="ＭＳ Ｐ明朝" w:cs="Times New Roman" w:hint="eastAsia"/>
                                <w:sz w:val="24"/>
                                <w:szCs w:val="24"/>
                              </w:rPr>
                              <w:t>％と最も高く、次いで「家や職場の近くで開催する」27.0％、「日曜・祝日など参加しやする日に実施する」23.8％となっている。</w:t>
                            </w:r>
                          </w:p>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一方、24.4％の人が「関心がない」と回答している。</w:t>
                            </w:r>
                          </w:p>
                          <w:p w:rsidR="00466CB8" w:rsidRPr="002972C6" w:rsidRDefault="00466CB8" w:rsidP="00466CB8">
                            <w:pPr>
                              <w:ind w:firstLineChars="100" w:firstLine="240"/>
                              <w:rPr>
                                <w:sz w:val="24"/>
                                <w:szCs w:val="24"/>
                              </w:rPr>
                            </w:pPr>
                            <w:r w:rsidRPr="007E2460">
                              <w:rPr>
                                <w:rFonts w:ascii="ＭＳ Ｐ明朝" w:eastAsia="ＭＳ Ｐ明朝" w:hAnsi="ＭＳ Ｐ明朝" w:cs="Times New Roman" w:hint="eastAsia"/>
                                <w:sz w:val="24"/>
                                <w:szCs w:val="24"/>
                              </w:rPr>
                              <w:t>「その他」の自由記述は、「広報の充実」(10件)、「堅苦しくなく、分かりやすく」(7件)、「子どもの一時預かり等の条件整備」(7件)、「職場で実施」(5件)、「インターネットで参加」(3件)等となっている。一方、「時間がない、余裕がない」(19件)、「情報がない、知らない」(6件)といった記述も目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37" o:spid="_x0000_s1035" type="#_x0000_t109" style="position:absolute;margin-left:9.9pt;margin-top:1.1pt;width:361.3pt;height:167.8pt;z-index:251734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" fillcolor="window" stroked="f" strokeweight="2pt">
                <v:textbox>
                  <w:txbxContent>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「内容を魅力的なものに見直す」と回答した人の割合が39.7％と最も高く、次いで「家や職場の近くで開催する」27.0％、「日曜・祝日など参加しやする日に実施する」23.8％となっている。</w:t>
                      </w:r>
                    </w:p>
                    <w:p w:rsidR="00466CB8" w:rsidRPr="007E2460" w:rsidRDefault="00466CB8" w:rsidP="00466CB8">
                      <w:pPr>
                        <w:ind w:firstLineChars="100" w:firstLine="240"/>
                        <w:rPr>
                          <w:rFonts w:ascii="ＭＳ Ｐ明朝" w:eastAsia="ＭＳ Ｐ明朝" w:hAnsi="ＭＳ Ｐ明朝" w:cs="Times New Roman"/>
                          <w:sz w:val="24"/>
                          <w:szCs w:val="24"/>
                        </w:rPr>
                      </w:pPr>
                      <w:r w:rsidRPr="007E2460">
                        <w:rPr>
                          <w:rFonts w:ascii="ＭＳ Ｐ明朝" w:eastAsia="ＭＳ Ｐ明朝" w:hAnsi="ＭＳ Ｐ明朝" w:cs="Times New Roman" w:hint="eastAsia"/>
                          <w:sz w:val="24"/>
                          <w:szCs w:val="24"/>
                        </w:rPr>
                        <w:t>一方、24.4％の人が「関心がない」と回答している。</w:t>
                      </w:r>
                    </w:p>
                    <w:p w:rsidR="00466CB8" w:rsidRPr="002972C6" w:rsidRDefault="00466CB8" w:rsidP="00466CB8">
                      <w:pPr>
                        <w:ind w:firstLineChars="100" w:firstLine="240"/>
                        <w:rPr>
                          <w:sz w:val="24"/>
                          <w:szCs w:val="24"/>
                        </w:rPr>
                      </w:pPr>
                      <w:r w:rsidRPr="007E2460">
                        <w:rPr>
                          <w:rFonts w:ascii="ＭＳ Ｐ明朝" w:eastAsia="ＭＳ Ｐ明朝" w:hAnsi="ＭＳ Ｐ明朝" w:cs="Times New Roman" w:hint="eastAsia"/>
                          <w:sz w:val="24"/>
                          <w:szCs w:val="24"/>
                        </w:rPr>
                        <w:t>「その他」の自由記述は、「広報の充実」(10件)、「堅苦しくなく、分かりやすく」(7件)、「子どもの一時預かり等の条件整備」(7件)、「職場で実施」(5件)、「インターネットで参加」(3件)等となっている。一方、「時間がない、余裕がない」(19件)、「情報がない、知らない」(6件)といった記述も目立った。</w:t>
                      </w:r>
                    </w:p>
                  </w:txbxContent>
                </v:textbox>
              </v:shape>
            </w:pict>
          </mc:Fallback>
        </mc:AlternateContent>
      </w:r>
    </w:p>
    <w:p w:rsidR="00466CB8" w:rsidRDefault="00466CB8" w:rsidP="00D6385F">
      <w:pPr>
        <w:jc w:val="left"/>
        <w:rPr>
          <w:rFonts w:asciiTheme="majorEastAsia" w:eastAsiaTheme="majorEastAsia" w:hAnsiTheme="majorEastAsia"/>
          <w:b/>
          <w:sz w:val="24"/>
          <w:szCs w:val="24"/>
        </w:rPr>
      </w:pPr>
    </w:p>
    <w:p w:rsidR="00466CB8" w:rsidRDefault="00466CB8" w:rsidP="00D6385F">
      <w:pPr>
        <w:jc w:val="left"/>
        <w:rPr>
          <w:rFonts w:asciiTheme="majorEastAsia" w:eastAsiaTheme="majorEastAsia" w:hAnsiTheme="majorEastAsia"/>
          <w:b/>
          <w:sz w:val="24"/>
          <w:szCs w:val="24"/>
        </w:rPr>
      </w:pPr>
    </w:p>
    <w:p w:rsidR="00C43211" w:rsidRPr="00611015"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7E2460" w:rsidRDefault="007E2460" w:rsidP="00D6385F">
      <w:pPr>
        <w:jc w:val="left"/>
        <w:rPr>
          <w:rFonts w:asciiTheme="majorEastAsia" w:eastAsiaTheme="majorEastAsia" w:hAnsiTheme="majorEastAsia"/>
          <w:b/>
          <w:sz w:val="24"/>
          <w:szCs w:val="24"/>
        </w:rPr>
      </w:pPr>
    </w:p>
    <w:p w:rsidR="007E2460" w:rsidRPr="007E2460" w:rsidRDefault="007E2460"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B60E9B" w:rsidRDefault="00B60E9B" w:rsidP="00D6385F">
      <w:pPr>
        <w:jc w:val="left"/>
        <w:rPr>
          <w:rFonts w:asciiTheme="majorEastAsia" w:eastAsiaTheme="majorEastAsia" w:hAnsiTheme="majorEastAsia"/>
          <w:b/>
          <w:sz w:val="24"/>
          <w:szCs w:val="24"/>
        </w:rPr>
      </w:pPr>
    </w:p>
    <w:p w:rsidR="00C43211" w:rsidRDefault="00C43211" w:rsidP="00D6385F">
      <w:pPr>
        <w:jc w:val="left"/>
        <w:rPr>
          <w:rFonts w:asciiTheme="majorEastAsia" w:eastAsiaTheme="majorEastAsia" w:hAnsiTheme="majorEastAsia"/>
          <w:b/>
          <w:sz w:val="24"/>
          <w:szCs w:val="24"/>
        </w:rPr>
      </w:pPr>
    </w:p>
    <w:p w:rsidR="00466CB8" w:rsidRDefault="000654D6" w:rsidP="00D6385F">
      <w:pPr>
        <w:jc w:val="left"/>
        <w:rPr>
          <w:rFonts w:asciiTheme="majorEastAsia" w:eastAsiaTheme="majorEastAsia" w:hAnsiTheme="majorEastAsia"/>
          <w:b/>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82655" behindDoc="0" locked="0" layoutInCell="1" allowOverlap="1" wp14:anchorId="0E40095E" wp14:editId="49B41238">
                <wp:simplePos x="0" y="0"/>
                <wp:positionH relativeFrom="column">
                  <wp:posOffset>8536439</wp:posOffset>
                </wp:positionH>
                <wp:positionV relativeFrom="paragraph">
                  <wp:posOffset>266700</wp:posOffset>
                </wp:positionV>
                <wp:extent cx="939165" cy="570230"/>
                <wp:effectExtent l="0" t="0" r="13335" b="20320"/>
                <wp:wrapNone/>
                <wp:docPr id="67" name="正方形/長方形 67"/>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114F1C" w:rsidRPr="00114F1C" w:rsidRDefault="000654D6"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7" o:spid="_x0000_s1040" style="position:absolute;margin-left:672.15pt;margin-top:21pt;width:73.95pt;height:44.9pt;z-index:2517826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" fillcolor="window" strokecolor="#f79646" strokeweight="2pt">
                <v:textbox>
                  <w:txbxContent>
                    <w:p w:rsidR="00114F1C" w:rsidRPr="00114F1C" w:rsidRDefault="000654D6"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５</w:t>
                      </w:r>
                    </w:p>
                  </w:txbxContent>
                </v:textbox>
              </v:rect>
            </w:pict>
          </mc:Fallback>
        </mc:AlternateContent>
      </w:r>
    </w:p>
    <w:p w:rsidR="00466CB8" w:rsidRDefault="00466CB8" w:rsidP="00D6385F">
      <w:pPr>
        <w:jc w:val="left"/>
        <w:rPr>
          <w:rFonts w:asciiTheme="majorEastAsia" w:eastAsiaTheme="majorEastAsia" w:hAnsiTheme="majorEastAsia"/>
          <w:b/>
          <w:sz w:val="24"/>
          <w:szCs w:val="24"/>
        </w:rPr>
      </w:pPr>
    </w:p>
    <w:p w:rsidR="00577313" w:rsidRDefault="00D6385F" w:rsidP="00611015">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7</w:t>
      </w:r>
      <w:r w:rsidRPr="00660A39">
        <w:rPr>
          <w:rFonts w:asciiTheme="majorEastAsia" w:eastAsiaTheme="majorEastAsia" w:hAnsiTheme="majorEastAsia" w:hint="eastAsia"/>
          <w:b/>
          <w:sz w:val="24"/>
          <w:szCs w:val="24"/>
        </w:rPr>
        <w:t>．</w:t>
      </w:r>
      <w:r w:rsidR="001E163D">
        <w:rPr>
          <w:rFonts w:asciiTheme="majorEastAsia" w:eastAsiaTheme="majorEastAsia" w:hAnsiTheme="majorEastAsia" w:hint="eastAsia"/>
          <w:b/>
          <w:sz w:val="24"/>
          <w:szCs w:val="24"/>
        </w:rPr>
        <w:t>あなたが家を買ったり借りたりする際に重視する（した）立地条件は何ですか？</w:t>
      </w:r>
      <w:r w:rsidRPr="00660A39">
        <w:rPr>
          <w:rFonts w:asciiTheme="majorEastAsia" w:eastAsiaTheme="majorEastAsia" w:hAnsiTheme="majorEastAsia" w:hint="eastAsia"/>
          <w:b/>
          <w:sz w:val="24"/>
          <w:szCs w:val="24"/>
        </w:rPr>
        <w:t>】</w:t>
      </w:r>
      <w:r w:rsidR="001E163D">
        <w:rPr>
          <w:rFonts w:asciiTheme="majorEastAsia" w:eastAsiaTheme="majorEastAsia" w:hAnsiTheme="majorEastAsia" w:hint="eastAsia"/>
        </w:rPr>
        <w:t>（○はいくつでも）</w:t>
      </w:r>
    </w:p>
    <w:p w:rsidR="00611015" w:rsidRDefault="00611015" w:rsidP="00611015">
      <w:pPr>
        <w:jc w:val="left"/>
        <w:rPr>
          <w:rFonts w:asciiTheme="majorEastAsia" w:eastAsiaTheme="majorEastAsia" w:hAnsiTheme="majorEastAsia"/>
        </w:rPr>
      </w:pPr>
    </w:p>
    <w:p w:rsidR="00577313"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7055" behindDoc="0" locked="0" layoutInCell="1" allowOverlap="1" wp14:anchorId="13346900" wp14:editId="5CACCECF">
                <wp:simplePos x="0" y="0"/>
                <wp:positionH relativeFrom="column">
                  <wp:posOffset>68714</wp:posOffset>
                </wp:positionH>
                <wp:positionV relativeFrom="paragraph">
                  <wp:posOffset>298450</wp:posOffset>
                </wp:positionV>
                <wp:extent cx="385445" cy="301625"/>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36" style="position:absolute;margin-left:5.4pt;margin-top:23.5pt;width:30.35pt;height:23.75pt;z-index:251757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1E163D">
        <w:rPr>
          <w:rFonts w:asciiTheme="majorEastAsia" w:eastAsiaTheme="majorEastAsia" w:hAnsiTheme="majorEastAsia" w:hint="eastAsia"/>
          <w:noProof/>
        </w:rPr>
        <w:drawing>
          <wp:inline distT="0" distB="0" distL="0" distR="0" wp14:anchorId="6058F122" wp14:editId="4F277FA4">
            <wp:extent cx="9211112" cy="9966121"/>
            <wp:effectExtent l="0" t="0" r="9525" b="1651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0FED" w:rsidRDefault="00730FED" w:rsidP="008C786D">
      <w:pPr>
        <w:jc w:val="left"/>
        <w:rPr>
          <w:rFonts w:asciiTheme="majorEastAsia" w:eastAsiaTheme="majorEastAsia" w:hAnsiTheme="majorEastAsia"/>
        </w:rPr>
      </w:pPr>
    </w:p>
    <w:p w:rsidR="00611015" w:rsidRPr="00611015" w:rsidRDefault="00611015" w:rsidP="00611015">
      <w:pPr>
        <w:ind w:firstLineChars="100" w:firstLine="240"/>
        <w:rPr>
          <w:rFonts w:ascii="ＭＳ Ｐ明朝" w:eastAsia="ＭＳ Ｐ明朝" w:hAnsi="ＭＳ Ｐ明朝" w:cs="Times New Roman"/>
          <w:sz w:val="24"/>
          <w:szCs w:val="24"/>
        </w:rPr>
      </w:pPr>
      <w:r w:rsidRPr="00611015">
        <w:rPr>
          <w:rFonts w:ascii="ＭＳ Ｐ明朝" w:eastAsia="ＭＳ Ｐ明朝" w:hAnsi="ＭＳ Ｐ明朝" w:cs="Times New Roman" w:hint="eastAsia"/>
          <w:sz w:val="24"/>
          <w:szCs w:val="24"/>
        </w:rPr>
        <w:t>物理的な立地条件以外では、「地域のイメージ」と回答した人の割合が51.8％と突出して高く、次いで「校区の教育水準や学力レベルの評判」16.6％、「近隣に同和地区があると言われていないか」13.4％となっている。</w:t>
      </w:r>
    </w:p>
    <w:p w:rsidR="00611015" w:rsidRPr="00611015" w:rsidRDefault="00611015" w:rsidP="00611015">
      <w:pPr>
        <w:ind w:firstLineChars="100" w:firstLine="240"/>
        <w:rPr>
          <w:rFonts w:ascii="ＭＳ Ｐ明朝" w:eastAsia="ＭＳ Ｐ明朝" w:hAnsi="ＭＳ Ｐ明朝" w:cs="Times New Roman"/>
          <w:sz w:val="24"/>
          <w:szCs w:val="24"/>
        </w:rPr>
      </w:pPr>
      <w:r w:rsidRPr="00611015">
        <w:rPr>
          <w:rFonts w:ascii="ＭＳ Ｐ明朝" w:eastAsia="ＭＳ Ｐ明朝" w:hAnsi="ＭＳ Ｐ明朝" w:cs="Times New Roman" w:hint="eastAsia"/>
          <w:sz w:val="24"/>
          <w:szCs w:val="24"/>
        </w:rPr>
        <w:t>「その他」の自由記述は、物理的な立地条件以外では、「治安」(6件)が多かった。</w:t>
      </w:r>
    </w:p>
    <w:p w:rsidR="00D6385F" w:rsidRPr="00611015" w:rsidRDefault="00D6385F"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730FED" w:rsidRDefault="00730FED"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8220B9" w:rsidP="008C786D">
      <w:pPr>
        <w:jc w:val="left"/>
        <w:rPr>
          <w:rFonts w:asciiTheme="majorEastAsia" w:eastAsiaTheme="majorEastAsia" w:hAnsiTheme="majorEastAsia"/>
        </w:rPr>
      </w:pPr>
    </w:p>
    <w:p w:rsidR="008220B9" w:rsidRDefault="000654D6" w:rsidP="008C786D">
      <w:pPr>
        <w:jc w:val="left"/>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86751" behindDoc="0" locked="0" layoutInCell="1" allowOverlap="1" wp14:anchorId="74379303" wp14:editId="130FCE02">
                <wp:simplePos x="0" y="0"/>
                <wp:positionH relativeFrom="column">
                  <wp:posOffset>17646</wp:posOffset>
                </wp:positionH>
                <wp:positionV relativeFrom="paragraph">
                  <wp:posOffset>259080</wp:posOffset>
                </wp:positionV>
                <wp:extent cx="939165" cy="570230"/>
                <wp:effectExtent l="0" t="0" r="13335" b="20320"/>
                <wp:wrapNone/>
                <wp:docPr id="69" name="正方形/長方形 69"/>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114F1C" w:rsidRPr="00114F1C" w:rsidRDefault="000654D6"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9" o:spid="_x0000_s1042" style="position:absolute;margin-left:1.4pt;margin-top:20.4pt;width:73.95pt;height:44.9pt;z-index:2517867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" fillcolor="window" strokecolor="#f79646" strokeweight="2pt">
                <v:textbox>
                  <w:txbxContent>
                    <w:p w:rsidR="00114F1C" w:rsidRPr="00114F1C" w:rsidRDefault="000654D6" w:rsidP="00114F1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６</w:t>
                      </w:r>
                    </w:p>
                  </w:txbxContent>
                </v:textbox>
              </v:rect>
            </w:pict>
          </mc:Fallback>
        </mc:AlternateContent>
      </w:r>
    </w:p>
    <w:p w:rsidR="008220B9" w:rsidRDefault="008220B9" w:rsidP="008C786D">
      <w:pPr>
        <w:jc w:val="left"/>
        <w:rPr>
          <w:rFonts w:asciiTheme="majorEastAsia" w:eastAsiaTheme="majorEastAsia" w:hAnsiTheme="majorEastAsia"/>
        </w:rPr>
      </w:pPr>
    </w:p>
    <w:p w:rsidR="00D6385F" w:rsidRDefault="00EE4331" w:rsidP="00560B8B">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8</w:t>
      </w:r>
      <w:r w:rsidRPr="00660A3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採用面接</w:t>
      </w:r>
      <w:r w:rsidR="005E4BB4">
        <w:rPr>
          <w:rFonts w:asciiTheme="majorEastAsia" w:eastAsiaTheme="majorEastAsia" w:hAnsiTheme="majorEastAsia" w:hint="eastAsia"/>
          <w:b/>
          <w:sz w:val="24"/>
          <w:szCs w:val="24"/>
        </w:rPr>
        <w:t>における質問で、あなたが人権上問題があると思うことはどれですか？</w:t>
      </w:r>
      <w:r w:rsidRPr="00660A39">
        <w:rPr>
          <w:rFonts w:asciiTheme="majorEastAsia" w:eastAsiaTheme="majorEastAsia" w:hAnsiTheme="majorEastAsia" w:hint="eastAsia"/>
          <w:b/>
          <w:sz w:val="24"/>
          <w:szCs w:val="24"/>
        </w:rPr>
        <w:t>】</w:t>
      </w:r>
      <w:r w:rsidR="005E4BB4">
        <w:rPr>
          <w:rFonts w:asciiTheme="majorEastAsia" w:eastAsiaTheme="majorEastAsia" w:hAnsiTheme="majorEastAsia" w:hint="eastAsia"/>
        </w:rPr>
        <w:t>（○はいくつでも）</w:t>
      </w:r>
    </w:p>
    <w:p w:rsidR="00560B8B" w:rsidRPr="00560B8B" w:rsidRDefault="00560B8B" w:rsidP="00560B8B">
      <w:pPr>
        <w:jc w:val="left"/>
        <w:rPr>
          <w:rFonts w:asciiTheme="majorEastAsia" w:eastAsiaTheme="majorEastAsia" w:hAnsiTheme="majorEastAsia"/>
        </w:rPr>
      </w:pPr>
    </w:p>
    <w:p w:rsidR="00D6385F"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59103" behindDoc="0" locked="0" layoutInCell="1" allowOverlap="1" wp14:anchorId="6A065EDD" wp14:editId="11723D1C">
                <wp:simplePos x="0" y="0"/>
                <wp:positionH relativeFrom="column">
                  <wp:posOffset>32385</wp:posOffset>
                </wp:positionH>
                <wp:positionV relativeFrom="paragraph">
                  <wp:posOffset>215067</wp:posOffset>
                </wp:positionV>
                <wp:extent cx="385445" cy="301625"/>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43" style="position:absolute;margin-left:2.55pt;margin-top:16.95pt;width:30.35pt;height:23.75pt;z-index:25175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EE4331">
        <w:rPr>
          <w:rFonts w:asciiTheme="majorEastAsia" w:eastAsiaTheme="majorEastAsia" w:hAnsiTheme="majorEastAsia" w:hint="eastAsia"/>
          <w:noProof/>
        </w:rPr>
        <w:drawing>
          <wp:inline distT="0" distB="0" distL="0" distR="0" wp14:anchorId="669F1DDB" wp14:editId="01494DBA">
            <wp:extent cx="9085006" cy="8819535"/>
            <wp:effectExtent l="0" t="0" r="20955" b="1968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385F" w:rsidRDefault="00D6385F" w:rsidP="005E4BB4">
      <w:pPr>
        <w:wordWrap w:val="0"/>
        <w:ind w:right="840"/>
        <w:rPr>
          <w:rFonts w:asciiTheme="majorEastAsia" w:eastAsiaTheme="majorEastAsia" w:hAnsiTheme="majorEastAsia"/>
        </w:rPr>
      </w:pPr>
    </w:p>
    <w:p w:rsidR="00560B8B" w:rsidRP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「家族の状況」と回答した人の割合が60.7％で最も高く、次いで「宗教」55.7％、「支持政党」51.4％となっている。</w:t>
      </w:r>
    </w:p>
    <w:p w:rsidR="00560B8B" w:rsidRPr="00560B8B" w:rsidRDefault="00560B8B" w:rsidP="00560B8B">
      <w:pPr>
        <w:ind w:firstLineChars="100" w:firstLine="240"/>
        <w:rPr>
          <w:rFonts w:ascii="HG丸ｺﾞｼｯｸM-PRO" w:eastAsia="HG丸ｺﾞｼｯｸM-PRO" w:hAnsi="Century" w:cs="Times New Roman"/>
          <w:sz w:val="24"/>
          <w:szCs w:val="24"/>
        </w:rPr>
      </w:pPr>
      <w:r w:rsidRPr="00560B8B">
        <w:rPr>
          <w:rFonts w:ascii="ＭＳ Ｐ明朝" w:eastAsia="ＭＳ Ｐ明朝" w:hAnsi="ＭＳ Ｐ明朝" w:cs="Times New Roman" w:hint="eastAsia"/>
          <w:sz w:val="24"/>
          <w:szCs w:val="24"/>
        </w:rPr>
        <w:t>一方、最も低いのは「尊敬する人物」で7.1％、次いで「人生観や生活信条」14.3％、「購読新聞・雑誌、愛読書など」16.6％となっている。</w:t>
      </w:r>
    </w:p>
    <w:p w:rsidR="00360CBF" w:rsidRPr="00560B8B" w:rsidRDefault="00360CB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360CBF" w:rsidP="00560B8B">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9</w:t>
      </w:r>
      <w:r w:rsidRPr="00660A39">
        <w:rPr>
          <w:rFonts w:asciiTheme="majorEastAsia" w:eastAsiaTheme="majorEastAsia" w:hAnsiTheme="majorEastAsia" w:hint="eastAsia"/>
          <w:b/>
          <w:sz w:val="24"/>
          <w:szCs w:val="24"/>
        </w:rPr>
        <w:t>．</w:t>
      </w:r>
      <w:r w:rsidR="009C3283">
        <w:rPr>
          <w:rFonts w:asciiTheme="majorEastAsia" w:eastAsiaTheme="majorEastAsia" w:hAnsiTheme="majorEastAsia" w:hint="eastAsia"/>
          <w:b/>
          <w:sz w:val="24"/>
          <w:szCs w:val="24"/>
        </w:rPr>
        <w:t>あなたが結婚相手について重視する（した）ことはどんなことですか？</w:t>
      </w:r>
      <w:r w:rsidRPr="00660A39">
        <w:rPr>
          <w:rFonts w:asciiTheme="majorEastAsia" w:eastAsiaTheme="majorEastAsia" w:hAnsiTheme="majorEastAsia" w:hint="eastAsia"/>
          <w:b/>
          <w:sz w:val="24"/>
          <w:szCs w:val="24"/>
        </w:rPr>
        <w:t>】</w:t>
      </w:r>
      <w:r w:rsidR="009C3283">
        <w:rPr>
          <w:rFonts w:asciiTheme="majorEastAsia" w:eastAsiaTheme="majorEastAsia" w:hAnsiTheme="majorEastAsia" w:hint="eastAsia"/>
        </w:rPr>
        <w:t>（○はいくつでも）</w:t>
      </w:r>
    </w:p>
    <w:p w:rsidR="00560B8B" w:rsidRPr="00560B8B" w:rsidRDefault="00560B8B" w:rsidP="00560B8B">
      <w:pPr>
        <w:jc w:val="left"/>
        <w:rPr>
          <w:rFonts w:asciiTheme="majorEastAsia" w:eastAsiaTheme="majorEastAsia" w:hAnsiTheme="majorEastAsia"/>
        </w:rPr>
      </w:pPr>
    </w:p>
    <w:p w:rsidR="00D6385F" w:rsidRDefault="006D0D5F" w:rsidP="002F4C59">
      <w:pPr>
        <w:jc w:val="center"/>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1151" behindDoc="0" locked="0" layoutInCell="1" allowOverlap="1" wp14:anchorId="5E042501" wp14:editId="600C8103">
                <wp:simplePos x="0" y="0"/>
                <wp:positionH relativeFrom="column">
                  <wp:posOffset>42545</wp:posOffset>
                </wp:positionH>
                <wp:positionV relativeFrom="paragraph">
                  <wp:posOffset>191904</wp:posOffset>
                </wp:positionV>
                <wp:extent cx="385445" cy="301625"/>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38" style="position:absolute;left:0;text-align:left;margin-left:3.35pt;margin-top:15.1pt;width:30.35pt;height:23.75pt;z-index:251761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0776CF">
        <w:rPr>
          <w:rFonts w:asciiTheme="majorEastAsia" w:eastAsiaTheme="majorEastAsia" w:hAnsiTheme="majorEastAsia" w:hint="eastAsia"/>
          <w:noProof/>
        </w:rPr>
        <w:drawing>
          <wp:inline distT="0" distB="0" distL="0" distR="0" wp14:anchorId="727DE0C5" wp14:editId="6224E8EA">
            <wp:extent cx="9350477" cy="8642555"/>
            <wp:effectExtent l="0" t="0" r="22225" b="2540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3283" w:rsidRDefault="009C3283" w:rsidP="008C786D">
      <w:pPr>
        <w:jc w:val="left"/>
        <w:rPr>
          <w:rFonts w:asciiTheme="majorEastAsia" w:eastAsiaTheme="majorEastAsia" w:hAnsiTheme="majorEastAsia"/>
        </w:rPr>
      </w:pPr>
    </w:p>
    <w:p w:rsid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 xml:space="preserve">　「人柄や性格」と回答した人の割合が93.6％で最も高く、次いで「趣味や価値観」58.8％、「仕事に関する理解と協力」44.3％、「家事や育児に対する理解と協力」40.7％となっている。</w:t>
      </w:r>
    </w:p>
    <w:p w:rsid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一方、最も低いのは「ひとり親家庭かどうか」で1.3％、次いで「本籍・出身地」6.5％、「相手やその家族が障がい者かどうか」6.7％、「家柄」8.9％となっている。</w:t>
      </w:r>
    </w:p>
    <w:p w:rsidR="00560B8B" w:rsidRDefault="00560B8B" w:rsidP="00560B8B">
      <w:pPr>
        <w:ind w:firstLineChars="100" w:firstLine="240"/>
        <w:rPr>
          <w:rFonts w:ascii="ＭＳ Ｐ明朝" w:eastAsia="ＭＳ Ｐ明朝" w:hAnsi="ＭＳ Ｐ明朝" w:cs="Times New Roman"/>
          <w:sz w:val="24"/>
          <w:szCs w:val="24"/>
        </w:rPr>
      </w:pPr>
      <w:r w:rsidRPr="00560B8B">
        <w:rPr>
          <w:rFonts w:ascii="ＭＳ Ｐ明朝" w:eastAsia="ＭＳ Ｐ明朝" w:hAnsi="ＭＳ Ｐ明朝" w:cs="Times New Roman" w:hint="eastAsia"/>
          <w:sz w:val="24"/>
          <w:szCs w:val="24"/>
        </w:rPr>
        <w:t>「その他」の自由記述は、「健康（状態）」(2件)、「年齢」、「血液型」、「血統」、「育った環境」、「常識があるか」(以上各1件)、等となっている。</w:t>
      </w:r>
    </w:p>
    <w:p w:rsidR="00DA4F63" w:rsidRDefault="00DA4F63" w:rsidP="00560B8B">
      <w:pPr>
        <w:ind w:firstLineChars="100" w:firstLine="240"/>
        <w:rPr>
          <w:rFonts w:ascii="ＭＳ Ｐ明朝" w:eastAsia="ＭＳ Ｐ明朝" w:hAnsi="ＭＳ Ｐ明朝" w:cs="Times New Roman"/>
          <w:sz w:val="24"/>
          <w:szCs w:val="24"/>
        </w:rPr>
      </w:pPr>
    </w:p>
    <w:p w:rsidR="00560B8B" w:rsidRDefault="00560B8B" w:rsidP="00560B8B">
      <w:pPr>
        <w:rPr>
          <w:rFonts w:ascii="ＭＳ Ｐ明朝" w:eastAsia="ＭＳ Ｐ明朝" w:hAnsi="ＭＳ Ｐ明朝" w:cs="Times New Roman"/>
          <w:sz w:val="18"/>
          <w:szCs w:val="18"/>
        </w:rPr>
      </w:pPr>
    </w:p>
    <w:p w:rsidR="00DA4F63" w:rsidRDefault="00DA4F63" w:rsidP="00560B8B">
      <w:pPr>
        <w:rPr>
          <w:rFonts w:ascii="ＭＳ Ｐ明朝" w:eastAsia="ＭＳ Ｐ明朝" w:hAnsi="ＭＳ Ｐ明朝" w:cs="Times New Roman"/>
          <w:sz w:val="18"/>
          <w:szCs w:val="18"/>
        </w:rPr>
      </w:pPr>
    </w:p>
    <w:p w:rsidR="00DA4F63" w:rsidRPr="00560B8B" w:rsidRDefault="00DA4F63" w:rsidP="00560B8B">
      <w:pPr>
        <w:rPr>
          <w:rFonts w:ascii="ＭＳ Ｐ明朝" w:eastAsia="ＭＳ Ｐ明朝" w:hAnsi="ＭＳ Ｐ明朝" w:cs="Times New Roman"/>
          <w:sz w:val="18"/>
          <w:szCs w:val="18"/>
        </w:rPr>
      </w:pPr>
    </w:p>
    <w:p w:rsidR="00560B8B" w:rsidRPr="00560B8B" w:rsidRDefault="00560B8B" w:rsidP="008C786D">
      <w:pPr>
        <w:jc w:val="left"/>
        <w:rPr>
          <w:rFonts w:asciiTheme="majorEastAsia" w:eastAsiaTheme="majorEastAsia" w:hAnsiTheme="majorEastAsia"/>
        </w:rPr>
      </w:pPr>
    </w:p>
    <w:p w:rsidR="00560B8B" w:rsidRPr="00FC69F4" w:rsidRDefault="00560B8B" w:rsidP="008C786D">
      <w:pPr>
        <w:jc w:val="left"/>
        <w:rPr>
          <w:rFonts w:asciiTheme="majorEastAsia" w:eastAsiaTheme="majorEastAsia" w:hAnsiTheme="majorEastAsia"/>
        </w:rPr>
      </w:pPr>
    </w:p>
    <w:p w:rsidR="009C3283" w:rsidRPr="002F4C59" w:rsidRDefault="009C3283" w:rsidP="002F4C59">
      <w:pPr>
        <w:jc w:val="left"/>
        <w:rPr>
          <w:rFonts w:asciiTheme="majorEastAsia" w:eastAsiaTheme="majorEastAsia" w:hAnsiTheme="majorEastAsia"/>
        </w:rPr>
      </w:pPr>
    </w:p>
    <w:p w:rsidR="009C3283" w:rsidRPr="005C7C32"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9C3283" w:rsidRDefault="009C3283" w:rsidP="008C786D">
      <w:pPr>
        <w:jc w:val="left"/>
        <w:rPr>
          <w:rFonts w:asciiTheme="majorEastAsia" w:eastAsiaTheme="majorEastAsia" w:hAnsiTheme="majorEastAsia"/>
        </w:rPr>
      </w:pPr>
    </w:p>
    <w:p w:rsidR="005D6992" w:rsidRDefault="008B66C8" w:rsidP="00DA4F63">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10</w:t>
      </w:r>
      <w:r w:rsidRPr="00660A39">
        <w:rPr>
          <w:rFonts w:asciiTheme="majorEastAsia" w:eastAsiaTheme="majorEastAsia" w:hAnsiTheme="majorEastAsia" w:hint="eastAsia"/>
          <w:b/>
          <w:sz w:val="24"/>
          <w:szCs w:val="24"/>
        </w:rPr>
        <w:t>．</w:t>
      </w:r>
      <w:r w:rsidR="0044640B">
        <w:rPr>
          <w:rFonts w:asciiTheme="majorEastAsia" w:eastAsiaTheme="majorEastAsia" w:hAnsiTheme="majorEastAsia" w:hint="eastAsia"/>
          <w:b/>
          <w:sz w:val="24"/>
          <w:szCs w:val="24"/>
        </w:rPr>
        <w:t>結婚について、あなたのお考えに</w:t>
      </w:r>
      <w:r w:rsidR="008F60CD">
        <w:rPr>
          <w:rFonts w:asciiTheme="majorEastAsia" w:eastAsiaTheme="majorEastAsia" w:hAnsiTheme="majorEastAsia" w:hint="eastAsia"/>
          <w:b/>
          <w:sz w:val="24"/>
          <w:szCs w:val="24"/>
        </w:rPr>
        <w:t>最も近いものはどれですか？</w:t>
      </w:r>
      <w:r w:rsidRPr="00660A39">
        <w:rPr>
          <w:rFonts w:asciiTheme="majorEastAsia" w:eastAsiaTheme="majorEastAsia" w:hAnsiTheme="majorEastAsia" w:hint="eastAsia"/>
          <w:b/>
          <w:sz w:val="24"/>
          <w:szCs w:val="24"/>
        </w:rPr>
        <w:t>】</w:t>
      </w:r>
      <w:r w:rsidR="008F60CD">
        <w:rPr>
          <w:rFonts w:asciiTheme="majorEastAsia" w:eastAsiaTheme="majorEastAsia" w:hAnsiTheme="majorEastAsia" w:hint="eastAsia"/>
        </w:rPr>
        <w:t>（いずれか1つに○）</w:t>
      </w:r>
    </w:p>
    <w:p w:rsidR="00DA4F63" w:rsidRPr="00DA4F63" w:rsidRDefault="00DA4F63" w:rsidP="00DA4F63">
      <w:pPr>
        <w:jc w:val="left"/>
        <w:rPr>
          <w:rFonts w:asciiTheme="majorEastAsia" w:eastAsiaTheme="majorEastAsia" w:hAnsiTheme="majorEastAsia"/>
        </w:rPr>
      </w:pPr>
    </w:p>
    <w:p w:rsidR="00D6385F" w:rsidRDefault="005D6992" w:rsidP="00DA4F63">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60574E67" wp14:editId="1067B331">
            <wp:extent cx="7197213" cy="7315200"/>
            <wp:effectExtent l="0" t="0" r="22860" b="1905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6970" w:rsidRPr="00663E4D" w:rsidRDefault="00616970" w:rsidP="008C786D">
      <w:pPr>
        <w:jc w:val="left"/>
        <w:rPr>
          <w:rFonts w:asciiTheme="majorEastAsia" w:eastAsiaTheme="majorEastAsia" w:hAnsiTheme="majorEastAsia"/>
        </w:rPr>
      </w:pPr>
    </w:p>
    <w:p w:rsidR="00DA4F63" w:rsidRPr="00DA4F63" w:rsidRDefault="00DA4F63" w:rsidP="00DA4F63">
      <w:pPr>
        <w:ind w:firstLineChars="100" w:firstLine="240"/>
        <w:rPr>
          <w:rFonts w:ascii="ＭＳ Ｐ明朝" w:eastAsia="ＭＳ Ｐ明朝" w:hAnsi="ＭＳ Ｐ明朝" w:cs="Times New Roman"/>
          <w:sz w:val="24"/>
          <w:szCs w:val="24"/>
        </w:rPr>
      </w:pPr>
      <w:r w:rsidRPr="00DA4F63">
        <w:rPr>
          <w:rFonts w:ascii="ＭＳ Ｐ明朝" w:eastAsia="ＭＳ Ｐ明朝" w:hAnsi="ＭＳ Ｐ明朝" w:cs="Times New Roman" w:hint="eastAsia"/>
          <w:sz w:val="24"/>
          <w:szCs w:val="24"/>
        </w:rPr>
        <w:t>「当人どうしの合意も、周囲の意見も、どちらも大事だ」と回答した人の割合が53.7％で、「当人どうしの合意があればよい」39.0％を14.7ポイント上回っている。</w:t>
      </w:r>
    </w:p>
    <w:p w:rsidR="00DA4F63" w:rsidRPr="00DA4F63" w:rsidRDefault="00DA4F63" w:rsidP="00DA4F63">
      <w:pPr>
        <w:ind w:firstLineChars="100" w:firstLine="240"/>
        <w:rPr>
          <w:rFonts w:ascii="ＭＳ Ｐ明朝" w:eastAsia="ＭＳ Ｐ明朝" w:hAnsi="ＭＳ Ｐ明朝" w:cs="Times New Roman"/>
          <w:sz w:val="24"/>
          <w:szCs w:val="24"/>
        </w:rPr>
      </w:pPr>
      <w:r w:rsidRPr="00DA4F63">
        <w:rPr>
          <w:rFonts w:ascii="ＭＳ Ｐ明朝" w:eastAsia="ＭＳ Ｐ明朝" w:hAnsi="ＭＳ Ｐ明朝" w:cs="Times New Roman" w:hint="eastAsia"/>
          <w:sz w:val="24"/>
          <w:szCs w:val="24"/>
        </w:rPr>
        <w:t>「当人どうしの合意も大事だが、周囲の意見がより尊重されるべき」と回答した人も2.0％いる。</w:t>
      </w:r>
    </w:p>
    <w:p w:rsidR="00DA4F63" w:rsidRPr="00DA4F63" w:rsidRDefault="00DA4F63" w:rsidP="00DA4F63">
      <w:pPr>
        <w:ind w:firstLineChars="100" w:firstLine="240"/>
        <w:rPr>
          <w:rFonts w:ascii="ＭＳ Ｐ明朝" w:eastAsia="ＭＳ Ｐ明朝" w:hAnsi="ＭＳ Ｐ明朝" w:cs="Times New Roman"/>
          <w:sz w:val="24"/>
          <w:szCs w:val="24"/>
        </w:rPr>
      </w:pPr>
      <w:r w:rsidRPr="00DA4F63">
        <w:rPr>
          <w:rFonts w:ascii="ＭＳ Ｐ明朝" w:eastAsia="ＭＳ Ｐ明朝" w:hAnsi="ＭＳ Ｐ明朝" w:cs="Times New Roman" w:hint="eastAsia"/>
          <w:sz w:val="24"/>
          <w:szCs w:val="24"/>
        </w:rPr>
        <w:t>「その他」の自由記述は、「当人どうしの合意も、周囲の意見も、どちらも大事だ」と同趣旨のもの（微妙なニュアンスの違いを記述）が多かった。</w:t>
      </w:r>
    </w:p>
    <w:p w:rsidR="00C51E2E" w:rsidRPr="00DA4F63" w:rsidRDefault="00C51E2E" w:rsidP="008C786D">
      <w:pPr>
        <w:jc w:val="left"/>
        <w:rPr>
          <w:rFonts w:asciiTheme="majorEastAsia" w:eastAsiaTheme="majorEastAsia" w:hAnsiTheme="majorEastAsia"/>
          <w:sz w:val="24"/>
          <w:szCs w:val="24"/>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9D1252" w:rsidP="008C786D">
      <w:pPr>
        <w:jc w:val="left"/>
        <w:rPr>
          <w:rFonts w:asciiTheme="majorEastAsia" w:eastAsiaTheme="majorEastAsia" w:hAnsiTheme="majorEastAsia"/>
        </w:rPr>
      </w:pPr>
    </w:p>
    <w:p w:rsidR="009D1252" w:rsidRDefault="000654D6" w:rsidP="008C786D">
      <w:pPr>
        <w:jc w:val="left"/>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88799" behindDoc="0" locked="0" layoutInCell="1" allowOverlap="1" wp14:anchorId="1B3FD1D5" wp14:editId="7A6197FD">
                <wp:simplePos x="0" y="0"/>
                <wp:positionH relativeFrom="column">
                  <wp:posOffset>8389620</wp:posOffset>
                </wp:positionH>
                <wp:positionV relativeFrom="paragraph">
                  <wp:posOffset>277629</wp:posOffset>
                </wp:positionV>
                <wp:extent cx="939165" cy="570230"/>
                <wp:effectExtent l="0" t="0" r="13335" b="20320"/>
                <wp:wrapNone/>
                <wp:docPr id="70" name="正方形/長方形 70"/>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0" o:spid="_x0000_s1045" style="position:absolute;margin-left:660.6pt;margin-top:21.85pt;width:73.95pt;height:44.9pt;z-index:251788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" fillcolor="window" strokecolor="#f79646" strokeweight="2pt">
                <v:textbo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７</w:t>
                      </w:r>
                    </w:p>
                  </w:txbxContent>
                </v:textbox>
              </v:rect>
            </w:pict>
          </mc:Fallback>
        </mc:AlternateContent>
      </w:r>
    </w:p>
    <w:p w:rsidR="009D1252" w:rsidRDefault="009D1252" w:rsidP="008C786D">
      <w:pPr>
        <w:jc w:val="left"/>
        <w:rPr>
          <w:rFonts w:asciiTheme="majorEastAsia" w:eastAsiaTheme="majorEastAsia" w:hAnsiTheme="majorEastAsia"/>
        </w:rPr>
      </w:pPr>
    </w:p>
    <w:p w:rsidR="004A2894" w:rsidRDefault="004A2894" w:rsidP="00495D29">
      <w:pPr>
        <w:ind w:left="241" w:hangingChars="100" w:hanging="241"/>
        <w:jc w:val="left"/>
        <w:rPr>
          <w:rFonts w:asciiTheme="majorEastAsia" w:eastAsiaTheme="majorEastAsia" w:hAnsiTheme="majorEastAsia"/>
          <w:sz w:val="24"/>
          <w:szCs w:val="24"/>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11</w:t>
      </w:r>
      <w:r w:rsidRPr="00660A39">
        <w:rPr>
          <w:rFonts w:asciiTheme="majorEastAsia" w:eastAsiaTheme="majorEastAsia" w:hAnsiTheme="majorEastAsia" w:hint="eastAsia"/>
          <w:b/>
          <w:sz w:val="24"/>
          <w:szCs w:val="24"/>
        </w:rPr>
        <w:t>．</w:t>
      </w:r>
      <w:r w:rsidR="007C5BDF">
        <w:rPr>
          <w:rFonts w:asciiTheme="majorEastAsia" w:eastAsiaTheme="majorEastAsia" w:hAnsiTheme="majorEastAsia" w:hint="eastAsia"/>
          <w:b/>
          <w:sz w:val="24"/>
          <w:szCs w:val="24"/>
        </w:rPr>
        <w:t>あなたは、最近5年間に人権上問題と思われる言動を身近で見聞きしたことがありますか？</w:t>
      </w:r>
      <w:r w:rsidR="00495D29">
        <w:rPr>
          <w:rFonts w:asciiTheme="majorEastAsia" w:eastAsiaTheme="majorEastAsia" w:hAnsiTheme="majorEastAsia" w:hint="eastAsia"/>
          <w:b/>
          <w:sz w:val="24"/>
          <w:szCs w:val="24"/>
        </w:rPr>
        <w:t xml:space="preserve">　</w:t>
      </w:r>
      <w:r w:rsidR="007C5BDF">
        <w:rPr>
          <w:rFonts w:asciiTheme="majorEastAsia" w:eastAsiaTheme="majorEastAsia" w:hAnsiTheme="majorEastAsia" w:hint="eastAsia"/>
          <w:b/>
          <w:sz w:val="24"/>
          <w:szCs w:val="24"/>
        </w:rPr>
        <w:t>複数ある場合は、一番印象に残っているものについてお答えください</w:t>
      </w:r>
      <w:r w:rsidRPr="00660A39">
        <w:rPr>
          <w:rFonts w:asciiTheme="majorEastAsia" w:eastAsiaTheme="majorEastAsia" w:hAnsiTheme="majorEastAsia" w:hint="eastAsia"/>
          <w:b/>
          <w:sz w:val="24"/>
          <w:szCs w:val="24"/>
        </w:rPr>
        <w:t>】</w:t>
      </w:r>
      <w:r w:rsidR="007C5BDF">
        <w:rPr>
          <w:rFonts w:asciiTheme="majorEastAsia" w:eastAsiaTheme="majorEastAsia" w:hAnsiTheme="majorEastAsia" w:hint="eastAsia"/>
          <w:b/>
          <w:sz w:val="24"/>
          <w:szCs w:val="24"/>
        </w:rPr>
        <w:t xml:space="preserve">　</w:t>
      </w:r>
      <w:r w:rsidR="007C5BDF" w:rsidRPr="007C5BDF">
        <w:rPr>
          <w:rFonts w:asciiTheme="majorEastAsia" w:eastAsiaTheme="majorEastAsia" w:hAnsiTheme="majorEastAsia" w:hint="eastAsia"/>
          <w:sz w:val="24"/>
          <w:szCs w:val="24"/>
        </w:rPr>
        <w:t>（いずれか１つに○）</w:t>
      </w:r>
    </w:p>
    <w:p w:rsidR="00495D29" w:rsidRDefault="0046745F" w:rsidP="004A2894">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5919" behindDoc="1" locked="0" layoutInCell="1" allowOverlap="1" wp14:anchorId="42A2D3AE" wp14:editId="7B9FA355">
            <wp:simplePos x="0" y="0"/>
            <wp:positionH relativeFrom="column">
              <wp:posOffset>1738618</wp:posOffset>
            </wp:positionH>
            <wp:positionV relativeFrom="paragraph">
              <wp:posOffset>111154</wp:posOffset>
            </wp:positionV>
            <wp:extent cx="5083729" cy="2583809"/>
            <wp:effectExtent l="0" t="0" r="22225" b="26670"/>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46745F"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9471" behindDoc="0" locked="0" layoutInCell="1" allowOverlap="1" wp14:anchorId="6281F24F" wp14:editId="2E399ED0">
                <wp:simplePos x="0" y="0"/>
                <wp:positionH relativeFrom="column">
                  <wp:posOffset>1808480</wp:posOffset>
                </wp:positionH>
                <wp:positionV relativeFrom="paragraph">
                  <wp:posOffset>64770</wp:posOffset>
                </wp:positionV>
                <wp:extent cx="360045" cy="2410460"/>
                <wp:effectExtent l="590550" t="0" r="516255" b="0"/>
                <wp:wrapNone/>
                <wp:docPr id="36" name="下矢印 36"/>
                <wp:cNvGraphicFramePr/>
                <a:graphic xmlns:a="http://schemas.openxmlformats.org/drawingml/2006/main">
                  <a:graphicData uri="http://schemas.microsoft.com/office/word/2010/wordprocessingShape">
                    <wps:wsp>
                      <wps:cNvSpPr/>
                      <wps:spPr>
                        <a:xfrm rot="2116142">
                          <a:off x="0" y="0"/>
                          <a:ext cx="360045" cy="2410460"/>
                        </a:xfrm>
                        <a:prstGeom prst="downArrow">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6" o:spid="_x0000_s1026" type="#_x0000_t67" style="position:absolute;left:0;text-align:left;margin-left:142.4pt;margin-top:5.1pt;width:28.35pt;height:189.8pt;rotation:2311391fd;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" adj="19987" filled="f" strokecolor="gray [1629]" strokeweight="1.5pt"/>
            </w:pict>
          </mc:Fallback>
        </mc:AlternateContent>
      </w:r>
    </w:p>
    <w:p w:rsidR="00D6385F" w:rsidRDefault="00D6385F" w:rsidP="008C786D">
      <w:pPr>
        <w:jc w:val="left"/>
        <w:rPr>
          <w:rFonts w:asciiTheme="majorEastAsia" w:eastAsiaTheme="majorEastAsia" w:hAnsiTheme="majorEastAsia"/>
        </w:rPr>
      </w:pPr>
    </w:p>
    <w:p w:rsidR="00D6385F" w:rsidRDefault="00D6385F" w:rsidP="00EF1E1E">
      <w:pPr>
        <w:jc w:val="center"/>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D6385F" w:rsidRDefault="00D6385F"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803E1B" w:rsidRPr="00803E1B" w:rsidRDefault="00803E1B" w:rsidP="00EF1E1E">
      <w:pPr>
        <w:ind w:firstLineChars="1200" w:firstLine="2880"/>
        <w:rPr>
          <w:rFonts w:ascii="HG丸ｺﾞｼｯｸM-PRO" w:eastAsia="HG丸ｺﾞｼｯｸM-PRO" w:hAnsi="Century" w:cs="Times New Roman"/>
          <w:sz w:val="24"/>
          <w:szCs w:val="24"/>
        </w:rPr>
      </w:pPr>
      <w:r w:rsidRPr="00803E1B">
        <w:rPr>
          <w:rFonts w:ascii="ＭＳ Ｐ明朝" w:eastAsia="ＭＳ Ｐ明朝" w:hAnsi="ＭＳ Ｐ明朝" w:cs="Times New Roman" w:hint="eastAsia"/>
          <w:sz w:val="24"/>
          <w:szCs w:val="24"/>
        </w:rPr>
        <w:t>「ある」と回答した人の割合は43.3％と、「ない」54.6％を11.3ポイント下回っている。</w:t>
      </w:r>
    </w:p>
    <w:p w:rsidR="004A2894" w:rsidRDefault="007C5BDF"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6943" behindDoc="0" locked="0" layoutInCell="1" allowOverlap="1" wp14:anchorId="484A3AE0" wp14:editId="62C17831">
            <wp:simplePos x="0" y="0"/>
            <wp:positionH relativeFrom="column">
              <wp:posOffset>101009</wp:posOffset>
            </wp:positionH>
            <wp:positionV relativeFrom="paragraph">
              <wp:posOffset>217967</wp:posOffset>
            </wp:positionV>
            <wp:extent cx="5699051" cy="4316819"/>
            <wp:effectExtent l="0" t="0" r="16510" b="26670"/>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3199" behindDoc="0" locked="0" layoutInCell="1" allowOverlap="1" wp14:anchorId="494AB897" wp14:editId="52984369">
                <wp:simplePos x="0" y="0"/>
                <wp:positionH relativeFrom="column">
                  <wp:posOffset>100330</wp:posOffset>
                </wp:positionH>
                <wp:positionV relativeFrom="paragraph">
                  <wp:posOffset>97924</wp:posOffset>
                </wp:positionV>
                <wp:extent cx="385445" cy="301625"/>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39" style="position:absolute;margin-left:7.9pt;margin-top:7.7pt;width:30.35pt;height:23.75pt;z-index:251763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EF1E1E">
        <w:rPr>
          <w:rFonts w:asciiTheme="majorEastAsia" w:eastAsiaTheme="majorEastAsia" w:hAnsiTheme="majorEastAsia" w:hint="eastAsia"/>
          <w:noProof/>
        </w:rPr>
        <mc:AlternateContent>
          <mc:Choice Requires="wps">
            <w:drawing>
              <wp:anchor distT="0" distB="0" distL="114300" distR="114300" simplePos="0" relativeHeight="251713023" behindDoc="0" locked="0" layoutInCell="1" allowOverlap="1" wp14:anchorId="09AF49DE" wp14:editId="24B18512">
                <wp:simplePos x="0" y="0"/>
                <wp:positionH relativeFrom="column">
                  <wp:posOffset>5958205</wp:posOffset>
                </wp:positionH>
                <wp:positionV relativeFrom="paragraph">
                  <wp:posOffset>223520</wp:posOffset>
                </wp:positionV>
                <wp:extent cx="3313430" cy="2726055"/>
                <wp:effectExtent l="0" t="0" r="1270" b="0"/>
                <wp:wrapNone/>
                <wp:docPr id="1" name="正方形/長方形 1"/>
                <wp:cNvGraphicFramePr/>
                <a:graphic xmlns:a="http://schemas.openxmlformats.org/drawingml/2006/main">
                  <a:graphicData uri="http://schemas.microsoft.com/office/word/2010/wordprocessingShape">
                    <wps:wsp>
                      <wps:cNvSpPr/>
                      <wps:spPr>
                        <a:xfrm>
                          <a:off x="0" y="0"/>
                          <a:ext cx="3313430" cy="27260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「セクハラ・パワハラ」と回答した人の割合が27.4％で最も高く、次いで「子ども」16.7％、「高齢者」13.8％、「女性」13.3％となっている。</w:t>
                            </w:r>
                          </w:p>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一方、最も低いのは「犯罪被害者」で1.2％、次いで「ホームレス」1.7％、「ＨＩＶ感染者・ハンセン病回復者」1.9％となっている。</w:t>
                            </w:r>
                          </w:p>
                          <w:p w:rsidR="00EF1E1E" w:rsidRP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「その他」の自由記述は、「プライバシー」(2件)、「アカデミックハラスメント」(1件)、等となっている。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40" style="position:absolute;margin-left:469.15pt;margin-top:17.6pt;width:260.9pt;height:214.65pt;z-index:2517130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" fillcolor="white [3201]" stroked="f" strokeweight="2pt">
                <v:textbox>
                  <w:txbxContent>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「セクハラ・パワハラ」と回答した人の割合が27.4％で最も高く、次いで「子ども」16.7％、「高齢者」13.8％、「女性」13.3％となっている。</w:t>
                      </w:r>
                    </w:p>
                    <w:p w:rsid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一方、最も低いのは「犯罪被害者」で1.2％、次いで「ホームレス」1.7％、「ＨＩＶ感染者・ハンセン病回復者」1.9％となっている。</w:t>
                      </w:r>
                    </w:p>
                    <w:p w:rsidR="00EF1E1E" w:rsidRPr="00EF1E1E" w:rsidRDefault="00EF1E1E" w:rsidP="00EF1E1E">
                      <w:pPr>
                        <w:ind w:firstLineChars="100" w:firstLine="240"/>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「その他」の自由記述は、「プライバシー」(2件)、「アカデミックハラスメント」(1件)、等となっている。</w:t>
                      </w:r>
                    </w:p>
                  </w:txbxContent>
                </v:textbox>
              </v:rect>
            </w:pict>
          </mc:Fallback>
        </mc:AlternateContent>
      </w:r>
    </w:p>
    <w:p w:rsidR="004A2894" w:rsidRDefault="005E22D2" w:rsidP="00EF1E1E">
      <w:pPr>
        <w:jc w:val="left"/>
        <w:rPr>
          <w:rFonts w:asciiTheme="majorEastAsia" w:eastAsiaTheme="majorEastAsia" w:hAnsiTheme="majorEastAsia"/>
        </w:rPr>
      </w:pPr>
      <w:r>
        <w:rPr>
          <w:rFonts w:asciiTheme="majorEastAsia" w:eastAsiaTheme="majorEastAsia" w:hAnsiTheme="majorEastAsia" w:hint="eastAsia"/>
        </w:rPr>
        <w:t xml:space="preserve">　　　　　　　　　　　　　　　　　　　　　　　　　　　　　　　　　　　　　　　　　　　　　</w:t>
      </w: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EF1E1E" w:rsidRDefault="00EF1E1E" w:rsidP="00EF1E1E">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4A2894" w:rsidRDefault="004A2894" w:rsidP="008C786D">
      <w:pPr>
        <w:jc w:val="left"/>
        <w:rPr>
          <w:rFonts w:asciiTheme="majorEastAsia" w:eastAsiaTheme="majorEastAsia" w:hAnsiTheme="majorEastAsia"/>
        </w:rPr>
      </w:pPr>
    </w:p>
    <w:p w:rsidR="005E22D2" w:rsidRDefault="005E22D2" w:rsidP="008C786D">
      <w:pPr>
        <w:jc w:val="left"/>
        <w:rPr>
          <w:rFonts w:asciiTheme="majorEastAsia" w:eastAsiaTheme="majorEastAsia" w:hAnsiTheme="majorEastAsia"/>
        </w:rPr>
      </w:pPr>
    </w:p>
    <w:p w:rsidR="005E22D2" w:rsidRDefault="005E22D2" w:rsidP="008C786D">
      <w:pPr>
        <w:jc w:val="left"/>
        <w:rPr>
          <w:rFonts w:asciiTheme="majorEastAsia" w:eastAsiaTheme="majorEastAsia" w:hAnsiTheme="majorEastAsia"/>
        </w:rPr>
      </w:pPr>
    </w:p>
    <w:p w:rsidR="005E22D2" w:rsidRDefault="005E22D2" w:rsidP="008C786D">
      <w:pPr>
        <w:jc w:val="left"/>
        <w:rPr>
          <w:rFonts w:asciiTheme="majorEastAsia" w:eastAsiaTheme="majorEastAsia" w:hAnsiTheme="majorEastAsia"/>
        </w:rPr>
      </w:pPr>
    </w:p>
    <w:p w:rsidR="006C3CDB" w:rsidRDefault="006C3CDB" w:rsidP="006C3CDB">
      <w:pPr>
        <w:ind w:right="840"/>
        <w:rPr>
          <w:rFonts w:asciiTheme="majorEastAsia" w:eastAsiaTheme="majorEastAsia" w:hAnsiTheme="majorEastAsia"/>
        </w:rPr>
      </w:pPr>
    </w:p>
    <w:p w:rsidR="005E22D2" w:rsidRDefault="0046745F" w:rsidP="006C3CDB">
      <w:pPr>
        <w:ind w:right="840"/>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7967" behindDoc="0" locked="0" layoutInCell="1" allowOverlap="1" wp14:anchorId="406F1B21" wp14:editId="01709B35">
            <wp:simplePos x="0" y="0"/>
            <wp:positionH relativeFrom="column">
              <wp:posOffset>340360</wp:posOffset>
            </wp:positionH>
            <wp:positionV relativeFrom="paragraph">
              <wp:posOffset>207010</wp:posOffset>
            </wp:positionV>
            <wp:extent cx="4391025" cy="3444875"/>
            <wp:effectExtent l="0" t="0" r="9525" b="22225"/>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505AEC">
        <w:rPr>
          <w:rFonts w:asciiTheme="majorEastAsia" w:eastAsiaTheme="majorEastAsia" w:hAnsiTheme="majorEastAsia" w:hint="eastAsia"/>
          <w:noProof/>
        </w:rPr>
        <w:drawing>
          <wp:anchor distT="0" distB="0" distL="114300" distR="114300" simplePos="0" relativeHeight="251668991" behindDoc="0" locked="0" layoutInCell="1" allowOverlap="1" wp14:anchorId="57FEE80A" wp14:editId="6918B2C7">
            <wp:simplePos x="0" y="0"/>
            <wp:positionH relativeFrom="column">
              <wp:posOffset>5160126</wp:posOffset>
            </wp:positionH>
            <wp:positionV relativeFrom="paragraph">
              <wp:posOffset>169277</wp:posOffset>
            </wp:positionV>
            <wp:extent cx="4306186" cy="3466214"/>
            <wp:effectExtent l="0" t="0" r="18415" b="2032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4A2894" w:rsidRPr="00035AE1" w:rsidRDefault="00902D95" w:rsidP="00035AE1">
      <w:pPr>
        <w:ind w:right="840"/>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7295" behindDoc="0" locked="0" layoutInCell="1" allowOverlap="1" wp14:anchorId="3CE783B3" wp14:editId="18B44392">
                <wp:simplePos x="0" y="0"/>
                <wp:positionH relativeFrom="column">
                  <wp:posOffset>5134610</wp:posOffset>
                </wp:positionH>
                <wp:positionV relativeFrom="paragraph">
                  <wp:posOffset>156711</wp:posOffset>
                </wp:positionV>
                <wp:extent cx="385445" cy="301625"/>
                <wp:effectExtent l="0" t="0" r="0" b="0"/>
                <wp:wrapNone/>
                <wp:docPr id="512" name="正方形/長方形 512"/>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2" o:spid="_x0000_s1048" style="position:absolute;left:0;text-align:left;margin-left:404.3pt;margin-top:12.35pt;width:30.35pt;height:23.75pt;z-index:251767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r w:rsidR="006D0D5F"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5247" behindDoc="0" locked="0" layoutInCell="1" allowOverlap="1" wp14:anchorId="2CA79E79" wp14:editId="35774D91">
                <wp:simplePos x="0" y="0"/>
                <wp:positionH relativeFrom="column">
                  <wp:posOffset>275590</wp:posOffset>
                </wp:positionH>
                <wp:positionV relativeFrom="paragraph">
                  <wp:posOffset>202064</wp:posOffset>
                </wp:positionV>
                <wp:extent cx="385445" cy="301625"/>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41" style="position:absolute;left:0;text-align:left;margin-left:21.7pt;margin-top:15.9pt;width:30.35pt;height:23.75pt;z-index:251765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6C3CDB" w:rsidRDefault="006C3CDB" w:rsidP="00035AE1">
      <w:pPr>
        <w:ind w:right="840"/>
        <w:rPr>
          <w:rFonts w:asciiTheme="majorEastAsia" w:eastAsiaTheme="majorEastAsia" w:hAnsiTheme="majorEastAsia"/>
        </w:rPr>
      </w:pPr>
    </w:p>
    <w:p w:rsidR="004A2894" w:rsidRPr="006C3CDB" w:rsidRDefault="004A2894" w:rsidP="00035AE1">
      <w:pPr>
        <w:ind w:right="840"/>
        <w:rPr>
          <w:rFonts w:asciiTheme="majorEastAsia" w:eastAsiaTheme="majorEastAsia" w:hAnsiTheme="majorEastAsia"/>
        </w:rPr>
      </w:pPr>
    </w:p>
    <w:p w:rsidR="006C3CDB" w:rsidRDefault="006C3CDB" w:rsidP="00035AE1">
      <w:pPr>
        <w:ind w:right="840"/>
        <w:rPr>
          <w:rFonts w:asciiTheme="majorEastAsia" w:eastAsiaTheme="majorEastAsia" w:hAnsiTheme="majorEastAsia"/>
        </w:rPr>
      </w:pPr>
    </w:p>
    <w:p w:rsidR="006C3CDB" w:rsidRDefault="006C3CDB" w:rsidP="00035AE1">
      <w:pPr>
        <w:ind w:right="840"/>
        <w:rPr>
          <w:rFonts w:asciiTheme="majorEastAsia" w:eastAsiaTheme="majorEastAsia" w:hAnsiTheme="majorEastAsia"/>
        </w:rPr>
      </w:pPr>
    </w:p>
    <w:p w:rsidR="004A2894" w:rsidRPr="006C3CDB" w:rsidRDefault="004A2894" w:rsidP="00035AE1">
      <w:pPr>
        <w:ind w:right="840"/>
        <w:rPr>
          <w:rFonts w:asciiTheme="majorEastAsia" w:eastAsiaTheme="majorEastAsia" w:hAnsiTheme="majorEastAsia"/>
        </w:rPr>
      </w:pPr>
    </w:p>
    <w:p w:rsidR="004A2894" w:rsidRDefault="004A2894" w:rsidP="00035AE1">
      <w:pPr>
        <w:ind w:right="840"/>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4A2894" w:rsidRDefault="004A2894" w:rsidP="00035AE1">
      <w:pPr>
        <w:rPr>
          <w:rFonts w:asciiTheme="majorEastAsia" w:eastAsiaTheme="majorEastAsia" w:hAnsiTheme="majorEastAsia"/>
        </w:rPr>
      </w:pPr>
    </w:p>
    <w:p w:rsidR="002E6848" w:rsidRDefault="002E6848" w:rsidP="007A2357">
      <w:pPr>
        <w:jc w:val="left"/>
        <w:rPr>
          <w:rFonts w:asciiTheme="majorEastAsia" w:eastAsiaTheme="majorEastAsia" w:hAnsiTheme="majorEastAsia"/>
        </w:rPr>
      </w:pPr>
    </w:p>
    <w:p w:rsidR="002E6848" w:rsidRDefault="002E6848" w:rsidP="008C786D">
      <w:pPr>
        <w:jc w:val="left"/>
        <w:rPr>
          <w:rFonts w:asciiTheme="majorEastAsia" w:eastAsiaTheme="majorEastAsia" w:hAnsiTheme="majorEastAsia"/>
        </w:rPr>
      </w:pPr>
    </w:p>
    <w:p w:rsidR="00035AE1" w:rsidRDefault="00035AE1" w:rsidP="008C786D">
      <w:pPr>
        <w:jc w:val="left"/>
        <w:rPr>
          <w:rFonts w:asciiTheme="majorEastAsia" w:eastAsiaTheme="majorEastAsia" w:hAnsiTheme="majorEastAsia"/>
        </w:rPr>
      </w:pPr>
    </w:p>
    <w:p w:rsidR="00035AE1" w:rsidRDefault="0046745F" w:rsidP="008C786D">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047" behindDoc="0" locked="0" layoutInCell="1" allowOverlap="1" wp14:anchorId="1DB6DFB1" wp14:editId="0BB05309">
                <wp:simplePos x="0" y="0"/>
                <wp:positionH relativeFrom="column">
                  <wp:posOffset>332105</wp:posOffset>
                </wp:positionH>
                <wp:positionV relativeFrom="paragraph">
                  <wp:posOffset>59824</wp:posOffset>
                </wp:positionV>
                <wp:extent cx="4395470" cy="1518285"/>
                <wp:effectExtent l="0" t="0" r="5080" b="5715"/>
                <wp:wrapNone/>
                <wp:docPr id="40" name="正方形/長方形 40"/>
                <wp:cNvGraphicFramePr/>
                <a:graphic xmlns:a="http://schemas.openxmlformats.org/drawingml/2006/main">
                  <a:graphicData uri="http://schemas.microsoft.com/office/word/2010/wordprocessingShape">
                    <wps:wsp>
                      <wps:cNvSpPr/>
                      <wps:spPr>
                        <a:xfrm>
                          <a:off x="0" y="0"/>
                          <a:ext cx="4395470" cy="15182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「あらぬ噂、悪口、かげ口」と回答した人の割合が37.6％で最も高く、次いで「不平等、不利益な扱い」20.2％、「名誉き損、侮辱」16.7％、「いじめ」15.3％、「嫌がらせ」14.6％となっている。</w:t>
                            </w:r>
                          </w:p>
                          <w:p w:rsidR="00EF1E1E" w:rsidRP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「その他」の自由記述は、「無関心、無理解」(3件)、「身体接触」、「攻撃的な態度、発言」（以上各2件）、「妊娠による退職勧告」、「入店拒否」 (以上各1件)、等となっている。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43" style="position:absolute;margin-left:26.15pt;margin-top:4.7pt;width:346.1pt;height:119.55pt;z-index:2517140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" fillcolor="white [3201]" stroked="f" strokeweight="2pt">
                <v:textbox>
                  <w:txbxContent>
                    <w:p w:rsid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「あらぬ噂、悪口、かげ口」と回答した人の割合が37.6％で最も高く、次いで「不平等、不利益な扱い」20.2％、「名誉き損、侮辱」16.7％、「いじめ」15.3％、「嫌がらせ」14.6％となっている。</w:t>
                      </w:r>
                    </w:p>
                    <w:p w:rsidR="00EF1E1E" w:rsidRPr="00EF1E1E" w:rsidRDefault="00EF1E1E" w:rsidP="00EF1E1E">
                      <w:pPr>
                        <w:ind w:firstLineChars="100" w:firstLine="240"/>
                        <w:jc w:val="left"/>
                        <w:rPr>
                          <w:rFonts w:ascii="ＭＳ Ｐ明朝" w:eastAsia="ＭＳ Ｐ明朝" w:hAnsi="ＭＳ Ｐ明朝"/>
                          <w:sz w:val="24"/>
                          <w:szCs w:val="24"/>
                        </w:rPr>
                      </w:pPr>
                      <w:r w:rsidRPr="00EF1E1E">
                        <w:rPr>
                          <w:rFonts w:ascii="ＭＳ Ｐ明朝" w:eastAsia="ＭＳ Ｐ明朝" w:hAnsi="ＭＳ Ｐ明朝" w:hint="eastAsia"/>
                          <w:sz w:val="24"/>
                          <w:szCs w:val="24"/>
                        </w:rPr>
                        <w:t>「その他」の自由記述は、「無関心、無理解」(3件)、「身体接触」、「攻撃的な態度、発言」（以上各2件）、「妊娠による退職勧告」、「入店拒否」 (以上各1件)、等となっている。</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6095" behindDoc="0" locked="0" layoutInCell="1" allowOverlap="1" wp14:anchorId="4F195E2C" wp14:editId="1B3EAEFB">
                <wp:simplePos x="0" y="0"/>
                <wp:positionH relativeFrom="column">
                  <wp:posOffset>5161164</wp:posOffset>
                </wp:positionH>
                <wp:positionV relativeFrom="paragraph">
                  <wp:posOffset>66966</wp:posOffset>
                </wp:positionV>
                <wp:extent cx="4395470" cy="1249680"/>
                <wp:effectExtent l="0" t="0" r="5080" b="7620"/>
                <wp:wrapNone/>
                <wp:docPr id="41" name="正方形/長方形 41"/>
                <wp:cNvGraphicFramePr/>
                <a:graphic xmlns:a="http://schemas.openxmlformats.org/drawingml/2006/main">
                  <a:graphicData uri="http://schemas.microsoft.com/office/word/2010/wordprocessingShape">
                    <wps:wsp>
                      <wps:cNvSpPr/>
                      <wps:spPr>
                        <a:xfrm>
                          <a:off x="0" y="0"/>
                          <a:ext cx="4395470" cy="1249680"/>
                        </a:xfrm>
                        <a:prstGeom prst="rect">
                          <a:avLst/>
                        </a:prstGeom>
                        <a:solidFill>
                          <a:sysClr val="window" lastClr="FFFFFF"/>
                        </a:solidFill>
                        <a:ln w="25400" cap="flat" cmpd="sng" algn="ctr">
                          <a:noFill/>
                          <a:prstDash val="solid"/>
                        </a:ln>
                        <a:effectLst/>
                      </wps:spPr>
                      <wps:txbx>
                        <w:txbxContent>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「職場」、「地域社会」と回答した人の割合が30</w:t>
                            </w:r>
                            <w:r w:rsidRPr="0046745F">
                              <w:rPr>
                                <w:rFonts w:ascii="ＭＳ Ｐ明朝" w:eastAsia="ＭＳ Ｐ明朝" w:hAnsi="ＭＳ Ｐ明朝" w:cs="Times New Roman" w:hint="eastAsia"/>
                                <w:sz w:val="24"/>
                                <w:szCs w:val="24"/>
                              </w:rPr>
                              <w:t>％を超え、次の「インターネット」16.0％の2倍以上と突出している。</w:t>
                            </w:r>
                          </w:p>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「その他」の自由記述は、「報道」(29件)が最も多かったが、次いで「友人･知人等」(14件)、「家庭・家族等」(12件)等、身近な所での見聞も多く見られた。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44" style="position:absolute;margin-left:406.4pt;margin-top:5.25pt;width:346.1pt;height:98.4pt;z-index:251716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" fillcolor="window" stroked="f" strokeweight="2pt">
                <v:textbox>
                  <w:txbxContent>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「職場」、「地域社会」と回答した人の割合が30％を超え、次の「インターネット」16.0％の2倍以上と突出している。</w:t>
                      </w:r>
                    </w:p>
                    <w:p w:rsidR="0046745F" w:rsidRPr="0046745F" w:rsidRDefault="0046745F" w:rsidP="0046745F">
                      <w:pPr>
                        <w:ind w:firstLineChars="100" w:firstLine="240"/>
                        <w:rPr>
                          <w:rFonts w:ascii="ＭＳ Ｐ明朝" w:eastAsia="ＭＳ Ｐ明朝" w:hAnsi="ＭＳ Ｐ明朝" w:cs="Times New Roman"/>
                          <w:sz w:val="24"/>
                          <w:szCs w:val="24"/>
                        </w:rPr>
                      </w:pPr>
                      <w:r w:rsidRPr="0046745F">
                        <w:rPr>
                          <w:rFonts w:ascii="ＭＳ Ｐ明朝" w:eastAsia="ＭＳ Ｐ明朝" w:hAnsi="ＭＳ Ｐ明朝" w:cs="Times New Roman" w:hint="eastAsia"/>
                          <w:sz w:val="24"/>
                          <w:szCs w:val="24"/>
                        </w:rPr>
                        <w:t>「その他」の自由記述は、「報道」(29件)が最も多かったが、次いで「友人･知人等」(14件)、「家庭・家族等」(12件)等、身近な所での見聞も多く見られた。</w:t>
                      </w:r>
                    </w:p>
                  </w:txbxContent>
                </v:textbox>
              </v:rect>
            </w:pict>
          </mc:Fallback>
        </mc:AlternateContent>
      </w:r>
    </w:p>
    <w:p w:rsidR="00EF1E1E" w:rsidRDefault="00EF1E1E" w:rsidP="0046745F">
      <w:pPr>
        <w:jc w:val="center"/>
        <w:rPr>
          <w:rFonts w:asciiTheme="majorEastAsia" w:eastAsiaTheme="majorEastAsia" w:hAnsiTheme="majorEastAsia"/>
        </w:rPr>
      </w:pPr>
    </w:p>
    <w:p w:rsidR="0046745F" w:rsidRDefault="0046745F" w:rsidP="0046745F">
      <w:pPr>
        <w:jc w:val="center"/>
        <w:rPr>
          <w:rFonts w:asciiTheme="majorEastAsia" w:eastAsiaTheme="majorEastAsia" w:hAnsiTheme="majorEastAsia"/>
        </w:rPr>
      </w:pPr>
    </w:p>
    <w:p w:rsidR="0046745F" w:rsidRDefault="0046745F" w:rsidP="0046745F">
      <w:pPr>
        <w:jc w:val="center"/>
        <w:rPr>
          <w:rFonts w:asciiTheme="majorEastAsia" w:eastAsiaTheme="majorEastAsia" w:hAnsiTheme="majorEastAsia"/>
        </w:rPr>
      </w:pPr>
    </w:p>
    <w:p w:rsidR="00EF1E1E" w:rsidRDefault="00EF1E1E" w:rsidP="008C786D">
      <w:pPr>
        <w:jc w:val="left"/>
        <w:rPr>
          <w:rFonts w:asciiTheme="majorEastAsia" w:eastAsiaTheme="majorEastAsia" w:hAnsiTheme="majorEastAsia"/>
        </w:rPr>
      </w:pPr>
    </w:p>
    <w:p w:rsidR="006C3CDB" w:rsidRDefault="000654D6" w:rsidP="008C786D">
      <w:pPr>
        <w:jc w:val="left"/>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90847" behindDoc="0" locked="0" layoutInCell="1" allowOverlap="1" wp14:anchorId="6E7DC26F" wp14:editId="69991209">
                <wp:simplePos x="0" y="0"/>
                <wp:positionH relativeFrom="column">
                  <wp:posOffset>0</wp:posOffset>
                </wp:positionH>
                <wp:positionV relativeFrom="paragraph">
                  <wp:posOffset>343401</wp:posOffset>
                </wp:positionV>
                <wp:extent cx="939165" cy="570230"/>
                <wp:effectExtent l="0" t="0" r="13335" b="20320"/>
                <wp:wrapNone/>
                <wp:docPr id="71" name="正方形/長方形 71"/>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52" style="position:absolute;margin-left:0;margin-top:27.05pt;width:73.95pt;height:44.9pt;z-index:251790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" fillcolor="window" strokecolor="#f79646" strokeweight="2pt">
                <v:textbo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８</w:t>
                      </w:r>
                    </w:p>
                  </w:txbxContent>
                </v:textbox>
              </v:rect>
            </w:pict>
          </mc:Fallback>
        </mc:AlternateContent>
      </w:r>
    </w:p>
    <w:p w:rsidR="006A089B" w:rsidRDefault="006A089B" w:rsidP="00950102">
      <w:pPr>
        <w:jc w:val="left"/>
        <w:rPr>
          <w:rFonts w:asciiTheme="majorEastAsia" w:eastAsiaTheme="majorEastAsia" w:hAnsiTheme="majorEastAsia"/>
          <w:b/>
          <w:sz w:val="24"/>
          <w:szCs w:val="24"/>
        </w:rPr>
      </w:pPr>
    </w:p>
    <w:p w:rsidR="006C3CDB" w:rsidRDefault="0044640B" w:rsidP="00950102">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11－4．</w:t>
      </w:r>
      <w:r w:rsidR="008F60CD">
        <w:rPr>
          <w:rFonts w:asciiTheme="majorEastAsia" w:eastAsiaTheme="majorEastAsia" w:hAnsiTheme="majorEastAsia" w:hint="eastAsia"/>
          <w:b/>
          <w:sz w:val="24"/>
          <w:szCs w:val="24"/>
        </w:rPr>
        <w:t>それはあなた自身に対するものでしたか？</w:t>
      </w:r>
      <w:r w:rsidRPr="00660A39">
        <w:rPr>
          <w:rFonts w:asciiTheme="majorEastAsia" w:eastAsiaTheme="majorEastAsia" w:hAnsiTheme="majorEastAsia" w:hint="eastAsia"/>
          <w:b/>
          <w:sz w:val="24"/>
          <w:szCs w:val="24"/>
        </w:rPr>
        <w:t>】</w:t>
      </w:r>
      <w:r w:rsidR="00950102">
        <w:rPr>
          <w:rFonts w:asciiTheme="majorEastAsia" w:eastAsiaTheme="majorEastAsia" w:hAnsiTheme="majorEastAsia" w:hint="eastAsia"/>
          <w:b/>
          <w:sz w:val="24"/>
          <w:szCs w:val="24"/>
        </w:rPr>
        <w:t xml:space="preserve">　</w:t>
      </w:r>
      <w:r w:rsidR="006B24DE">
        <w:rPr>
          <w:rFonts w:asciiTheme="majorEastAsia" w:eastAsiaTheme="majorEastAsia" w:hAnsiTheme="majorEastAsia" w:hint="eastAsia"/>
        </w:rPr>
        <w:t>（いずれか1つに○）</w:t>
      </w:r>
    </w:p>
    <w:p w:rsidR="006A089B" w:rsidRDefault="006A089B" w:rsidP="00950102">
      <w:pPr>
        <w:jc w:val="left"/>
        <w:rPr>
          <w:rFonts w:asciiTheme="majorEastAsia" w:eastAsiaTheme="majorEastAsia" w:hAnsiTheme="majorEastAsia"/>
        </w:rPr>
      </w:pPr>
    </w:p>
    <w:p w:rsidR="00950102" w:rsidRDefault="00A879DC"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71039" behindDoc="0" locked="0" layoutInCell="1" allowOverlap="1" wp14:anchorId="1B7867A6" wp14:editId="752CFAA8">
            <wp:simplePos x="0" y="0"/>
            <wp:positionH relativeFrom="column">
              <wp:posOffset>5236210</wp:posOffset>
            </wp:positionH>
            <wp:positionV relativeFrom="paragraph">
              <wp:posOffset>43815</wp:posOffset>
            </wp:positionV>
            <wp:extent cx="4194175" cy="2423795"/>
            <wp:effectExtent l="0" t="0" r="15875" b="14605"/>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rPr>
        <w:drawing>
          <wp:anchor distT="0" distB="0" distL="114300" distR="114300" simplePos="0" relativeHeight="251670015" behindDoc="0" locked="0" layoutInCell="1" allowOverlap="1" wp14:anchorId="5998F771" wp14:editId="5C597FFE">
            <wp:simplePos x="0" y="0"/>
            <wp:positionH relativeFrom="column">
              <wp:posOffset>153035</wp:posOffset>
            </wp:positionH>
            <wp:positionV relativeFrom="paragraph">
              <wp:posOffset>35560</wp:posOffset>
            </wp:positionV>
            <wp:extent cx="4479290" cy="3237865"/>
            <wp:effectExtent l="0" t="0" r="16510" b="19685"/>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6C3CDB" w:rsidRDefault="006C3CDB" w:rsidP="008C786D">
      <w:pPr>
        <w:jc w:val="left"/>
        <w:rPr>
          <w:rFonts w:asciiTheme="majorEastAsia" w:eastAsiaTheme="majorEastAsia" w:hAnsiTheme="majorEastAsia"/>
        </w:rPr>
      </w:pPr>
    </w:p>
    <w:p w:rsidR="006C3CDB" w:rsidRDefault="006C3CDB" w:rsidP="008C786D">
      <w:pPr>
        <w:jc w:val="left"/>
        <w:rPr>
          <w:rFonts w:asciiTheme="majorEastAsia" w:eastAsiaTheme="majorEastAsia" w:hAnsiTheme="majorEastAsia"/>
        </w:rPr>
      </w:pPr>
    </w:p>
    <w:p w:rsidR="006C3CDB" w:rsidRDefault="006C3CDB" w:rsidP="008C786D">
      <w:pPr>
        <w:jc w:val="left"/>
        <w:rPr>
          <w:rFonts w:asciiTheme="majorEastAsia" w:eastAsiaTheme="majorEastAsia" w:hAnsiTheme="majorEastAsia"/>
        </w:rPr>
      </w:pPr>
    </w:p>
    <w:p w:rsidR="006C3CDB" w:rsidRDefault="006C3CDB" w:rsidP="008C786D">
      <w:pPr>
        <w:jc w:val="left"/>
        <w:rPr>
          <w:rFonts w:asciiTheme="majorEastAsia" w:eastAsiaTheme="majorEastAsia" w:hAnsiTheme="majorEastAsia"/>
        </w:rPr>
      </w:pPr>
    </w:p>
    <w:p w:rsidR="006C3CDB" w:rsidRDefault="00A47CE3"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0671" behindDoc="0" locked="0" layoutInCell="1" allowOverlap="1" wp14:anchorId="70901A39" wp14:editId="634AEC93">
                <wp:simplePos x="0" y="0"/>
                <wp:positionH relativeFrom="column">
                  <wp:posOffset>3758064</wp:posOffset>
                </wp:positionH>
                <wp:positionV relativeFrom="paragraph">
                  <wp:posOffset>170815</wp:posOffset>
                </wp:positionV>
                <wp:extent cx="2597785" cy="318135"/>
                <wp:effectExtent l="0" t="19050" r="31115" b="43815"/>
                <wp:wrapNone/>
                <wp:docPr id="50" name="右矢印 50"/>
                <wp:cNvGraphicFramePr/>
                <a:graphic xmlns:a="http://schemas.openxmlformats.org/drawingml/2006/main">
                  <a:graphicData uri="http://schemas.microsoft.com/office/word/2010/wordprocessingShape">
                    <wps:wsp>
                      <wps:cNvSpPr/>
                      <wps:spPr>
                        <a:xfrm rot="10800000" flipH="1">
                          <a:off x="0" y="0"/>
                          <a:ext cx="2597785" cy="318135"/>
                        </a:xfrm>
                        <a:prstGeom prst="rightArrow">
                          <a:avLst>
                            <a:gd name="adj1" fmla="val 50000"/>
                            <a:gd name="adj2" fmla="val 44489"/>
                          </a:avLst>
                        </a:prstGeom>
                        <a:pattFill prst="pct10">
                          <a:fgClr>
                            <a:sysClr val="window" lastClr="FFFFFF">
                              <a:lumMod val="50000"/>
                            </a:sysClr>
                          </a:fgClr>
                          <a:bgClr>
                            <a:sysClr val="window" lastClr="FFFFFF"/>
                          </a:bgClr>
                        </a:patt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0" o:spid="_x0000_s1026" type="#_x0000_t13" style="position:absolute;left:0;text-align:left;margin-left:295.9pt;margin-top:13.45pt;width:204.55pt;height:25.05pt;rotation:180;flip:x;z-index:251740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" adj="20423" fillcolor="#7f7f7f" strokecolor="windowText" strokeweight=".25pt">
                <v:fill r:id="rId31" o:title="" color2="window" type="pattern"/>
              </v:shape>
            </w:pict>
          </mc:Fallback>
        </mc:AlternateContent>
      </w:r>
    </w:p>
    <w:p w:rsidR="006C3CDB" w:rsidRDefault="006C3CDB"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3743" behindDoc="0" locked="0" layoutInCell="1" allowOverlap="1" wp14:anchorId="4C62A495" wp14:editId="7F50D885">
                <wp:simplePos x="0" y="0"/>
                <wp:positionH relativeFrom="column">
                  <wp:posOffset>5102860</wp:posOffset>
                </wp:positionH>
                <wp:positionV relativeFrom="paragraph">
                  <wp:posOffset>18415</wp:posOffset>
                </wp:positionV>
                <wp:extent cx="4427855" cy="2440940"/>
                <wp:effectExtent l="0" t="0" r="0" b="0"/>
                <wp:wrapNone/>
                <wp:docPr id="43" name="フローチャート: 処理 43"/>
                <wp:cNvGraphicFramePr/>
                <a:graphic xmlns:a="http://schemas.openxmlformats.org/drawingml/2006/main">
                  <a:graphicData uri="http://schemas.microsoft.com/office/word/2010/wordprocessingShape">
                    <wps:wsp>
                      <wps:cNvSpPr/>
                      <wps:spPr>
                        <a:xfrm>
                          <a:off x="0" y="0"/>
                          <a:ext cx="4427855" cy="2440940"/>
                        </a:xfrm>
                        <a:prstGeom prst="flowChartProcess">
                          <a:avLst/>
                        </a:prstGeom>
                        <a:solidFill>
                          <a:sysClr val="window" lastClr="FFFFFF"/>
                        </a:solidFill>
                        <a:ln w="25400" cap="flat" cmpd="sng" algn="ctr">
                          <a:noFill/>
                          <a:prstDash val="solid"/>
                        </a:ln>
                        <a:effectLst/>
                      </wps:spPr>
                      <wps:txbx>
                        <w:txbxContent>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「我慢した」と回答した人の割合が47.8％と、次の「抗議、反論した」25.4％の約2倍となっている。</w:t>
                            </w:r>
                          </w:p>
                          <w:p w:rsid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「相談した」の「どこに、誰に」の自由記述は、「職場の上司･先輩」(７件)が最も多く、「夫」、「親」、「学校の先生」、「相談窓口」、「裁判所」(以上各1件)等となっている。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「訴えた」の「どこに」の自由記述では、「ハローワーク」、「役所」、「裁判所」、「会社のコンプライアンス委員会」(以上各1件)、となっている。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「その他」の自由記述は、「見過ごした」、「様子を見た」(以上各1件)、等となっている。</w:t>
                            </w:r>
                          </w:p>
                          <w:p w:rsidR="002972C6" w:rsidRPr="002972C6" w:rsidRDefault="002972C6" w:rsidP="002972C6">
                            <w:pPr>
                              <w:ind w:firstLineChars="100" w:firstLine="240"/>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3" o:spid="_x0000_s1045" type="#_x0000_t109" style="position:absolute;margin-left:401.8pt;margin-top:1.45pt;width:348.65pt;height:192.2pt;z-index:251743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" fillcolor="window" stroked="f" strokeweight="2pt">
                <v:textbox>
                  <w:txbxContent>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「我慢した」と回答した人の割合が47.8％と、次の「抗議、反論した」25.4％の約2倍となっている。</w:t>
                      </w:r>
                    </w:p>
                    <w:p w:rsid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「相談した」の「どこに、誰に」の自由記述は、「職場の上司･先輩」(７件)が最も多く、「夫」、「親」、「学校の先生」、「相談窓口」、「裁判所」(以上各1件)等となっている。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「訴えた」の「どこに」の自由記述では、「ハローワーク」、「役所」、「裁判所」、「会社のコンプライアンス委員会」(以上各1件)、となっている。</w:t>
                      </w:r>
                    </w:p>
                    <w:p w:rsidR="002972C6" w:rsidRPr="002972C6" w:rsidRDefault="002972C6" w:rsidP="002972C6">
                      <w:pPr>
                        <w:ind w:firstLineChars="100" w:firstLine="240"/>
                        <w:rPr>
                          <w:rFonts w:ascii="ＭＳ Ｐ明朝" w:eastAsia="ＭＳ Ｐ明朝" w:hAnsi="ＭＳ Ｐ明朝" w:cs="Times New Roman"/>
                          <w:sz w:val="24"/>
                          <w:szCs w:val="24"/>
                        </w:rPr>
                      </w:pPr>
                      <w:r w:rsidRPr="002972C6">
                        <w:rPr>
                          <w:rFonts w:ascii="ＭＳ Ｐ明朝" w:eastAsia="ＭＳ Ｐ明朝" w:hAnsi="ＭＳ Ｐ明朝" w:cs="Times New Roman" w:hint="eastAsia"/>
                          <w:sz w:val="24"/>
                          <w:szCs w:val="24"/>
                        </w:rPr>
                        <w:t>「その他」の自由記述は、「見過ごした」、「様子を見た」(以上各1件)、等となっている。</w:t>
                      </w:r>
                    </w:p>
                    <w:p w:rsidR="002972C6" w:rsidRPr="002972C6" w:rsidRDefault="002972C6" w:rsidP="002972C6">
                      <w:pPr>
                        <w:ind w:firstLineChars="100" w:firstLine="240"/>
                        <w:rPr>
                          <w:sz w:val="24"/>
                          <w:szCs w:val="24"/>
                        </w:rPr>
                      </w:pPr>
                    </w:p>
                  </w:txbxContent>
                </v:textbox>
              </v:shape>
            </w:pict>
          </mc:Fallback>
        </mc:AlternateContent>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p>
    <w:p w:rsidR="002972C6" w:rsidRDefault="00A47CE3"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2719" behindDoc="0" locked="0" layoutInCell="1" allowOverlap="1" wp14:anchorId="5B8F51D6" wp14:editId="244371C2">
                <wp:simplePos x="0" y="0"/>
                <wp:positionH relativeFrom="column">
                  <wp:posOffset>4652645</wp:posOffset>
                </wp:positionH>
                <wp:positionV relativeFrom="paragraph">
                  <wp:posOffset>142875</wp:posOffset>
                </wp:positionV>
                <wp:extent cx="2993390" cy="318135"/>
                <wp:effectExtent l="0" t="0" r="0" b="39687"/>
                <wp:wrapNone/>
                <wp:docPr id="51" name="右矢印 51"/>
                <wp:cNvGraphicFramePr/>
                <a:graphic xmlns:a="http://schemas.openxmlformats.org/drawingml/2006/main">
                  <a:graphicData uri="http://schemas.microsoft.com/office/word/2010/wordprocessingShape">
                    <wps:wsp>
                      <wps:cNvSpPr/>
                      <wps:spPr>
                        <a:xfrm rot="16200000" flipH="1">
                          <a:off x="0" y="0"/>
                          <a:ext cx="2993390" cy="318135"/>
                        </a:xfrm>
                        <a:prstGeom prst="rightArrow">
                          <a:avLst>
                            <a:gd name="adj1" fmla="val 50000"/>
                            <a:gd name="adj2" fmla="val 44489"/>
                          </a:avLst>
                        </a:prstGeom>
                        <a:pattFill prst="pct10">
                          <a:fgClr>
                            <a:sysClr val="window" lastClr="FFFFFF">
                              <a:lumMod val="50000"/>
                            </a:sysClr>
                          </a:fgClr>
                          <a:bgClr>
                            <a:sysClr val="window" lastClr="FFFFFF"/>
                          </a:bgClr>
                        </a:patt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1" o:spid="_x0000_s1026" type="#_x0000_t13" style="position:absolute;left:0;text-align:left;margin-left:366.35pt;margin-top:11.25pt;width:235.7pt;height:25.05pt;rotation:90;flip:x;z-index:251742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" adj="20579" fillcolor="#7f7f7f" strokecolor="windowText" strokeweight=".25pt">
                <v:fill r:id="rId31" o:title="" color2="window" type="pattern"/>
              </v:shape>
            </w:pict>
          </mc:Fallback>
        </mc:AlternateContent>
      </w:r>
      <w:r w:rsidR="00A879DC">
        <w:rPr>
          <w:rFonts w:asciiTheme="majorEastAsia" w:eastAsiaTheme="majorEastAsia" w:hAnsiTheme="majorEastAsia"/>
          <w:noProof/>
        </w:rPr>
        <mc:AlternateContent>
          <mc:Choice Requires="wps">
            <w:drawing>
              <wp:anchor distT="0" distB="0" distL="114300" distR="114300" simplePos="0" relativeHeight="251691519" behindDoc="0" locked="0" layoutInCell="1" allowOverlap="1" wp14:anchorId="4A6FF259" wp14:editId="43B11620">
                <wp:simplePos x="0" y="0"/>
                <wp:positionH relativeFrom="column">
                  <wp:posOffset>-15875</wp:posOffset>
                </wp:positionH>
                <wp:positionV relativeFrom="paragraph">
                  <wp:posOffset>86995</wp:posOffset>
                </wp:positionV>
                <wp:extent cx="2597785" cy="318135"/>
                <wp:effectExtent l="0" t="3175" r="0" b="46990"/>
                <wp:wrapNone/>
                <wp:docPr id="38" name="右矢印 38"/>
                <wp:cNvGraphicFramePr/>
                <a:graphic xmlns:a="http://schemas.openxmlformats.org/drawingml/2006/main">
                  <a:graphicData uri="http://schemas.microsoft.com/office/word/2010/wordprocessingShape">
                    <wps:wsp>
                      <wps:cNvSpPr/>
                      <wps:spPr>
                        <a:xfrm rot="16200000" flipH="1">
                          <a:off x="0" y="0"/>
                          <a:ext cx="2597785" cy="318135"/>
                        </a:xfrm>
                        <a:prstGeom prst="rightArrow">
                          <a:avLst>
                            <a:gd name="adj1" fmla="val 50000"/>
                            <a:gd name="adj2" fmla="val 44489"/>
                          </a:avLst>
                        </a:prstGeom>
                        <a:pattFill prst="pct25">
                          <a:fgClr>
                            <a:schemeClr val="bg1">
                              <a:lumMod val="50000"/>
                            </a:schemeClr>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8" o:spid="_x0000_s1026" type="#_x0000_t13" style="position:absolute;left:0;text-align:left;margin-left:-1.25pt;margin-top:6.85pt;width:204.55pt;height:25.05pt;rotation:90;flip:x;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" adj="20423" fillcolor="#7f7f7f [1612]" strokecolor="black [3213]" strokeweight=".25pt">
                <v:fill r:id="rId32" o:title="" color2="white [3212]" type="pattern"/>
              </v:shape>
            </w:pict>
          </mc:Fallback>
        </mc:AlternateContent>
      </w:r>
      <w:r w:rsidR="006A089B">
        <w:rPr>
          <w:rFonts w:asciiTheme="majorEastAsia" w:eastAsiaTheme="majorEastAsia" w:hAnsiTheme="majorEastAsia"/>
          <w:noProof/>
        </w:rPr>
        <mc:AlternateContent>
          <mc:Choice Requires="wps">
            <w:drawing>
              <wp:anchor distT="0" distB="0" distL="114300" distR="114300" simplePos="0" relativeHeight="251717119" behindDoc="0" locked="0" layoutInCell="1" allowOverlap="1" wp14:anchorId="7BAAA2A3" wp14:editId="5C2E3F53">
                <wp:simplePos x="0" y="0"/>
                <wp:positionH relativeFrom="column">
                  <wp:posOffset>52070</wp:posOffset>
                </wp:positionH>
                <wp:positionV relativeFrom="paragraph">
                  <wp:posOffset>155575</wp:posOffset>
                </wp:positionV>
                <wp:extent cx="4772660" cy="914400"/>
                <wp:effectExtent l="0" t="0" r="8890" b="0"/>
                <wp:wrapNone/>
                <wp:docPr id="42" name="フローチャート: 処理 42"/>
                <wp:cNvGraphicFramePr/>
                <a:graphic xmlns:a="http://schemas.openxmlformats.org/drawingml/2006/main">
                  <a:graphicData uri="http://schemas.microsoft.com/office/word/2010/wordprocessingShape">
                    <wps:wsp>
                      <wps:cNvSpPr/>
                      <wps:spPr>
                        <a:xfrm>
                          <a:off x="0" y="0"/>
                          <a:ext cx="4772660" cy="91440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D67923" w:rsidRPr="00D67923" w:rsidRDefault="00D67923" w:rsidP="00D67923">
                            <w:pPr>
                              <w:ind w:firstLineChars="100" w:firstLine="240"/>
                              <w:rPr>
                                <w:sz w:val="24"/>
                                <w:szCs w:val="24"/>
                              </w:rPr>
                            </w:pPr>
                            <w:r w:rsidRPr="00D67923">
                              <w:rPr>
                                <w:rFonts w:ascii="ＭＳ Ｐ明朝" w:eastAsia="ＭＳ Ｐ明朝" w:hAnsi="ＭＳ Ｐ明朝" w:cs="Times New Roman" w:hint="eastAsia"/>
                                <w:sz w:val="24"/>
                                <w:szCs w:val="24"/>
                              </w:rPr>
                              <w:t>「自分自身に対するもの」と回答した人の割合は11.4</w:t>
                            </w:r>
                            <w:r w:rsidRPr="00D67923">
                              <w:rPr>
                                <w:rFonts w:ascii="ＭＳ Ｐ明朝" w:eastAsia="ＭＳ Ｐ明朝" w:hAnsi="ＭＳ Ｐ明朝" w:cs="Times New Roman" w:hint="eastAsia"/>
                                <w:sz w:val="24"/>
                                <w:szCs w:val="24"/>
                              </w:rPr>
                              <w:t>％である一方、「不明」も9.7％と、ほぼ同じ割合となっている。なお、9.7％は、全質問における「不明」の中で最も高い数値である。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2" o:spid="_x0000_s1046" type="#_x0000_t109" style="position:absolute;margin-left:4.1pt;margin-top:12.25pt;width:375.8pt;height:1in;z-index:251717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" fillcolor="white [3201]" stroked="f" strokeweight="2pt">
                <v:textbox>
                  <w:txbxContent>
                    <w:p w:rsidR="00D67923" w:rsidRPr="00D67923" w:rsidRDefault="00D67923" w:rsidP="00D67923">
                      <w:pPr>
                        <w:ind w:firstLineChars="100" w:firstLine="240"/>
                        <w:rPr>
                          <w:sz w:val="24"/>
                          <w:szCs w:val="24"/>
                        </w:rPr>
                      </w:pPr>
                      <w:r w:rsidRPr="00D67923">
                        <w:rPr>
                          <w:rFonts w:ascii="ＭＳ Ｐ明朝" w:eastAsia="ＭＳ Ｐ明朝" w:hAnsi="ＭＳ Ｐ明朝" w:cs="Times New Roman" w:hint="eastAsia"/>
                          <w:sz w:val="24"/>
                          <w:szCs w:val="24"/>
                        </w:rPr>
                        <w:t>「自分自身に対するもの」と回答した人の割合は11.4％である一方、「不明」も9.7％と、ほぼ同じ割合となっている。なお、9.7％は、全質問における「不明」の中で最も高い数値である。</w:t>
                      </w:r>
                    </w:p>
                  </w:txbxContent>
                </v:textbox>
              </v:shape>
            </w:pict>
          </mc:Fallback>
        </mc:AlternateContent>
      </w:r>
    </w:p>
    <w:p w:rsidR="002972C6" w:rsidRDefault="002972C6"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p>
    <w:p w:rsidR="002972C6" w:rsidRDefault="002972C6" w:rsidP="008C786D">
      <w:pPr>
        <w:jc w:val="left"/>
        <w:rPr>
          <w:rFonts w:asciiTheme="majorEastAsia" w:eastAsiaTheme="majorEastAsia" w:hAnsiTheme="majorEastAsia"/>
        </w:rPr>
      </w:pPr>
    </w:p>
    <w:p w:rsidR="007A2357" w:rsidRDefault="006A089B"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7215" behindDoc="0" locked="0" layoutInCell="1" allowOverlap="1" wp14:anchorId="75403395" wp14:editId="3B07D291">
            <wp:simplePos x="0" y="0"/>
            <wp:positionH relativeFrom="column">
              <wp:posOffset>555771</wp:posOffset>
            </wp:positionH>
            <wp:positionV relativeFrom="paragraph">
              <wp:posOffset>35654</wp:posOffset>
            </wp:positionV>
            <wp:extent cx="3548543" cy="2843868"/>
            <wp:effectExtent l="0" t="0" r="13970" b="1397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7A2357" w:rsidRDefault="007A2357"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2063" behindDoc="0" locked="0" layoutInCell="1" allowOverlap="1" wp14:anchorId="3625CCD5" wp14:editId="632FDE25">
            <wp:simplePos x="0" y="0"/>
            <wp:positionH relativeFrom="column">
              <wp:posOffset>5617210</wp:posOffset>
            </wp:positionH>
            <wp:positionV relativeFrom="paragraph">
              <wp:posOffset>96520</wp:posOffset>
            </wp:positionV>
            <wp:extent cx="3763645" cy="2753360"/>
            <wp:effectExtent l="0" t="0" r="27305" b="2794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8F60CD" w:rsidRDefault="008F60CD" w:rsidP="008C786D">
      <w:pPr>
        <w:jc w:val="left"/>
        <w:rPr>
          <w:rFonts w:asciiTheme="majorEastAsia" w:eastAsiaTheme="majorEastAsia" w:hAnsiTheme="majorEastAsia"/>
        </w:rPr>
      </w:pPr>
    </w:p>
    <w:p w:rsidR="008F60CD" w:rsidRDefault="008F60CD" w:rsidP="008C786D">
      <w:pPr>
        <w:jc w:val="left"/>
        <w:rPr>
          <w:rFonts w:asciiTheme="majorEastAsia" w:eastAsiaTheme="majorEastAsia" w:hAnsiTheme="majorEastAsia"/>
        </w:rPr>
      </w:pPr>
    </w:p>
    <w:p w:rsidR="0073451F" w:rsidRDefault="0073451F" w:rsidP="0073451F">
      <w:pPr>
        <w:jc w:val="left"/>
        <w:rPr>
          <w:rFonts w:asciiTheme="majorEastAsia" w:eastAsiaTheme="majorEastAsia" w:hAnsiTheme="majorEastAsia"/>
        </w:rPr>
      </w:pPr>
    </w:p>
    <w:p w:rsidR="007A2357" w:rsidRDefault="007A2357" w:rsidP="0073451F">
      <w:pPr>
        <w:rPr>
          <w:rFonts w:asciiTheme="majorEastAsia" w:eastAsiaTheme="majorEastAsia" w:hAnsiTheme="majorEastAsia"/>
        </w:rPr>
      </w:pPr>
    </w:p>
    <w:p w:rsidR="0073451F" w:rsidRDefault="0073451F"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8383" behindDoc="0" locked="0" layoutInCell="1" allowOverlap="1" wp14:anchorId="3E6A1852" wp14:editId="0733C454">
                <wp:simplePos x="0" y="0"/>
                <wp:positionH relativeFrom="column">
                  <wp:posOffset>119380</wp:posOffset>
                </wp:positionH>
                <wp:positionV relativeFrom="paragraph">
                  <wp:posOffset>83185</wp:posOffset>
                </wp:positionV>
                <wp:extent cx="4982845" cy="1677670"/>
                <wp:effectExtent l="0" t="0" r="8255" b="0"/>
                <wp:wrapNone/>
                <wp:docPr id="45" name="フローチャート: 処理 45"/>
                <wp:cNvGraphicFramePr/>
                <a:graphic xmlns:a="http://schemas.openxmlformats.org/drawingml/2006/main">
                  <a:graphicData uri="http://schemas.microsoft.com/office/word/2010/wordprocessingShape">
                    <wps:wsp>
                      <wps:cNvSpPr/>
                      <wps:spPr>
                        <a:xfrm>
                          <a:off x="0" y="0"/>
                          <a:ext cx="4982845" cy="1677670"/>
                        </a:xfrm>
                        <a:prstGeom prst="flowChartProcess">
                          <a:avLst/>
                        </a:prstGeom>
                        <a:solidFill>
                          <a:sysClr val="window" lastClr="FFFFFF"/>
                        </a:solidFill>
                        <a:ln w="25400" cap="flat" cmpd="sng" algn="ctr">
                          <a:noFill/>
                          <a:prstDash val="solid"/>
                        </a:ln>
                        <a:effectLst/>
                      </wps:spPr>
                      <wps:txbx>
                        <w:txbxContent>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「何もしなかった」と回答した人の割合が42.3</w:t>
                            </w:r>
                            <w:r w:rsidRPr="00295B85">
                              <w:rPr>
                                <w:rFonts w:ascii="ＭＳ Ｐ明朝" w:eastAsia="ＭＳ Ｐ明朝" w:hAnsi="ＭＳ Ｐ明朝" w:cs="Times New Roman" w:hint="eastAsia"/>
                                <w:sz w:val="24"/>
                                <w:szCs w:val="24"/>
                              </w:rPr>
                              <w:t>％と、「いけないことと指摘した」、「いけないことと分かってもらおうとした」、「相談した」の合計37.8％を4.5ポイント上回っている。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一方、「同調した」と回答した人も7.8％いる。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相談した」の「どこに、誰に」の自由記述は、「職場の上司・同僚」（14件）が最も多く「「学校の先生」（8件）、「家族、友人、近所の人」（7件）、「相談窓口」、「弁護士」、「議員」（以上各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5" o:spid="_x0000_s1047" type="#_x0000_t109" style="position:absolute;margin-left:9.4pt;margin-top:6.55pt;width:392.35pt;height:132.1pt;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" fillcolor="window" stroked="f" strokeweight="2pt">
                <v:textbox>
                  <w:txbxContent>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「何もしなかった」と回答した人の割合が42.3％と、「いけないことと指摘した」、「いけないことと分かってもらおうとした」、「相談した」の合計37.8％を4.5ポイント上回っている。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一方、「同調した」と回答した人も7.8％いる。</w:t>
                      </w:r>
                    </w:p>
                    <w:p w:rsidR="00295B85" w:rsidRPr="00295B85" w:rsidRDefault="00295B85" w:rsidP="00295B85">
                      <w:pPr>
                        <w:ind w:firstLineChars="100" w:firstLine="240"/>
                        <w:rPr>
                          <w:rFonts w:ascii="ＭＳ Ｐ明朝" w:eastAsia="ＭＳ Ｐ明朝" w:hAnsi="ＭＳ Ｐ明朝" w:cs="Times New Roman"/>
                          <w:sz w:val="24"/>
                          <w:szCs w:val="24"/>
                        </w:rPr>
                      </w:pPr>
                      <w:r w:rsidRPr="00295B85">
                        <w:rPr>
                          <w:rFonts w:ascii="ＭＳ Ｐ明朝" w:eastAsia="ＭＳ Ｐ明朝" w:hAnsi="ＭＳ Ｐ明朝" w:cs="Times New Roman" w:hint="eastAsia"/>
                          <w:sz w:val="24"/>
                          <w:szCs w:val="24"/>
                        </w:rPr>
                        <w:t>「相談した」の「どこに、誰に」の自由記述は、「職場の上司・同僚」（14件）が最も多く「「学校の先生」（8件）、「家族、友人、近所の人」（7件）、「相談窓口」、「弁護士」、「議員」（以上各1件）、等となっている。</w:t>
                      </w:r>
                    </w:p>
                  </w:txbxContent>
                </v:textbox>
              </v:shape>
            </w:pict>
          </mc:Fallback>
        </mc:AlternateContent>
      </w: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1215" behindDoc="0" locked="0" layoutInCell="1" allowOverlap="1" wp14:anchorId="67FF8961" wp14:editId="51463749">
                <wp:simplePos x="0" y="0"/>
                <wp:positionH relativeFrom="column">
                  <wp:posOffset>5563870</wp:posOffset>
                </wp:positionH>
                <wp:positionV relativeFrom="paragraph">
                  <wp:posOffset>198755</wp:posOffset>
                </wp:positionV>
                <wp:extent cx="3874770" cy="1056640"/>
                <wp:effectExtent l="0" t="0" r="0" b="0"/>
                <wp:wrapNone/>
                <wp:docPr id="44" name="フローチャート: 処理 44"/>
                <wp:cNvGraphicFramePr/>
                <a:graphic xmlns:a="http://schemas.openxmlformats.org/drawingml/2006/main">
                  <a:graphicData uri="http://schemas.microsoft.com/office/word/2010/wordprocessingShape">
                    <wps:wsp>
                      <wps:cNvSpPr/>
                      <wps:spPr>
                        <a:xfrm>
                          <a:off x="0" y="0"/>
                          <a:ext cx="3874770" cy="1056640"/>
                        </a:xfrm>
                        <a:prstGeom prst="flowChartProcess">
                          <a:avLst/>
                        </a:prstGeom>
                        <a:solidFill>
                          <a:sysClr val="window" lastClr="FFFFFF"/>
                        </a:solidFill>
                        <a:ln w="25400" cap="flat" cmpd="sng" algn="ctr">
                          <a:noFill/>
                          <a:prstDash val="solid"/>
                        </a:ln>
                        <a:effectLst/>
                      </wps:spPr>
                      <wps:txbx>
                        <w:txbxContent>
                          <w:p w:rsidR="004B364F" w:rsidRPr="004B364F" w:rsidRDefault="004B364F" w:rsidP="004B364F">
                            <w:pPr>
                              <w:ind w:firstLineChars="100" w:firstLine="240"/>
                              <w:rPr>
                                <w:rFonts w:ascii="ＭＳ Ｐ明朝" w:eastAsia="ＭＳ Ｐ明朝" w:hAnsi="ＭＳ Ｐ明朝" w:cs="Times New Roman"/>
                                <w:sz w:val="24"/>
                                <w:szCs w:val="24"/>
                              </w:rPr>
                            </w:pPr>
                            <w:r w:rsidRPr="004B364F">
                              <w:rPr>
                                <w:rFonts w:ascii="ＭＳ Ｐ明朝" w:eastAsia="ＭＳ Ｐ明朝" w:hAnsi="ＭＳ Ｐ明朝" w:cs="Times New Roman" w:hint="eastAsia"/>
                                <w:sz w:val="24"/>
                                <w:szCs w:val="24"/>
                              </w:rPr>
                              <w:t>「解決しなかった」と回答した人の割合が59.7</w:t>
                            </w:r>
                            <w:r w:rsidRPr="004B364F">
                              <w:rPr>
                                <w:rFonts w:ascii="ＭＳ Ｐ明朝" w:eastAsia="ＭＳ Ｐ明朝" w:hAnsi="ＭＳ Ｐ明朝" w:cs="Times New Roman" w:hint="eastAsia"/>
                                <w:sz w:val="24"/>
                                <w:szCs w:val="24"/>
                              </w:rPr>
                              <w:t>％と、「解決した」19.4％の約3倍となっている。</w:t>
                            </w:r>
                          </w:p>
                          <w:p w:rsidR="004B364F" w:rsidRPr="004B364F" w:rsidRDefault="004B364F" w:rsidP="004B364F">
                            <w:pPr>
                              <w:ind w:firstLineChars="100" w:firstLine="240"/>
                              <w:rPr>
                                <w:rFonts w:ascii="HG丸ｺﾞｼｯｸM-PRO" w:eastAsia="HG丸ｺﾞｼｯｸM-PRO" w:hAnsi="Century" w:cs="Times New Roman"/>
                                <w:sz w:val="24"/>
                                <w:szCs w:val="24"/>
                              </w:rPr>
                            </w:pPr>
                            <w:r w:rsidRPr="004B364F">
                              <w:rPr>
                                <w:rFonts w:ascii="ＭＳ Ｐ明朝" w:eastAsia="ＭＳ Ｐ明朝" w:hAnsi="ＭＳ Ｐ明朝" w:cs="Times New Roman" w:hint="eastAsia"/>
                                <w:sz w:val="24"/>
                                <w:szCs w:val="24"/>
                              </w:rPr>
                              <w:t>「その他」の自由記述は、「別に問題にしていない」、「放っておいたらなくなった」（以上各1件）、等となっている。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4" o:spid="_x0000_s1048" type="#_x0000_t109" style="position:absolute;margin-left:438.1pt;margin-top:15.65pt;width:305.1pt;height:83.2pt;z-index:25172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" fillcolor="window" stroked="f" strokeweight="2pt">
                <v:textbox>
                  <w:txbxContent>
                    <w:p w:rsidR="004B364F" w:rsidRPr="004B364F" w:rsidRDefault="004B364F" w:rsidP="004B364F">
                      <w:pPr>
                        <w:ind w:firstLineChars="100" w:firstLine="240"/>
                        <w:rPr>
                          <w:rFonts w:ascii="ＭＳ Ｐ明朝" w:eastAsia="ＭＳ Ｐ明朝" w:hAnsi="ＭＳ Ｐ明朝" w:cs="Times New Roman"/>
                          <w:sz w:val="24"/>
                          <w:szCs w:val="24"/>
                        </w:rPr>
                      </w:pPr>
                      <w:r w:rsidRPr="004B364F">
                        <w:rPr>
                          <w:rFonts w:ascii="ＭＳ Ｐ明朝" w:eastAsia="ＭＳ Ｐ明朝" w:hAnsi="ＭＳ Ｐ明朝" w:cs="Times New Roman" w:hint="eastAsia"/>
                          <w:sz w:val="24"/>
                          <w:szCs w:val="24"/>
                        </w:rPr>
                        <w:t>「解決しなかった」と回答した人の割合が59.7％と、「解決した」19.4％の約3倍となっている。</w:t>
                      </w:r>
                    </w:p>
                    <w:p w:rsidR="004B364F" w:rsidRPr="004B364F" w:rsidRDefault="004B364F" w:rsidP="004B364F">
                      <w:pPr>
                        <w:ind w:firstLineChars="100" w:firstLine="240"/>
                        <w:rPr>
                          <w:rFonts w:ascii="HG丸ｺﾞｼｯｸM-PRO" w:eastAsia="HG丸ｺﾞｼｯｸM-PRO" w:hAnsi="Century" w:cs="Times New Roman"/>
                          <w:sz w:val="24"/>
                          <w:szCs w:val="24"/>
                        </w:rPr>
                      </w:pPr>
                      <w:r w:rsidRPr="004B364F">
                        <w:rPr>
                          <w:rFonts w:ascii="ＭＳ Ｐ明朝" w:eastAsia="ＭＳ Ｐ明朝" w:hAnsi="ＭＳ Ｐ明朝" w:cs="Times New Roman" w:hint="eastAsia"/>
                          <w:sz w:val="24"/>
                          <w:szCs w:val="24"/>
                        </w:rPr>
                        <w:t>「その他」の自由記述は、「別に問題にしていない」、「放っておいたらなくなった」（以上各1件）、等となっている。</w:t>
                      </w:r>
                    </w:p>
                  </w:txbxContent>
                </v:textbox>
              </v:shape>
            </w:pict>
          </mc:Fallback>
        </mc:AlternateContent>
      </w:r>
    </w:p>
    <w:p w:rsidR="007A2357" w:rsidRDefault="007A2357" w:rsidP="008C786D">
      <w:pPr>
        <w:jc w:val="left"/>
        <w:rPr>
          <w:rFonts w:asciiTheme="majorEastAsia" w:eastAsiaTheme="majorEastAsia" w:hAnsiTheme="majorEastAsia"/>
        </w:rPr>
      </w:pPr>
    </w:p>
    <w:p w:rsidR="007A2357" w:rsidRDefault="00A47CE3"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7359" behindDoc="0" locked="0" layoutInCell="1" allowOverlap="1" wp14:anchorId="0DC3DEB0" wp14:editId="2E42C062">
                <wp:simplePos x="0" y="0"/>
                <wp:positionH relativeFrom="column">
                  <wp:posOffset>68580</wp:posOffset>
                </wp:positionH>
                <wp:positionV relativeFrom="paragraph">
                  <wp:posOffset>10795</wp:posOffset>
                </wp:positionV>
                <wp:extent cx="2432050" cy="318135"/>
                <wp:effectExtent l="0" t="0" r="0" b="34607"/>
                <wp:wrapNone/>
                <wp:docPr id="47" name="右矢印 47"/>
                <wp:cNvGraphicFramePr/>
                <a:graphic xmlns:a="http://schemas.openxmlformats.org/drawingml/2006/main">
                  <a:graphicData uri="http://schemas.microsoft.com/office/word/2010/wordprocessingShape">
                    <wps:wsp>
                      <wps:cNvSpPr/>
                      <wps:spPr>
                        <a:xfrm rot="16200000" flipH="1">
                          <a:off x="0" y="0"/>
                          <a:ext cx="2432050" cy="318135"/>
                        </a:xfrm>
                        <a:prstGeom prst="rightArrow">
                          <a:avLst>
                            <a:gd name="adj1" fmla="val 50000"/>
                            <a:gd name="adj2" fmla="val 44489"/>
                          </a:avLst>
                        </a:prstGeom>
                        <a:pattFill prst="pct25">
                          <a:fgClr>
                            <a:sysClr val="window" lastClr="FFFFFF">
                              <a:lumMod val="50000"/>
                            </a:sysClr>
                          </a:fgClr>
                          <a:bgClr>
                            <a:sysClr val="window" lastClr="FFFFFF"/>
                          </a:bgClr>
                        </a:patt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7" o:spid="_x0000_s1026" type="#_x0000_t13" style="position:absolute;left:0;text-align:left;margin-left:5.4pt;margin-top:.85pt;width:191.5pt;height:25.05pt;rotation:90;flip:x;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" adj="20343" fillcolor="#7f7f7f" strokecolor="windowText" strokeweight=".25pt">
                <v:fill r:id="rId32" o:title="" color2="window" type="pattern"/>
              </v:shape>
            </w:pict>
          </mc:Fallback>
        </mc:AlternateContent>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4B364F" w:rsidRDefault="004B364F" w:rsidP="008C786D">
      <w:pPr>
        <w:jc w:val="left"/>
        <w:rPr>
          <w:rFonts w:asciiTheme="majorEastAsia" w:eastAsiaTheme="majorEastAsia" w:hAnsiTheme="majorEastAsia"/>
        </w:rPr>
      </w:pPr>
    </w:p>
    <w:p w:rsidR="004B364F" w:rsidRDefault="004B364F" w:rsidP="008C786D">
      <w:pPr>
        <w:jc w:val="left"/>
        <w:rPr>
          <w:rFonts w:asciiTheme="majorEastAsia" w:eastAsiaTheme="majorEastAsia" w:hAnsiTheme="majorEastAsia"/>
        </w:rPr>
      </w:pPr>
    </w:p>
    <w:p w:rsidR="004B364F" w:rsidRDefault="00A879DC"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7183" behindDoc="0" locked="0" layoutInCell="1" allowOverlap="1" wp14:anchorId="51DB3D27" wp14:editId="62C5DAEE">
            <wp:simplePos x="0" y="0"/>
            <wp:positionH relativeFrom="column">
              <wp:posOffset>152400</wp:posOffset>
            </wp:positionH>
            <wp:positionV relativeFrom="paragraph">
              <wp:posOffset>166542</wp:posOffset>
            </wp:positionV>
            <wp:extent cx="4890770" cy="3178810"/>
            <wp:effectExtent l="0" t="0" r="24130" b="2159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4B364F" w:rsidRDefault="004B364F" w:rsidP="008C786D">
      <w:pPr>
        <w:jc w:val="left"/>
        <w:rPr>
          <w:rFonts w:asciiTheme="majorEastAsia" w:eastAsiaTheme="majorEastAsia" w:hAnsiTheme="majorEastAsia"/>
        </w:rPr>
      </w:pPr>
    </w:p>
    <w:p w:rsidR="007A2357" w:rsidRDefault="00A879DC"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5311" behindDoc="0" locked="0" layoutInCell="1" allowOverlap="1" wp14:anchorId="5B6CCD87" wp14:editId="7815918D">
                <wp:simplePos x="0" y="0"/>
                <wp:positionH relativeFrom="column">
                  <wp:posOffset>5169535</wp:posOffset>
                </wp:positionH>
                <wp:positionV relativeFrom="paragraph">
                  <wp:posOffset>154940</wp:posOffset>
                </wp:positionV>
                <wp:extent cx="4244340" cy="2616835"/>
                <wp:effectExtent l="0" t="0" r="3810" b="0"/>
                <wp:wrapNone/>
                <wp:docPr id="46" name="フローチャート: 処理 46"/>
                <wp:cNvGraphicFramePr/>
                <a:graphic xmlns:a="http://schemas.openxmlformats.org/drawingml/2006/main">
                  <a:graphicData uri="http://schemas.microsoft.com/office/word/2010/wordprocessingShape">
                    <wps:wsp>
                      <wps:cNvSpPr/>
                      <wps:spPr>
                        <a:xfrm>
                          <a:off x="0" y="0"/>
                          <a:ext cx="4244340" cy="2616835"/>
                        </a:xfrm>
                        <a:prstGeom prst="flowChartProcess">
                          <a:avLst/>
                        </a:prstGeom>
                        <a:solidFill>
                          <a:sysClr val="window" lastClr="FFFFFF"/>
                        </a:solidFill>
                        <a:ln w="25400" cap="flat" cmpd="sng" algn="ctr">
                          <a:noFill/>
                          <a:prstDash val="solid"/>
                        </a:ln>
                        <a:effectLst/>
                      </wps:spPr>
                      <wps:txbx>
                        <w:txbxContent>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「相談窓口を拡充する」、「学校教育・社会教育を充実する」と回答した人の割合が最も高く、それぞれ43.7</w:t>
                            </w:r>
                            <w:r w:rsidRPr="00AE1023">
                              <w:rPr>
                                <w:rFonts w:ascii="ＭＳ Ｐ明朝" w:eastAsia="ＭＳ Ｐ明朝" w:hAnsi="ＭＳ Ｐ明朝" w:cs="Times New Roman" w:hint="eastAsia"/>
                                <w:sz w:val="24"/>
                                <w:szCs w:val="24"/>
                              </w:rPr>
                              <w:t>％、43.0％となっている。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一方、「当事者自らが解決策を講じる」と回答した人の割合は22.7％と、「学校教育・社会教育を充実する」の次に高い「行政が啓発に努める」35.4％を12.7ポイント下回っている。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「特に何もしなくてよい」と回答した人の割合は4.2％に留まる。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「その他」の自由記述は、「職場の対応、研修」（6件）、「法の整備、罰則・ペナルティ」（5件）、「家庭教育」、「マスメディアによる啓発」（以上各2件）、等となっている。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6" o:spid="_x0000_s1049" type="#_x0000_t109" style="position:absolute;margin-left:407.05pt;margin-top:12.2pt;width:334.2pt;height:206.05pt;z-index:25172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" fillcolor="window" stroked="f" strokeweight="2pt">
                <v:textbox>
                  <w:txbxContent>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「相談窓口を拡充する」、「学校教育・社会教育を充実する」と回答した人の割合が最も高く、それぞれ43.7％、43.0％となっている。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一方、「当事者自らが解決策を講じる」と回答した人の割合は22.7％と、「学校教育・社会教育を充実する」の次に高い「行政が啓発に努める」35.4％を12.7ポイント下回っている。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「特に何もしなくてよい」と回答した人の割合は4.2％に留まる。</w:t>
                      </w:r>
                    </w:p>
                    <w:p w:rsidR="00AE1023" w:rsidRPr="00AE1023" w:rsidRDefault="00AE1023" w:rsidP="00AE1023">
                      <w:pPr>
                        <w:ind w:firstLineChars="100" w:firstLine="240"/>
                        <w:rPr>
                          <w:rFonts w:ascii="ＭＳ Ｐ明朝" w:eastAsia="ＭＳ Ｐ明朝" w:hAnsi="ＭＳ Ｐ明朝" w:cs="Times New Roman"/>
                          <w:sz w:val="24"/>
                          <w:szCs w:val="24"/>
                        </w:rPr>
                      </w:pPr>
                      <w:r w:rsidRPr="00AE1023">
                        <w:rPr>
                          <w:rFonts w:ascii="ＭＳ Ｐ明朝" w:eastAsia="ＭＳ Ｐ明朝" w:hAnsi="ＭＳ Ｐ明朝" w:cs="Times New Roman" w:hint="eastAsia"/>
                          <w:sz w:val="24"/>
                          <w:szCs w:val="24"/>
                        </w:rPr>
                        <w:t>「その他」の自由記述は、「職場の対応、研修」（6件）、「法の整備、罰則・ペナルティ」（5件）、「家庭教育」、「マスメディアによる啓発」（以上各2件）、等となっている。</w:t>
                      </w:r>
                    </w:p>
                  </w:txbxContent>
                </v:textbox>
              </v:shape>
            </w:pict>
          </mc:Fallback>
        </mc:AlternateContent>
      </w: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7A2357" w:rsidRDefault="007A2357"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1303B0" w:rsidP="0039076B">
      <w:pPr>
        <w:ind w:right="840"/>
        <w:rPr>
          <w:rFonts w:asciiTheme="majorEastAsia" w:eastAsiaTheme="majorEastAsia" w:hAnsiTheme="majorEastAsia"/>
        </w:rPr>
      </w:pPr>
    </w:p>
    <w:p w:rsidR="00A879DC" w:rsidRDefault="00A879DC" w:rsidP="0039076B">
      <w:pPr>
        <w:ind w:right="840"/>
        <w:rPr>
          <w:rFonts w:asciiTheme="majorEastAsia" w:eastAsiaTheme="majorEastAsia" w:hAnsiTheme="majorEastAsia"/>
        </w:rPr>
      </w:pPr>
    </w:p>
    <w:p w:rsidR="00A879DC" w:rsidRDefault="00A879DC" w:rsidP="0039076B">
      <w:pPr>
        <w:ind w:right="840"/>
        <w:rPr>
          <w:rFonts w:asciiTheme="majorEastAsia" w:eastAsiaTheme="majorEastAsia" w:hAnsiTheme="majorEastAsia"/>
        </w:rPr>
      </w:pPr>
    </w:p>
    <w:p w:rsidR="00A879DC" w:rsidRDefault="00A879DC" w:rsidP="0039076B">
      <w:pPr>
        <w:ind w:right="840"/>
        <w:rPr>
          <w:rFonts w:asciiTheme="majorEastAsia" w:eastAsiaTheme="majorEastAsia" w:hAnsiTheme="majorEastAsia"/>
        </w:rPr>
      </w:pPr>
    </w:p>
    <w:p w:rsidR="00A879DC" w:rsidRPr="00F855CD" w:rsidRDefault="006D0D5F" w:rsidP="0039076B">
      <w:pPr>
        <w:ind w:right="840"/>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69343" behindDoc="0" locked="0" layoutInCell="1" allowOverlap="1" wp14:anchorId="012C0928" wp14:editId="1167F2AA">
                <wp:simplePos x="0" y="0"/>
                <wp:positionH relativeFrom="column">
                  <wp:posOffset>4756016</wp:posOffset>
                </wp:positionH>
                <wp:positionV relativeFrom="paragraph">
                  <wp:posOffset>124460</wp:posOffset>
                </wp:positionV>
                <wp:extent cx="385445" cy="301625"/>
                <wp:effectExtent l="0" t="0" r="0" b="0"/>
                <wp:wrapNone/>
                <wp:docPr id="513" name="正方形/長方形 513"/>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3" o:spid="_x0000_s1050" style="position:absolute;left:0;text-align:left;margin-left:374.5pt;margin-top:9.8pt;width:30.35pt;height:23.75pt;z-index:251769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D67923" w:rsidRDefault="00D67923" w:rsidP="008C786D">
      <w:pPr>
        <w:jc w:val="left"/>
        <w:rPr>
          <w:rFonts w:asciiTheme="majorEastAsia" w:eastAsiaTheme="majorEastAsia" w:hAnsiTheme="majorEastAsia"/>
        </w:rPr>
      </w:pPr>
    </w:p>
    <w:p w:rsidR="001303B0" w:rsidRDefault="00B674F4" w:rsidP="008C786D">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12</w:t>
      </w:r>
      <w:r w:rsidRPr="00660A39">
        <w:rPr>
          <w:rFonts w:asciiTheme="majorEastAsia" w:eastAsiaTheme="majorEastAsia" w:hAnsiTheme="majorEastAsia" w:hint="eastAsia"/>
          <w:b/>
          <w:sz w:val="24"/>
          <w:szCs w:val="24"/>
        </w:rPr>
        <w:t>．</w:t>
      </w:r>
      <w:r w:rsidR="008445F3">
        <w:rPr>
          <w:rFonts w:asciiTheme="majorEastAsia" w:eastAsiaTheme="majorEastAsia" w:hAnsiTheme="majorEastAsia" w:hint="eastAsia"/>
          <w:b/>
          <w:sz w:val="24"/>
          <w:szCs w:val="24"/>
        </w:rPr>
        <w:t>あなたの</w:t>
      </w:r>
      <w:r>
        <w:rPr>
          <w:rFonts w:asciiTheme="majorEastAsia" w:eastAsiaTheme="majorEastAsia" w:hAnsiTheme="majorEastAsia" w:hint="eastAsia"/>
          <w:b/>
          <w:sz w:val="24"/>
          <w:szCs w:val="24"/>
        </w:rPr>
        <w:t>性別</w:t>
      </w:r>
      <w:r w:rsidR="008445F3">
        <w:rPr>
          <w:rFonts w:asciiTheme="majorEastAsia" w:eastAsiaTheme="majorEastAsia" w:hAnsiTheme="majorEastAsia" w:hint="eastAsia"/>
          <w:b/>
          <w:sz w:val="24"/>
          <w:szCs w:val="24"/>
        </w:rPr>
        <w:t>は</w:t>
      </w:r>
      <w:r w:rsidRPr="00660A39">
        <w:rPr>
          <w:rFonts w:asciiTheme="majorEastAsia" w:eastAsiaTheme="majorEastAsia" w:hAnsiTheme="majorEastAsia" w:hint="eastAsia"/>
          <w:b/>
          <w:sz w:val="24"/>
          <w:szCs w:val="24"/>
        </w:rPr>
        <w:t>】</w:t>
      </w:r>
      <w:r w:rsidR="008445F3" w:rsidRPr="008445F3">
        <w:rPr>
          <w:rFonts w:asciiTheme="majorEastAsia" w:eastAsiaTheme="majorEastAsia" w:hAnsiTheme="majorEastAsia" w:hint="eastAsia"/>
          <w:sz w:val="24"/>
          <w:szCs w:val="24"/>
        </w:rPr>
        <w:t>（いずれか1つに○）</w:t>
      </w:r>
    </w:p>
    <w:p w:rsidR="001303B0" w:rsidRDefault="008445F3"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78207" behindDoc="0" locked="0" layoutInCell="1" allowOverlap="1" wp14:anchorId="6AE7A66C" wp14:editId="53E86FB9">
            <wp:simplePos x="0" y="0"/>
            <wp:positionH relativeFrom="column">
              <wp:posOffset>195045</wp:posOffset>
            </wp:positionH>
            <wp:positionV relativeFrom="paragraph">
              <wp:posOffset>155196</wp:posOffset>
            </wp:positionV>
            <wp:extent cx="5603846" cy="3875714"/>
            <wp:effectExtent l="0" t="0" r="16510" b="10795"/>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1303B0" w:rsidRDefault="001303B0"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1303B0" w:rsidP="008C786D">
      <w:pPr>
        <w:jc w:val="left"/>
        <w:rPr>
          <w:rFonts w:asciiTheme="majorEastAsia" w:eastAsiaTheme="majorEastAsia" w:hAnsiTheme="majorEastAsia"/>
        </w:rPr>
      </w:pPr>
    </w:p>
    <w:p w:rsidR="001303B0" w:rsidRDefault="00DD7586" w:rsidP="008C786D">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0431" behindDoc="0" locked="0" layoutInCell="1" allowOverlap="1" wp14:anchorId="029BFFE3" wp14:editId="35B44C41">
                <wp:simplePos x="0" y="0"/>
                <wp:positionH relativeFrom="column">
                  <wp:posOffset>6016607</wp:posOffset>
                </wp:positionH>
                <wp:positionV relativeFrom="paragraph">
                  <wp:posOffset>205443</wp:posOffset>
                </wp:positionV>
                <wp:extent cx="3548543" cy="880844"/>
                <wp:effectExtent l="0" t="0" r="0" b="0"/>
                <wp:wrapNone/>
                <wp:docPr id="7" name="フローチャート: 処理 7"/>
                <wp:cNvGraphicFramePr/>
                <a:graphic xmlns:a="http://schemas.openxmlformats.org/drawingml/2006/main">
                  <a:graphicData uri="http://schemas.microsoft.com/office/word/2010/wordprocessingShape">
                    <wps:wsp>
                      <wps:cNvSpPr/>
                      <wps:spPr>
                        <a:xfrm>
                          <a:off x="0" y="0"/>
                          <a:ext cx="3548543" cy="880844"/>
                        </a:xfrm>
                        <a:prstGeom prst="flowChartProcess">
                          <a:avLst/>
                        </a:prstGeom>
                        <a:solidFill>
                          <a:sysClr val="window" lastClr="FFFFFF"/>
                        </a:solidFill>
                        <a:ln w="25400" cap="flat" cmpd="sng" algn="ctr">
                          <a:noFill/>
                          <a:prstDash val="solid"/>
                        </a:ln>
                        <a:effectLst/>
                      </wps:spPr>
                      <wps:txbx>
                        <w:txbxContent>
                          <w:p w:rsid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「男性」が</w:t>
                            </w:r>
                            <w:r w:rsidRPr="00DD7586">
                              <w:rPr>
                                <w:rFonts w:asciiTheme="minorEastAsia" w:hAnsiTheme="minorEastAsia" w:cs="Times New Roman"/>
                                <w:sz w:val="22"/>
                              </w:rPr>
                              <w:t>41.9</w:t>
                            </w:r>
                            <w:r w:rsidRPr="00DD7586">
                              <w:rPr>
                                <w:rFonts w:asciiTheme="minorEastAsia" w:hAnsiTheme="minorEastAsia" w:cs="Times New Roman" w:hint="eastAsia"/>
                                <w:sz w:val="22"/>
                              </w:rPr>
                              <w:t>％、「女性」が</w:t>
                            </w:r>
                            <w:r w:rsidRPr="00DD7586">
                              <w:rPr>
                                <w:rFonts w:asciiTheme="minorEastAsia" w:hAnsiTheme="minorEastAsia" w:cs="Times New Roman"/>
                                <w:sz w:val="22"/>
                              </w:rPr>
                              <w:t>55.8</w:t>
                            </w:r>
                            <w:r w:rsidRPr="00DD7586">
                              <w:rPr>
                                <w:rFonts w:asciiTheme="minorEastAsia" w:hAnsiTheme="minorEastAsia" w:cs="Times New Roman" w:hint="eastAsia"/>
                                <w:sz w:val="22"/>
                              </w:rPr>
                              <w:t>％となっている。</w:t>
                            </w:r>
                          </w:p>
                          <w:p w:rsidR="00DD7586" w:rsidRP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平成</w:t>
                            </w:r>
                            <w:r w:rsidRPr="00DD7586">
                              <w:rPr>
                                <w:rFonts w:asciiTheme="minorEastAsia" w:hAnsiTheme="minorEastAsia" w:cs="Times New Roman"/>
                                <w:sz w:val="22"/>
                              </w:rPr>
                              <w:t>22</w:t>
                            </w:r>
                            <w:r w:rsidRPr="00DD7586">
                              <w:rPr>
                                <w:rFonts w:asciiTheme="minorEastAsia" w:hAnsiTheme="minorEastAsia" w:cs="Times New Roman" w:hint="eastAsia"/>
                                <w:sz w:val="22"/>
                              </w:rPr>
                              <w:t>年調査では低かった女性の割合が回復し、国勢調査での割合に近付いている。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7" o:spid="_x0000_s1051" type="#_x0000_t109" style="position:absolute;margin-left:473.75pt;margin-top:16.2pt;width:279.4pt;height:69.35pt;z-index:251730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" fillcolor="window" stroked="f" strokeweight="2pt">
                <v:textbox>
                  <w:txbxContent>
                    <w:p w:rsid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「男性」が</w:t>
                      </w:r>
                      <w:r w:rsidRPr="00DD7586">
                        <w:rPr>
                          <w:rFonts w:asciiTheme="minorEastAsia" w:hAnsiTheme="minorEastAsia" w:cs="Times New Roman"/>
                          <w:sz w:val="22"/>
                        </w:rPr>
                        <w:t>41.9</w:t>
                      </w:r>
                      <w:r w:rsidRPr="00DD7586">
                        <w:rPr>
                          <w:rFonts w:asciiTheme="minorEastAsia" w:hAnsiTheme="minorEastAsia" w:cs="Times New Roman" w:hint="eastAsia"/>
                          <w:sz w:val="22"/>
                        </w:rPr>
                        <w:t>％、「女性」が</w:t>
                      </w:r>
                      <w:r w:rsidRPr="00DD7586">
                        <w:rPr>
                          <w:rFonts w:asciiTheme="minorEastAsia" w:hAnsiTheme="minorEastAsia" w:cs="Times New Roman"/>
                          <w:sz w:val="22"/>
                        </w:rPr>
                        <w:t>55.8</w:t>
                      </w:r>
                      <w:r w:rsidRPr="00DD7586">
                        <w:rPr>
                          <w:rFonts w:asciiTheme="minorEastAsia" w:hAnsiTheme="minorEastAsia" w:cs="Times New Roman" w:hint="eastAsia"/>
                          <w:sz w:val="22"/>
                        </w:rPr>
                        <w:t>％となっている。</w:t>
                      </w:r>
                    </w:p>
                    <w:p w:rsidR="00DD7586" w:rsidRPr="00DD7586" w:rsidRDefault="00DD7586" w:rsidP="00DD7586">
                      <w:pPr>
                        <w:ind w:firstLineChars="100" w:firstLine="220"/>
                        <w:jc w:val="left"/>
                        <w:rPr>
                          <w:rFonts w:asciiTheme="minorEastAsia" w:hAnsiTheme="minorEastAsia" w:cs="Times New Roman"/>
                          <w:sz w:val="22"/>
                        </w:rPr>
                      </w:pPr>
                      <w:r w:rsidRPr="00DD7586">
                        <w:rPr>
                          <w:rFonts w:asciiTheme="minorEastAsia" w:hAnsiTheme="minorEastAsia" w:cs="Times New Roman" w:hint="eastAsia"/>
                          <w:sz w:val="22"/>
                        </w:rPr>
                        <w:t>平成</w:t>
                      </w:r>
                      <w:r w:rsidRPr="00DD7586">
                        <w:rPr>
                          <w:rFonts w:asciiTheme="minorEastAsia" w:hAnsiTheme="minorEastAsia" w:cs="Times New Roman"/>
                          <w:sz w:val="22"/>
                        </w:rPr>
                        <w:t>22</w:t>
                      </w:r>
                      <w:r w:rsidRPr="00DD7586">
                        <w:rPr>
                          <w:rFonts w:asciiTheme="minorEastAsia" w:hAnsiTheme="minorEastAsia" w:cs="Times New Roman" w:hint="eastAsia"/>
                          <w:sz w:val="22"/>
                        </w:rPr>
                        <w:t>年調査では低かった女性の割合が回復し、国勢調査での割合に近付いている。</w:t>
                      </w:r>
                    </w:p>
                  </w:txbxContent>
                </v:textbox>
              </v:shape>
            </w:pict>
          </mc:Fallback>
        </mc:AlternateContent>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C876E3" w:rsidRDefault="00C876E3" w:rsidP="008C786D">
      <w:pPr>
        <w:jc w:val="left"/>
        <w:rPr>
          <w:rFonts w:asciiTheme="majorEastAsia" w:eastAsiaTheme="majorEastAsia" w:hAnsiTheme="majorEastAsia"/>
        </w:rPr>
      </w:pPr>
    </w:p>
    <w:p w:rsidR="007A5FAB" w:rsidRDefault="007A5FAB"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C876E3" w:rsidRDefault="00C876E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8445F3" w:rsidRDefault="008445F3" w:rsidP="008C786D">
      <w:pPr>
        <w:jc w:val="left"/>
        <w:rPr>
          <w:rFonts w:asciiTheme="majorEastAsia" w:eastAsiaTheme="majorEastAsia" w:hAnsiTheme="majorEastAsia"/>
        </w:rPr>
      </w:pPr>
    </w:p>
    <w:p w:rsidR="00187EDA" w:rsidRDefault="00D95C6B" w:rsidP="00187EDA">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187EDA" w:rsidRPr="00660A39">
        <w:rPr>
          <w:rFonts w:asciiTheme="majorEastAsia" w:eastAsiaTheme="majorEastAsia" w:hAnsiTheme="majorEastAsia" w:hint="eastAsia"/>
          <w:b/>
          <w:sz w:val="24"/>
          <w:szCs w:val="24"/>
        </w:rPr>
        <w:t>問</w:t>
      </w:r>
      <w:r w:rsidR="00187EDA">
        <w:rPr>
          <w:rFonts w:asciiTheme="majorEastAsia" w:eastAsiaTheme="majorEastAsia" w:hAnsiTheme="majorEastAsia" w:hint="eastAsia"/>
          <w:b/>
          <w:sz w:val="24"/>
          <w:szCs w:val="24"/>
        </w:rPr>
        <w:t>13</w:t>
      </w:r>
      <w:r w:rsidR="00187EDA" w:rsidRPr="00660A39">
        <w:rPr>
          <w:rFonts w:asciiTheme="majorEastAsia" w:eastAsiaTheme="majorEastAsia" w:hAnsiTheme="majorEastAsia" w:hint="eastAsia"/>
          <w:b/>
          <w:sz w:val="24"/>
          <w:szCs w:val="24"/>
        </w:rPr>
        <w:t>．</w:t>
      </w:r>
      <w:r w:rsidR="008445F3">
        <w:rPr>
          <w:rFonts w:asciiTheme="majorEastAsia" w:eastAsiaTheme="majorEastAsia" w:hAnsiTheme="majorEastAsia" w:hint="eastAsia"/>
          <w:b/>
          <w:sz w:val="24"/>
          <w:szCs w:val="24"/>
        </w:rPr>
        <w:t>あなたの</w:t>
      </w:r>
      <w:r w:rsidR="00187EDA">
        <w:rPr>
          <w:rFonts w:asciiTheme="majorEastAsia" w:eastAsiaTheme="majorEastAsia" w:hAnsiTheme="majorEastAsia" w:hint="eastAsia"/>
          <w:b/>
          <w:sz w:val="24"/>
          <w:szCs w:val="24"/>
        </w:rPr>
        <w:t>年齢</w:t>
      </w:r>
      <w:r w:rsidR="008445F3">
        <w:rPr>
          <w:rFonts w:asciiTheme="majorEastAsia" w:eastAsiaTheme="majorEastAsia" w:hAnsiTheme="majorEastAsia" w:hint="eastAsia"/>
          <w:b/>
          <w:sz w:val="24"/>
          <w:szCs w:val="24"/>
        </w:rPr>
        <w:t>は。10月1日現在の満年齢でお答えください</w:t>
      </w:r>
      <w:r w:rsidR="00187EDA" w:rsidRPr="00660A39">
        <w:rPr>
          <w:rFonts w:asciiTheme="majorEastAsia" w:eastAsiaTheme="majorEastAsia" w:hAnsiTheme="majorEastAsia" w:hint="eastAsia"/>
          <w:b/>
          <w:sz w:val="24"/>
          <w:szCs w:val="24"/>
        </w:rPr>
        <w:t>】</w:t>
      </w:r>
      <w:r w:rsidR="008445F3">
        <w:rPr>
          <w:rFonts w:asciiTheme="majorEastAsia" w:eastAsiaTheme="majorEastAsia" w:hAnsiTheme="majorEastAsia" w:hint="eastAsia"/>
          <w:b/>
          <w:sz w:val="24"/>
          <w:szCs w:val="24"/>
        </w:rPr>
        <w:t xml:space="preserve">　</w:t>
      </w:r>
      <w:r w:rsidR="008445F3" w:rsidRPr="008445F3">
        <w:rPr>
          <w:rFonts w:asciiTheme="majorEastAsia" w:eastAsiaTheme="majorEastAsia" w:hAnsiTheme="majorEastAsia" w:hint="eastAsia"/>
          <w:sz w:val="24"/>
          <w:szCs w:val="24"/>
        </w:rPr>
        <w:t>（いずれか1つに○）</w:t>
      </w:r>
    </w:p>
    <w:p w:rsidR="00922E5C" w:rsidRDefault="0069241B" w:rsidP="00187EDA">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2479" behindDoc="0" locked="0" layoutInCell="1" allowOverlap="1" wp14:anchorId="2D208AFF" wp14:editId="54811720">
                <wp:simplePos x="0" y="0"/>
                <wp:positionH relativeFrom="column">
                  <wp:posOffset>6016456</wp:posOffset>
                </wp:positionH>
                <wp:positionV relativeFrom="paragraph">
                  <wp:posOffset>1050721</wp:posOffset>
                </wp:positionV>
                <wp:extent cx="3548380" cy="1551963"/>
                <wp:effectExtent l="0" t="0" r="0" b="0"/>
                <wp:wrapNone/>
                <wp:docPr id="8" name="フローチャート: 処理 8"/>
                <wp:cNvGraphicFramePr/>
                <a:graphic xmlns:a="http://schemas.openxmlformats.org/drawingml/2006/main">
                  <a:graphicData uri="http://schemas.microsoft.com/office/word/2010/wordprocessingShape">
                    <wps:wsp>
                      <wps:cNvSpPr/>
                      <wps:spPr>
                        <a:xfrm>
                          <a:off x="0" y="0"/>
                          <a:ext cx="3548380" cy="1551963"/>
                        </a:xfrm>
                        <a:prstGeom prst="flowChartProcess">
                          <a:avLst/>
                        </a:prstGeom>
                        <a:solidFill>
                          <a:sysClr val="window" lastClr="FFFFFF"/>
                        </a:solidFill>
                        <a:ln w="25400" cap="flat" cmpd="sng" algn="ctr">
                          <a:noFill/>
                          <a:prstDash val="solid"/>
                        </a:ln>
                        <a:effectLst/>
                      </wps:spPr>
                      <wps:txbx>
                        <w:txbxContent>
                          <w:p w:rsidR="0069241B"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hint="eastAsia"/>
                                <w:sz w:val="24"/>
                                <w:szCs w:val="24"/>
                              </w:rPr>
                              <w:t>「</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歳代」が</w:t>
                            </w:r>
                            <w:r w:rsidRPr="0069241B">
                              <w:rPr>
                                <w:rFonts w:ascii="ＭＳ Ｐ明朝" w:eastAsia="ＭＳ Ｐ明朝" w:hAnsi="ＭＳ Ｐ明朝" w:cs="Times New Roman"/>
                                <w:sz w:val="24"/>
                                <w:szCs w:val="24"/>
                              </w:rPr>
                              <w:t>25.3</w:t>
                            </w:r>
                            <w:r w:rsidRPr="0069241B">
                              <w:rPr>
                                <w:rFonts w:ascii="ＭＳ Ｐ明朝" w:eastAsia="ＭＳ Ｐ明朝" w:hAnsi="ＭＳ Ｐ明朝" w:cs="Times New Roman" w:hint="eastAsia"/>
                                <w:sz w:val="24"/>
                                <w:szCs w:val="24"/>
                              </w:rPr>
                              <w:t>％で最も高く、次いで「</w:t>
                            </w:r>
                            <w:r w:rsidRPr="0069241B">
                              <w:rPr>
                                <w:rFonts w:ascii="ＭＳ Ｐ明朝" w:eastAsia="ＭＳ Ｐ明朝" w:hAnsi="ＭＳ Ｐ明朝" w:cs="Times New Roman"/>
                                <w:sz w:val="24"/>
                                <w:szCs w:val="24"/>
                              </w:rPr>
                              <w:t>70</w:t>
                            </w:r>
                            <w:r w:rsidRPr="0069241B">
                              <w:rPr>
                                <w:rFonts w:ascii="ＭＳ Ｐ明朝" w:eastAsia="ＭＳ Ｐ明朝" w:hAnsi="ＭＳ Ｐ明朝" w:cs="Times New Roman" w:hint="eastAsia"/>
                                <w:sz w:val="24"/>
                                <w:szCs w:val="24"/>
                              </w:rPr>
                              <w:t>歳以上」が</w:t>
                            </w:r>
                            <w:r w:rsidRPr="0069241B">
                              <w:rPr>
                                <w:rFonts w:ascii="ＭＳ Ｐ明朝" w:eastAsia="ＭＳ Ｐ明朝" w:hAnsi="ＭＳ Ｐ明朝" w:cs="Times New Roman"/>
                                <w:sz w:val="24"/>
                                <w:szCs w:val="24"/>
                              </w:rPr>
                              <w:t>22.5</w:t>
                            </w:r>
                            <w:r w:rsidRPr="0069241B">
                              <w:rPr>
                                <w:rFonts w:ascii="ＭＳ Ｐ明朝" w:eastAsia="ＭＳ Ｐ明朝" w:hAnsi="ＭＳ Ｐ明朝" w:cs="Times New Roman" w:hint="eastAsia"/>
                                <w:sz w:val="24"/>
                                <w:szCs w:val="24"/>
                              </w:rPr>
                              <w:t>％である。一方、「</w:t>
                            </w:r>
                            <w:r w:rsidRPr="0069241B">
                              <w:rPr>
                                <w:rFonts w:ascii="ＭＳ Ｐ明朝" w:eastAsia="ＭＳ Ｐ明朝" w:hAnsi="ＭＳ Ｐ明朝" w:cs="Times New Roman"/>
                                <w:sz w:val="24"/>
                                <w:szCs w:val="24"/>
                              </w:rPr>
                              <w:t>20</w:t>
                            </w:r>
                            <w:r w:rsidRPr="0069241B">
                              <w:rPr>
                                <w:rFonts w:ascii="ＭＳ Ｐ明朝" w:eastAsia="ＭＳ Ｐ明朝" w:hAnsi="ＭＳ Ｐ明朝" w:cs="Times New Roman" w:hint="eastAsia"/>
                                <w:sz w:val="24"/>
                                <w:szCs w:val="24"/>
                              </w:rPr>
                              <w:t>歳代」は</w:t>
                            </w:r>
                            <w:r w:rsidRPr="0069241B">
                              <w:rPr>
                                <w:rFonts w:ascii="ＭＳ Ｐ明朝" w:eastAsia="ＭＳ Ｐ明朝" w:hAnsi="ＭＳ Ｐ明朝" w:cs="Times New Roman"/>
                                <w:sz w:val="24"/>
                                <w:szCs w:val="24"/>
                              </w:rPr>
                              <w:t>7.8</w:t>
                            </w:r>
                            <w:r w:rsidRPr="0069241B">
                              <w:rPr>
                                <w:rFonts w:ascii="ＭＳ Ｐ明朝" w:eastAsia="ＭＳ Ｐ明朝" w:hAnsi="ＭＳ Ｐ明朝" w:cs="Times New Roman" w:hint="eastAsia"/>
                                <w:sz w:val="24"/>
                                <w:szCs w:val="24"/>
                              </w:rPr>
                              <w:t>％で最も低くなっている。</w:t>
                            </w:r>
                          </w:p>
                          <w:p w:rsidR="0069241B" w:rsidRPr="00DD7586"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歳以上の割合がこれまでの調査よりさらに高くなっている。また、</w:t>
                            </w:r>
                            <w:r w:rsidRPr="0069241B">
                              <w:rPr>
                                <w:rFonts w:ascii="ＭＳ Ｐ明朝" w:eastAsia="ＭＳ Ｐ明朝" w:hAnsi="ＭＳ Ｐ明朝" w:cs="Times New Roman"/>
                                <w:sz w:val="24"/>
                                <w:szCs w:val="24"/>
                              </w:rPr>
                              <w:t>39</w:t>
                            </w:r>
                            <w:r w:rsidRPr="0069241B">
                              <w:rPr>
                                <w:rFonts w:ascii="ＭＳ Ｐ明朝" w:eastAsia="ＭＳ Ｐ明朝" w:hAnsi="ＭＳ Ｐ明朝" w:cs="Times New Roman" w:hint="eastAsia"/>
                                <w:sz w:val="24"/>
                                <w:szCs w:val="24"/>
                              </w:rPr>
                              <w:t>歳以下と</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歳以上で、国勢調査での割合との乖離が大きい。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8" o:spid="_x0000_s1052" type="#_x0000_t109" style="position:absolute;margin-left:473.75pt;margin-top:82.75pt;width:279.4pt;height:122.2pt;z-index:251732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" fillcolor="window" stroked="f" strokeweight="2pt">
                <v:textbox>
                  <w:txbxContent>
                    <w:p w:rsidR="0069241B"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hint="eastAsia"/>
                          <w:sz w:val="24"/>
                          <w:szCs w:val="24"/>
                        </w:rPr>
                        <w:t>「</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歳代」が</w:t>
                      </w:r>
                      <w:r w:rsidRPr="0069241B">
                        <w:rPr>
                          <w:rFonts w:ascii="ＭＳ Ｐ明朝" w:eastAsia="ＭＳ Ｐ明朝" w:hAnsi="ＭＳ Ｐ明朝" w:cs="Times New Roman"/>
                          <w:sz w:val="24"/>
                          <w:szCs w:val="24"/>
                        </w:rPr>
                        <w:t>25.3</w:t>
                      </w:r>
                      <w:r w:rsidRPr="0069241B">
                        <w:rPr>
                          <w:rFonts w:ascii="ＭＳ Ｐ明朝" w:eastAsia="ＭＳ Ｐ明朝" w:hAnsi="ＭＳ Ｐ明朝" w:cs="Times New Roman" w:hint="eastAsia"/>
                          <w:sz w:val="24"/>
                          <w:szCs w:val="24"/>
                        </w:rPr>
                        <w:t>％で最も高く、次いで「</w:t>
                      </w:r>
                      <w:r w:rsidRPr="0069241B">
                        <w:rPr>
                          <w:rFonts w:ascii="ＭＳ Ｐ明朝" w:eastAsia="ＭＳ Ｐ明朝" w:hAnsi="ＭＳ Ｐ明朝" w:cs="Times New Roman"/>
                          <w:sz w:val="24"/>
                          <w:szCs w:val="24"/>
                        </w:rPr>
                        <w:t>70</w:t>
                      </w:r>
                      <w:r w:rsidRPr="0069241B">
                        <w:rPr>
                          <w:rFonts w:ascii="ＭＳ Ｐ明朝" w:eastAsia="ＭＳ Ｐ明朝" w:hAnsi="ＭＳ Ｐ明朝" w:cs="Times New Roman" w:hint="eastAsia"/>
                          <w:sz w:val="24"/>
                          <w:szCs w:val="24"/>
                        </w:rPr>
                        <w:t>歳以上」が</w:t>
                      </w:r>
                      <w:r w:rsidRPr="0069241B">
                        <w:rPr>
                          <w:rFonts w:ascii="ＭＳ Ｐ明朝" w:eastAsia="ＭＳ Ｐ明朝" w:hAnsi="ＭＳ Ｐ明朝" w:cs="Times New Roman"/>
                          <w:sz w:val="24"/>
                          <w:szCs w:val="24"/>
                        </w:rPr>
                        <w:t>22.5</w:t>
                      </w:r>
                      <w:r w:rsidRPr="0069241B">
                        <w:rPr>
                          <w:rFonts w:ascii="ＭＳ Ｐ明朝" w:eastAsia="ＭＳ Ｐ明朝" w:hAnsi="ＭＳ Ｐ明朝" w:cs="Times New Roman" w:hint="eastAsia"/>
                          <w:sz w:val="24"/>
                          <w:szCs w:val="24"/>
                        </w:rPr>
                        <w:t>％である。一方、「</w:t>
                      </w:r>
                      <w:r w:rsidRPr="0069241B">
                        <w:rPr>
                          <w:rFonts w:ascii="ＭＳ Ｐ明朝" w:eastAsia="ＭＳ Ｐ明朝" w:hAnsi="ＭＳ Ｐ明朝" w:cs="Times New Roman"/>
                          <w:sz w:val="24"/>
                          <w:szCs w:val="24"/>
                        </w:rPr>
                        <w:t>20</w:t>
                      </w:r>
                      <w:r w:rsidRPr="0069241B">
                        <w:rPr>
                          <w:rFonts w:ascii="ＭＳ Ｐ明朝" w:eastAsia="ＭＳ Ｐ明朝" w:hAnsi="ＭＳ Ｐ明朝" w:cs="Times New Roman" w:hint="eastAsia"/>
                          <w:sz w:val="24"/>
                          <w:szCs w:val="24"/>
                        </w:rPr>
                        <w:t>歳代」は</w:t>
                      </w:r>
                      <w:r w:rsidRPr="0069241B">
                        <w:rPr>
                          <w:rFonts w:ascii="ＭＳ Ｐ明朝" w:eastAsia="ＭＳ Ｐ明朝" w:hAnsi="ＭＳ Ｐ明朝" w:cs="Times New Roman"/>
                          <w:sz w:val="24"/>
                          <w:szCs w:val="24"/>
                        </w:rPr>
                        <w:t>7.8</w:t>
                      </w:r>
                      <w:r w:rsidRPr="0069241B">
                        <w:rPr>
                          <w:rFonts w:ascii="ＭＳ Ｐ明朝" w:eastAsia="ＭＳ Ｐ明朝" w:hAnsi="ＭＳ Ｐ明朝" w:cs="Times New Roman" w:hint="eastAsia"/>
                          <w:sz w:val="24"/>
                          <w:szCs w:val="24"/>
                        </w:rPr>
                        <w:t>％で最も低くなっている。</w:t>
                      </w:r>
                    </w:p>
                    <w:p w:rsidR="0069241B" w:rsidRPr="00DD7586" w:rsidRDefault="0069241B" w:rsidP="0069241B">
                      <w:pPr>
                        <w:ind w:firstLineChars="100" w:firstLine="240"/>
                        <w:rPr>
                          <w:rFonts w:ascii="ＭＳ Ｐ明朝" w:eastAsia="ＭＳ Ｐ明朝" w:hAnsi="ＭＳ Ｐ明朝" w:cs="Times New Roman"/>
                          <w:sz w:val="24"/>
                          <w:szCs w:val="24"/>
                        </w:rPr>
                      </w:pP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歳以上の割合がこれまでの調査よりさらに高くなっている。また、</w:t>
                      </w:r>
                      <w:r w:rsidRPr="0069241B">
                        <w:rPr>
                          <w:rFonts w:ascii="ＭＳ Ｐ明朝" w:eastAsia="ＭＳ Ｐ明朝" w:hAnsi="ＭＳ Ｐ明朝" w:cs="Times New Roman"/>
                          <w:sz w:val="24"/>
                          <w:szCs w:val="24"/>
                        </w:rPr>
                        <w:t>39</w:t>
                      </w:r>
                      <w:r w:rsidRPr="0069241B">
                        <w:rPr>
                          <w:rFonts w:ascii="ＭＳ Ｐ明朝" w:eastAsia="ＭＳ Ｐ明朝" w:hAnsi="ＭＳ Ｐ明朝" w:cs="Times New Roman" w:hint="eastAsia"/>
                          <w:sz w:val="24"/>
                          <w:szCs w:val="24"/>
                        </w:rPr>
                        <w:t>歳以下と</w:t>
                      </w:r>
                      <w:r w:rsidRPr="0069241B">
                        <w:rPr>
                          <w:rFonts w:ascii="ＭＳ Ｐ明朝" w:eastAsia="ＭＳ Ｐ明朝" w:hAnsi="ＭＳ Ｐ明朝" w:cs="Times New Roman"/>
                          <w:sz w:val="24"/>
                          <w:szCs w:val="24"/>
                        </w:rPr>
                        <w:t>60</w:t>
                      </w:r>
                      <w:r w:rsidRPr="0069241B">
                        <w:rPr>
                          <w:rFonts w:ascii="ＭＳ Ｐ明朝" w:eastAsia="ＭＳ Ｐ明朝" w:hAnsi="ＭＳ Ｐ明朝" w:cs="Times New Roman" w:hint="eastAsia"/>
                          <w:sz w:val="24"/>
                          <w:szCs w:val="24"/>
                        </w:rPr>
                        <w:t>歳以上で、国勢調査での割合との乖離が大きい。</w:t>
                      </w:r>
                    </w:p>
                  </w:txbxContent>
                </v:textbox>
              </v:shape>
            </w:pict>
          </mc:Fallback>
        </mc:AlternateContent>
      </w:r>
      <w:r>
        <w:rPr>
          <w:rFonts w:asciiTheme="majorEastAsia" w:eastAsiaTheme="majorEastAsia" w:hAnsiTheme="majorEastAsia"/>
          <w:noProof/>
        </w:rPr>
        <w:drawing>
          <wp:inline distT="0" distB="0" distL="0" distR="0" wp14:anchorId="7157C3CB" wp14:editId="4EFF244D">
            <wp:extent cx="5796793" cy="3238151"/>
            <wp:effectExtent l="0" t="0" r="13970" b="1968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674F4" w:rsidRDefault="00B674F4" w:rsidP="00593BB9">
      <w:pPr>
        <w:jc w:val="center"/>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DD7586"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80255" behindDoc="0" locked="0" layoutInCell="1" allowOverlap="1" wp14:anchorId="07B460F8" wp14:editId="2DF8C98F">
            <wp:simplePos x="0" y="0"/>
            <wp:positionH relativeFrom="column">
              <wp:posOffset>471170</wp:posOffset>
            </wp:positionH>
            <wp:positionV relativeFrom="paragraph">
              <wp:posOffset>171450</wp:posOffset>
            </wp:positionV>
            <wp:extent cx="4311650" cy="3464560"/>
            <wp:effectExtent l="0" t="0" r="12700" b="21590"/>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rPr>
        <w:drawing>
          <wp:anchor distT="0" distB="0" distL="114300" distR="114300" simplePos="0" relativeHeight="251681279" behindDoc="0" locked="0" layoutInCell="1" allowOverlap="1" wp14:anchorId="275E686F" wp14:editId="6BD93ADF">
            <wp:simplePos x="0" y="0"/>
            <wp:positionH relativeFrom="column">
              <wp:posOffset>5018405</wp:posOffset>
            </wp:positionH>
            <wp:positionV relativeFrom="paragraph">
              <wp:posOffset>171450</wp:posOffset>
            </wp:positionV>
            <wp:extent cx="4168775" cy="3464560"/>
            <wp:effectExtent l="0" t="0" r="22225" b="21590"/>
            <wp:wrapNone/>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876E3" w:rsidRDefault="00C876E3" w:rsidP="00622C7C">
      <w:pPr>
        <w:jc w:val="left"/>
        <w:rPr>
          <w:rFonts w:asciiTheme="majorEastAsia" w:eastAsiaTheme="majorEastAsia" w:hAnsiTheme="majorEastAsia"/>
          <w:b/>
          <w:sz w:val="24"/>
          <w:szCs w:val="24"/>
        </w:rPr>
      </w:pPr>
    </w:p>
    <w:p w:rsidR="00C25EA9" w:rsidRDefault="00C25EA9" w:rsidP="00622C7C">
      <w:pPr>
        <w:jc w:val="left"/>
        <w:rPr>
          <w:rFonts w:asciiTheme="majorEastAsia" w:eastAsiaTheme="majorEastAsia" w:hAnsiTheme="majorEastAsia"/>
          <w:b/>
          <w:sz w:val="24"/>
          <w:szCs w:val="24"/>
        </w:rPr>
      </w:pPr>
    </w:p>
    <w:p w:rsidR="0069241B" w:rsidRDefault="0069241B" w:rsidP="00622C7C">
      <w:pPr>
        <w:jc w:val="left"/>
        <w:rPr>
          <w:rFonts w:asciiTheme="majorEastAsia" w:eastAsiaTheme="majorEastAsia" w:hAnsiTheme="majorEastAsia"/>
          <w:b/>
          <w:sz w:val="24"/>
          <w:szCs w:val="24"/>
        </w:rPr>
      </w:pPr>
    </w:p>
    <w:p w:rsidR="00D630B3" w:rsidRDefault="00D630B3" w:rsidP="00622C7C">
      <w:pPr>
        <w:jc w:val="left"/>
        <w:rPr>
          <w:rFonts w:asciiTheme="majorEastAsia" w:eastAsiaTheme="majorEastAsia" w:hAnsiTheme="majorEastAsia"/>
          <w:b/>
          <w:sz w:val="24"/>
          <w:szCs w:val="24"/>
        </w:rPr>
      </w:pPr>
    </w:p>
    <w:p w:rsidR="00622C7C" w:rsidRPr="00C1169C" w:rsidRDefault="00622C7C" w:rsidP="00622C7C">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14</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あなたが日常的に利用する主な</w:t>
      </w:r>
      <w:r>
        <w:rPr>
          <w:rFonts w:asciiTheme="majorEastAsia" w:eastAsiaTheme="majorEastAsia" w:hAnsiTheme="majorEastAsia" w:hint="eastAsia"/>
          <w:b/>
          <w:sz w:val="24"/>
          <w:szCs w:val="24"/>
        </w:rPr>
        <w:t>メディア</w:t>
      </w:r>
      <w:r w:rsidR="00C1169C">
        <w:rPr>
          <w:rFonts w:asciiTheme="majorEastAsia" w:eastAsiaTheme="majorEastAsia" w:hAnsiTheme="majorEastAsia" w:hint="eastAsia"/>
          <w:b/>
          <w:sz w:val="24"/>
          <w:szCs w:val="24"/>
        </w:rPr>
        <w:t>は</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 xml:space="preserve">　　</w:t>
      </w:r>
      <w:r w:rsidR="00C1169C" w:rsidRPr="00C1169C">
        <w:rPr>
          <w:rFonts w:asciiTheme="majorEastAsia" w:eastAsiaTheme="majorEastAsia" w:hAnsiTheme="majorEastAsia" w:hint="eastAsia"/>
          <w:sz w:val="24"/>
          <w:szCs w:val="24"/>
        </w:rPr>
        <w:t>(○は2つまで)</w:t>
      </w:r>
      <w:r w:rsidR="006D0D5F" w:rsidRPr="006D0D5F">
        <w:rPr>
          <w:rFonts w:asciiTheme="majorEastAsia" w:eastAsiaTheme="majorEastAsia" w:hAnsiTheme="majorEastAsia" w:hint="eastAsia"/>
          <w:b/>
          <w:noProof/>
          <w:sz w:val="24"/>
          <w:szCs w:val="24"/>
        </w:rPr>
        <w:t xml:space="preserve"> </w:t>
      </w:r>
    </w:p>
    <w:p w:rsidR="00B674F4" w:rsidRDefault="00B674F4" w:rsidP="008C786D">
      <w:pPr>
        <w:jc w:val="left"/>
        <w:rPr>
          <w:rFonts w:asciiTheme="majorEastAsia" w:eastAsiaTheme="majorEastAsia" w:hAnsiTheme="majorEastAsia"/>
        </w:rPr>
      </w:pPr>
    </w:p>
    <w:p w:rsidR="00B674F4" w:rsidRDefault="006D6E86" w:rsidP="008C786D">
      <w:pPr>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86399" behindDoc="1" locked="0" layoutInCell="1" allowOverlap="1" wp14:anchorId="414F246F" wp14:editId="143594A9">
            <wp:simplePos x="0" y="0"/>
            <wp:positionH relativeFrom="column">
              <wp:posOffset>1260475</wp:posOffset>
            </wp:positionH>
            <wp:positionV relativeFrom="paragraph">
              <wp:posOffset>21590</wp:posOffset>
            </wp:positionV>
            <wp:extent cx="6017260" cy="4630420"/>
            <wp:effectExtent l="0" t="0" r="21590" b="17780"/>
            <wp:wrapNone/>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6D0D5F"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71391" behindDoc="0" locked="0" layoutInCell="1" allowOverlap="1" wp14:anchorId="6694E52B" wp14:editId="79289149">
                <wp:simplePos x="0" y="0"/>
                <wp:positionH relativeFrom="column">
                  <wp:posOffset>6981825</wp:posOffset>
                </wp:positionH>
                <wp:positionV relativeFrom="paragraph">
                  <wp:posOffset>85859</wp:posOffset>
                </wp:positionV>
                <wp:extent cx="385445" cy="301625"/>
                <wp:effectExtent l="0" t="0" r="0" b="0"/>
                <wp:wrapNone/>
                <wp:docPr id="514" name="正方形/長方形 514"/>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4" o:spid="_x0000_s1061" style="position:absolute;margin-left:549.75pt;margin-top:6.75pt;width:30.35pt;height:23.75pt;z-index:251771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EF67C5">
      <w:pPr>
        <w:jc w:val="left"/>
        <w:rPr>
          <w:rFonts w:asciiTheme="majorEastAsia" w:eastAsiaTheme="majorEastAsia" w:hAnsiTheme="majorEastAsia"/>
          <w:b/>
          <w:sz w:val="24"/>
          <w:szCs w:val="24"/>
        </w:rPr>
      </w:pPr>
    </w:p>
    <w:p w:rsidR="005A672A" w:rsidRDefault="005A672A" w:rsidP="00C1169C">
      <w:pPr>
        <w:ind w:right="960"/>
        <w:rPr>
          <w:rFonts w:asciiTheme="majorEastAsia" w:eastAsiaTheme="majorEastAsia" w:hAnsiTheme="majorEastAsia"/>
          <w:b/>
          <w:sz w:val="24"/>
          <w:szCs w:val="24"/>
        </w:rPr>
      </w:pPr>
    </w:p>
    <w:p w:rsidR="00C1169C" w:rsidRDefault="00C1169C" w:rsidP="00C1169C">
      <w:pPr>
        <w:ind w:right="960"/>
        <w:rPr>
          <w:rFonts w:asciiTheme="majorEastAsia" w:eastAsiaTheme="majorEastAsia" w:hAnsiTheme="majorEastAsia"/>
          <w:b/>
          <w:sz w:val="24"/>
          <w:szCs w:val="24"/>
        </w:rPr>
      </w:pPr>
    </w:p>
    <w:p w:rsidR="00C1169C" w:rsidRDefault="00C1169C" w:rsidP="00C1169C">
      <w:pPr>
        <w:ind w:right="960"/>
        <w:rPr>
          <w:rFonts w:asciiTheme="majorEastAsia" w:eastAsiaTheme="majorEastAsia" w:hAnsiTheme="majorEastAsia"/>
          <w:b/>
          <w:sz w:val="24"/>
          <w:szCs w:val="24"/>
        </w:rPr>
      </w:pPr>
    </w:p>
    <w:p w:rsidR="00C1169C" w:rsidRDefault="00C1169C" w:rsidP="00C1169C">
      <w:pPr>
        <w:ind w:right="960"/>
        <w:rPr>
          <w:rFonts w:asciiTheme="majorEastAsia" w:eastAsiaTheme="majorEastAsia" w:hAnsiTheme="majorEastAsia"/>
          <w:b/>
          <w:sz w:val="24"/>
          <w:szCs w:val="24"/>
        </w:rPr>
      </w:pPr>
    </w:p>
    <w:p w:rsidR="00C1169C" w:rsidRPr="00EC180E" w:rsidRDefault="00C1169C" w:rsidP="00C1169C">
      <w:pPr>
        <w:ind w:right="960"/>
        <w:rPr>
          <w:rFonts w:asciiTheme="majorEastAsia" w:eastAsiaTheme="majorEastAsia" w:hAnsiTheme="majorEastAsia"/>
          <w:sz w:val="24"/>
          <w:szCs w:val="24"/>
        </w:rPr>
      </w:pPr>
    </w:p>
    <w:p w:rsidR="005A672A" w:rsidRDefault="005A672A" w:rsidP="00EF67C5">
      <w:pPr>
        <w:jc w:val="left"/>
        <w:rPr>
          <w:rFonts w:asciiTheme="majorEastAsia" w:eastAsiaTheme="majorEastAsia" w:hAnsiTheme="majorEastAsia"/>
          <w:sz w:val="24"/>
          <w:szCs w:val="24"/>
        </w:rPr>
      </w:pPr>
    </w:p>
    <w:p w:rsidR="006D6E86" w:rsidRDefault="006D6E86" w:rsidP="00EF67C5">
      <w:pPr>
        <w:jc w:val="left"/>
        <w:rPr>
          <w:rFonts w:asciiTheme="majorEastAsia" w:eastAsiaTheme="majorEastAsia" w:hAnsiTheme="majorEastAsia"/>
          <w:sz w:val="24"/>
          <w:szCs w:val="24"/>
        </w:rPr>
      </w:pPr>
    </w:p>
    <w:p w:rsidR="006D6E86" w:rsidRDefault="006D6E86" w:rsidP="00EF67C5">
      <w:pPr>
        <w:jc w:val="left"/>
        <w:rPr>
          <w:rFonts w:asciiTheme="majorEastAsia" w:eastAsiaTheme="majorEastAsia" w:hAnsiTheme="majorEastAsia"/>
          <w:sz w:val="24"/>
          <w:szCs w:val="24"/>
        </w:rPr>
      </w:pPr>
    </w:p>
    <w:p w:rsidR="006D6E86" w:rsidRDefault="006D6E86" w:rsidP="00EF67C5">
      <w:pPr>
        <w:jc w:val="left"/>
        <w:rPr>
          <w:rFonts w:asciiTheme="majorEastAsia" w:eastAsiaTheme="majorEastAsia" w:hAnsiTheme="majorEastAsia"/>
          <w:sz w:val="24"/>
          <w:szCs w:val="24"/>
        </w:rPr>
      </w:pPr>
    </w:p>
    <w:p w:rsidR="006D6E86" w:rsidRDefault="006D6E86" w:rsidP="00EF67C5">
      <w:pPr>
        <w:jc w:val="left"/>
        <w:rPr>
          <w:rFonts w:asciiTheme="majorEastAsia" w:eastAsiaTheme="majorEastAsia" w:hAnsiTheme="majorEastAsia"/>
          <w:sz w:val="24"/>
          <w:szCs w:val="24"/>
        </w:rPr>
      </w:pPr>
    </w:p>
    <w:p w:rsidR="006D6E86" w:rsidRPr="00EC180E" w:rsidRDefault="006D6E86" w:rsidP="00EF67C5">
      <w:pPr>
        <w:jc w:val="left"/>
        <w:rPr>
          <w:rFonts w:asciiTheme="majorEastAsia" w:eastAsiaTheme="majorEastAsia" w:hAnsiTheme="majorEastAsia"/>
          <w:sz w:val="24"/>
          <w:szCs w:val="24"/>
        </w:rPr>
      </w:pPr>
    </w:p>
    <w:p w:rsidR="00D95C6B" w:rsidRPr="00EC180E" w:rsidRDefault="00D95C6B" w:rsidP="00EF67C5">
      <w:pPr>
        <w:jc w:val="left"/>
        <w:rPr>
          <w:rFonts w:asciiTheme="majorEastAsia" w:eastAsiaTheme="majorEastAsia" w:hAnsiTheme="majorEastAsia"/>
          <w:sz w:val="24"/>
          <w:szCs w:val="24"/>
        </w:rPr>
      </w:pPr>
    </w:p>
    <w:p w:rsidR="00D630B3" w:rsidRPr="00D630B3" w:rsidRDefault="00D630B3" w:rsidP="00D630B3">
      <w:pPr>
        <w:ind w:leftChars="200" w:left="420" w:firstLineChars="100" w:firstLine="240"/>
        <w:rPr>
          <w:rFonts w:ascii="ＭＳ Ｐ明朝" w:eastAsia="ＭＳ Ｐ明朝" w:hAnsi="ＭＳ Ｐ明朝" w:cs="Times New Roman"/>
          <w:sz w:val="24"/>
          <w:szCs w:val="24"/>
        </w:rPr>
      </w:pPr>
      <w:r w:rsidRPr="00D630B3">
        <w:rPr>
          <w:rFonts w:ascii="ＭＳ Ｐ明朝" w:eastAsia="ＭＳ Ｐ明朝" w:hAnsi="ＭＳ Ｐ明朝" w:cs="Times New Roman"/>
          <w:sz w:val="24"/>
          <w:szCs w:val="24"/>
        </w:rPr>
        <w:t>2</w:t>
      </w:r>
      <w:r w:rsidRPr="00D630B3">
        <w:rPr>
          <w:rFonts w:ascii="ＭＳ Ｐ明朝" w:eastAsia="ＭＳ Ｐ明朝" w:hAnsi="ＭＳ Ｐ明朝" w:cs="Times New Roman" w:hint="eastAsia"/>
          <w:sz w:val="24"/>
          <w:szCs w:val="24"/>
        </w:rPr>
        <w:t>つまで尋ねたところ、「テレビ」と回答した人の割合が</w:t>
      </w:r>
      <w:r w:rsidRPr="00D630B3">
        <w:rPr>
          <w:rFonts w:ascii="ＭＳ Ｐ明朝" w:eastAsia="ＭＳ Ｐ明朝" w:hAnsi="ＭＳ Ｐ明朝" w:cs="Times New Roman"/>
          <w:sz w:val="24"/>
          <w:szCs w:val="24"/>
        </w:rPr>
        <w:t>83.8</w:t>
      </w:r>
      <w:r w:rsidRPr="00D630B3">
        <w:rPr>
          <w:rFonts w:ascii="ＭＳ Ｐ明朝" w:eastAsia="ＭＳ Ｐ明朝" w:hAnsi="ＭＳ Ｐ明朝" w:cs="Times New Roman" w:hint="eastAsia"/>
          <w:sz w:val="24"/>
          <w:szCs w:val="24"/>
        </w:rPr>
        <w:t>％と突出して高く、次いで「新聞」</w:t>
      </w:r>
      <w:r w:rsidRPr="00D630B3">
        <w:rPr>
          <w:rFonts w:ascii="ＭＳ Ｐ明朝" w:eastAsia="ＭＳ Ｐ明朝" w:hAnsi="ＭＳ Ｐ明朝" w:cs="Times New Roman"/>
          <w:sz w:val="24"/>
          <w:szCs w:val="24"/>
        </w:rPr>
        <w:t>53.2</w:t>
      </w:r>
      <w:r w:rsidRPr="00D630B3">
        <w:rPr>
          <w:rFonts w:ascii="ＭＳ Ｐ明朝" w:eastAsia="ＭＳ Ｐ明朝" w:hAnsi="ＭＳ Ｐ明朝" w:cs="Times New Roman" w:hint="eastAsia"/>
          <w:sz w:val="24"/>
          <w:szCs w:val="24"/>
        </w:rPr>
        <w:t>％、「インターネット」</w:t>
      </w:r>
      <w:r w:rsidRPr="00D630B3">
        <w:rPr>
          <w:rFonts w:ascii="ＭＳ Ｐ明朝" w:eastAsia="ＭＳ Ｐ明朝" w:hAnsi="ＭＳ Ｐ明朝" w:cs="Times New Roman"/>
          <w:sz w:val="24"/>
          <w:szCs w:val="24"/>
        </w:rPr>
        <w:t>43.5</w:t>
      </w:r>
      <w:r w:rsidRPr="00D630B3">
        <w:rPr>
          <w:rFonts w:ascii="ＭＳ Ｐ明朝" w:eastAsia="ＭＳ Ｐ明朝" w:hAnsi="ＭＳ Ｐ明朝" w:cs="Times New Roman" w:hint="eastAsia"/>
          <w:sz w:val="24"/>
          <w:szCs w:val="24"/>
        </w:rPr>
        <w:t>％となっている。一方、「書籍、雑誌」、「ラジオ」と回答した人の割合はともに約</w:t>
      </w:r>
      <w:r w:rsidRPr="00D630B3">
        <w:rPr>
          <w:rFonts w:ascii="ＭＳ Ｐ明朝" w:eastAsia="ＭＳ Ｐ明朝" w:hAnsi="ＭＳ Ｐ明朝" w:cs="Times New Roman"/>
          <w:sz w:val="24"/>
          <w:szCs w:val="24"/>
        </w:rPr>
        <w:t>10</w:t>
      </w:r>
      <w:r w:rsidRPr="00D630B3">
        <w:rPr>
          <w:rFonts w:ascii="ＭＳ Ｐ明朝" w:eastAsia="ＭＳ Ｐ明朝" w:hAnsi="ＭＳ Ｐ明朝" w:cs="Times New Roman" w:hint="eastAsia"/>
          <w:sz w:val="24"/>
          <w:szCs w:val="24"/>
        </w:rPr>
        <w:t>％と、これら</w:t>
      </w:r>
      <w:r w:rsidRPr="00D630B3">
        <w:rPr>
          <w:rFonts w:ascii="ＭＳ Ｐ明朝" w:eastAsia="ＭＳ Ｐ明朝" w:hAnsi="ＭＳ Ｐ明朝" w:cs="Times New Roman"/>
          <w:sz w:val="24"/>
          <w:szCs w:val="24"/>
        </w:rPr>
        <w:t>3</w:t>
      </w:r>
      <w:r w:rsidRPr="00D630B3">
        <w:rPr>
          <w:rFonts w:ascii="ＭＳ Ｐ明朝" w:eastAsia="ＭＳ Ｐ明朝" w:hAnsi="ＭＳ Ｐ明朝" w:cs="Times New Roman" w:hint="eastAsia"/>
          <w:sz w:val="24"/>
          <w:szCs w:val="24"/>
        </w:rPr>
        <w:t>つのメディアに係る数値とは相当乖離している。</w:t>
      </w:r>
    </w:p>
    <w:p w:rsidR="00D95C6B" w:rsidRPr="00D630B3" w:rsidRDefault="00D95C6B" w:rsidP="00EF67C5">
      <w:pPr>
        <w:jc w:val="left"/>
        <w:rPr>
          <w:rFonts w:asciiTheme="majorEastAsia" w:eastAsiaTheme="majorEastAsia" w:hAnsiTheme="majorEastAsia"/>
          <w:sz w:val="24"/>
          <w:szCs w:val="24"/>
        </w:rPr>
      </w:pPr>
    </w:p>
    <w:p w:rsidR="009E7E60" w:rsidRDefault="009E7E60" w:rsidP="008C786D">
      <w:pPr>
        <w:jc w:val="left"/>
        <w:rPr>
          <w:rFonts w:asciiTheme="majorEastAsia" w:eastAsiaTheme="majorEastAsia" w:hAnsiTheme="majorEastAsia"/>
          <w:b/>
          <w:sz w:val="24"/>
          <w:szCs w:val="24"/>
        </w:rPr>
      </w:pPr>
    </w:p>
    <w:p w:rsidR="009E7E60" w:rsidRDefault="009E7E60" w:rsidP="008C786D">
      <w:pPr>
        <w:jc w:val="left"/>
        <w:rPr>
          <w:rFonts w:asciiTheme="majorEastAsia" w:eastAsiaTheme="majorEastAsia" w:hAnsiTheme="majorEastAsia"/>
          <w:b/>
          <w:sz w:val="24"/>
          <w:szCs w:val="24"/>
        </w:rPr>
      </w:pPr>
    </w:p>
    <w:p w:rsidR="006D6E86" w:rsidRDefault="006D6E86" w:rsidP="008C786D">
      <w:pPr>
        <w:jc w:val="left"/>
        <w:rPr>
          <w:rFonts w:asciiTheme="majorEastAsia" w:eastAsiaTheme="majorEastAsia" w:hAnsiTheme="majorEastAsia"/>
          <w:b/>
          <w:sz w:val="24"/>
          <w:szCs w:val="24"/>
        </w:rPr>
      </w:pPr>
    </w:p>
    <w:p w:rsidR="009E7E60" w:rsidRDefault="009E7E60" w:rsidP="008C786D">
      <w:pPr>
        <w:jc w:val="left"/>
        <w:rPr>
          <w:rFonts w:asciiTheme="majorEastAsia" w:eastAsiaTheme="majorEastAsia" w:hAnsiTheme="majorEastAsia"/>
          <w:b/>
          <w:sz w:val="24"/>
          <w:szCs w:val="24"/>
        </w:rPr>
      </w:pPr>
    </w:p>
    <w:p w:rsidR="00C1169C" w:rsidRDefault="00EF67C5" w:rsidP="008C786D">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15</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あなたの現在の</w:t>
      </w:r>
      <w:r>
        <w:rPr>
          <w:rFonts w:asciiTheme="majorEastAsia" w:eastAsiaTheme="majorEastAsia" w:hAnsiTheme="majorEastAsia" w:hint="eastAsia"/>
          <w:b/>
          <w:sz w:val="24"/>
          <w:szCs w:val="24"/>
        </w:rPr>
        <w:t>暮らし向き</w:t>
      </w:r>
      <w:r w:rsidR="00C1169C">
        <w:rPr>
          <w:rFonts w:asciiTheme="majorEastAsia" w:eastAsiaTheme="majorEastAsia" w:hAnsiTheme="majorEastAsia" w:hint="eastAsia"/>
          <w:b/>
          <w:sz w:val="24"/>
          <w:szCs w:val="24"/>
        </w:rPr>
        <w:t>は</w:t>
      </w:r>
      <w:r w:rsidRPr="00660A39">
        <w:rPr>
          <w:rFonts w:asciiTheme="majorEastAsia" w:eastAsiaTheme="majorEastAsia" w:hAnsiTheme="majorEastAsia" w:hint="eastAsia"/>
          <w:b/>
          <w:sz w:val="24"/>
          <w:szCs w:val="24"/>
        </w:rPr>
        <w:t>】</w:t>
      </w:r>
      <w:r w:rsidR="00C1169C">
        <w:rPr>
          <w:rFonts w:asciiTheme="majorEastAsia" w:eastAsiaTheme="majorEastAsia" w:hAnsiTheme="majorEastAsia" w:hint="eastAsia"/>
          <w:b/>
          <w:sz w:val="24"/>
          <w:szCs w:val="24"/>
        </w:rPr>
        <w:t xml:space="preserve">　　　</w:t>
      </w:r>
      <w:r w:rsidR="00C1169C" w:rsidRPr="00C1169C">
        <w:rPr>
          <w:rFonts w:asciiTheme="majorEastAsia" w:eastAsiaTheme="majorEastAsia" w:hAnsiTheme="majorEastAsia" w:hint="eastAsia"/>
          <w:sz w:val="24"/>
          <w:szCs w:val="24"/>
        </w:rPr>
        <w:t>（いずれか1つに○）</w:t>
      </w:r>
    </w:p>
    <w:p w:rsidR="00B674F4" w:rsidRDefault="00DF0449"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92543" behindDoc="0" locked="0" layoutInCell="1" allowOverlap="1" wp14:anchorId="245AA897" wp14:editId="45026120">
            <wp:simplePos x="0" y="0"/>
            <wp:positionH relativeFrom="column">
              <wp:posOffset>5055781</wp:posOffset>
            </wp:positionH>
            <wp:positionV relativeFrom="paragraph">
              <wp:posOffset>207334</wp:posOffset>
            </wp:positionV>
            <wp:extent cx="4061638" cy="3785191"/>
            <wp:effectExtent l="0" t="0" r="15240" b="25400"/>
            <wp:wrapNone/>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5A672A">
        <w:rPr>
          <w:rFonts w:asciiTheme="majorEastAsia" w:eastAsiaTheme="majorEastAsia" w:hAnsiTheme="majorEastAsia" w:hint="eastAsia"/>
          <w:noProof/>
        </w:rPr>
        <w:drawing>
          <wp:anchor distT="0" distB="0" distL="114300" distR="114300" simplePos="0" relativeHeight="251684351" behindDoc="0" locked="0" layoutInCell="1" allowOverlap="1" wp14:anchorId="0754F247" wp14:editId="60DF459D">
            <wp:simplePos x="0" y="0"/>
            <wp:positionH relativeFrom="column">
              <wp:posOffset>122274</wp:posOffset>
            </wp:positionH>
            <wp:positionV relativeFrom="paragraph">
              <wp:posOffset>154172</wp:posOffset>
            </wp:positionV>
            <wp:extent cx="4657061" cy="3902149"/>
            <wp:effectExtent l="0" t="0" r="10795" b="22225"/>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rsidR="00B674F4" w:rsidRDefault="006D0D5F" w:rsidP="008C786D">
      <w:pPr>
        <w:jc w:val="left"/>
        <w:rPr>
          <w:rFonts w:asciiTheme="majorEastAsia" w:eastAsiaTheme="majorEastAsia" w:hAnsiTheme="majorEastAsia"/>
        </w:rPr>
      </w:pPr>
      <w:r w:rsidRPr="006D0D5F">
        <w:rPr>
          <w:rFonts w:asciiTheme="majorEastAsia" w:eastAsiaTheme="majorEastAsia" w:hAnsiTheme="majorEastAsia" w:hint="eastAsia"/>
          <w:b/>
          <w:noProof/>
          <w:sz w:val="24"/>
          <w:szCs w:val="24"/>
        </w:rPr>
        <mc:AlternateContent>
          <mc:Choice Requires="wps">
            <w:drawing>
              <wp:anchor distT="0" distB="0" distL="114300" distR="114300" simplePos="0" relativeHeight="251773439" behindDoc="0" locked="0" layoutInCell="1" allowOverlap="1" wp14:anchorId="707E7E3C" wp14:editId="3FBDBAB5">
                <wp:simplePos x="0" y="0"/>
                <wp:positionH relativeFrom="column">
                  <wp:posOffset>5051559</wp:posOffset>
                </wp:positionH>
                <wp:positionV relativeFrom="paragraph">
                  <wp:posOffset>86995</wp:posOffset>
                </wp:positionV>
                <wp:extent cx="385445" cy="301625"/>
                <wp:effectExtent l="0" t="0" r="0" b="0"/>
                <wp:wrapNone/>
                <wp:docPr id="515" name="正方形/長方形 515"/>
                <wp:cNvGraphicFramePr/>
                <a:graphic xmlns:a="http://schemas.openxmlformats.org/drawingml/2006/main">
                  <a:graphicData uri="http://schemas.microsoft.com/office/word/2010/wordprocessingShape">
                    <wps:wsp>
                      <wps:cNvSpPr/>
                      <wps:spPr>
                        <a:xfrm>
                          <a:off x="0" y="0"/>
                          <a:ext cx="385445" cy="301625"/>
                        </a:xfrm>
                        <a:prstGeom prst="rect">
                          <a:avLst/>
                        </a:prstGeom>
                        <a:noFill/>
                        <a:ln w="25400" cap="flat" cmpd="sng" algn="ctr">
                          <a:noFill/>
                          <a:prstDash val="solid"/>
                        </a:ln>
                        <a:effectLst/>
                      </wps:spPr>
                      <wps:txb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5" o:spid="_x0000_s1054" style="position:absolute;margin-left:397.75pt;margin-top:6.85pt;width:30.35pt;height:23.75pt;z-index:251773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" filled="f" stroked="f" strokeweight="2pt">
                <v:textbox>
                  <w:txbxContent>
                    <w:p w:rsidR="006D0D5F" w:rsidRPr="00FE7639" w:rsidRDefault="006D0D5F" w:rsidP="006D0D5F">
                      <w:pPr>
                        <w:jc w:val="center"/>
                        <w:rPr>
                          <w:sz w:val="18"/>
                          <w:szCs w:val="18"/>
                        </w:rPr>
                      </w:pPr>
                      <w:r>
                        <w:rPr>
                          <w:rFonts w:hint="eastAsia"/>
                          <w:sz w:val="18"/>
                          <w:szCs w:val="18"/>
                        </w:rPr>
                        <w:t>(</w:t>
                      </w:r>
                      <w:r w:rsidRPr="00FE7639">
                        <w:rPr>
                          <w:rFonts w:hint="eastAsia"/>
                          <w:sz w:val="18"/>
                          <w:szCs w:val="18"/>
                        </w:rPr>
                        <w:t>%</w:t>
                      </w:r>
                      <w:r>
                        <w:rPr>
                          <w:rFonts w:hint="eastAsia"/>
                          <w:sz w:val="18"/>
                          <w:szCs w:val="18"/>
                        </w:rPr>
                        <w:t>)</w:t>
                      </w:r>
                    </w:p>
                  </w:txbxContent>
                </v:textbox>
              </v:rect>
            </w:pict>
          </mc:Fallback>
        </mc:AlternateContent>
      </w: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B674F4" w:rsidRDefault="00B674F4"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D95C6B" w:rsidRDefault="00D95C6B" w:rsidP="00BB619C">
      <w:pPr>
        <w:ind w:right="1470"/>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95C6B" w:rsidRDefault="00D95C6B" w:rsidP="008C786D">
      <w:pPr>
        <w:jc w:val="left"/>
        <w:rPr>
          <w:rFonts w:asciiTheme="majorEastAsia" w:eastAsiaTheme="majorEastAsia" w:hAnsiTheme="majorEastAsia"/>
        </w:rPr>
      </w:pPr>
    </w:p>
    <w:p w:rsidR="00D630B3" w:rsidRPr="00D630B3" w:rsidRDefault="00D630B3" w:rsidP="00D630B3">
      <w:pPr>
        <w:ind w:leftChars="200" w:left="420" w:firstLineChars="100" w:firstLine="240"/>
        <w:rPr>
          <w:rFonts w:ascii="ＭＳ Ｐ明朝" w:eastAsia="ＭＳ Ｐ明朝" w:hAnsi="ＭＳ Ｐ明朝" w:cs="Times New Roman"/>
          <w:sz w:val="24"/>
          <w:szCs w:val="24"/>
        </w:rPr>
      </w:pPr>
      <w:r w:rsidRPr="00D630B3">
        <w:rPr>
          <w:rFonts w:ascii="ＭＳ Ｐ明朝" w:eastAsia="ＭＳ Ｐ明朝" w:hAnsi="ＭＳ Ｐ明朝" w:cs="Times New Roman" w:hint="eastAsia"/>
          <w:sz w:val="24"/>
          <w:szCs w:val="24"/>
        </w:rPr>
        <w:t>「普通」と回答した人の割合が</w:t>
      </w:r>
      <w:r w:rsidRPr="00D630B3">
        <w:rPr>
          <w:rFonts w:ascii="ＭＳ Ｐ明朝" w:eastAsia="ＭＳ Ｐ明朝" w:hAnsi="ＭＳ Ｐ明朝" w:cs="Times New Roman"/>
          <w:sz w:val="24"/>
          <w:szCs w:val="24"/>
        </w:rPr>
        <w:t>53.5</w:t>
      </w:r>
      <w:r w:rsidRPr="00D630B3">
        <w:rPr>
          <w:rFonts w:ascii="ＭＳ Ｐ明朝" w:eastAsia="ＭＳ Ｐ明朝" w:hAnsi="ＭＳ Ｐ明朝" w:cs="Times New Roman" w:hint="eastAsia"/>
          <w:sz w:val="24"/>
          <w:szCs w:val="24"/>
        </w:rPr>
        <w:t>％と過半を占め、「良い」又は「やや良い」（≒良い）が</w:t>
      </w:r>
      <w:r w:rsidRPr="00D630B3">
        <w:rPr>
          <w:rFonts w:ascii="ＭＳ Ｐ明朝" w:eastAsia="ＭＳ Ｐ明朝" w:hAnsi="ＭＳ Ｐ明朝" w:cs="Times New Roman"/>
          <w:sz w:val="24"/>
          <w:szCs w:val="24"/>
        </w:rPr>
        <w:t>30.1</w:t>
      </w:r>
      <w:r w:rsidRPr="00D630B3">
        <w:rPr>
          <w:rFonts w:ascii="ＭＳ Ｐ明朝" w:eastAsia="ＭＳ Ｐ明朝" w:hAnsi="ＭＳ Ｐ明朝" w:cs="Times New Roman" w:hint="eastAsia"/>
          <w:sz w:val="24"/>
          <w:szCs w:val="24"/>
        </w:rPr>
        <w:t>％、「やや悪い」又は「悪い」（≒悪い）が</w:t>
      </w:r>
      <w:r w:rsidRPr="00D630B3">
        <w:rPr>
          <w:rFonts w:ascii="ＭＳ Ｐ明朝" w:eastAsia="ＭＳ Ｐ明朝" w:hAnsi="ＭＳ Ｐ明朝" w:cs="Times New Roman"/>
          <w:sz w:val="24"/>
          <w:szCs w:val="24"/>
        </w:rPr>
        <w:t>14.8</w:t>
      </w:r>
      <w:r w:rsidRPr="00D630B3">
        <w:rPr>
          <w:rFonts w:ascii="ＭＳ Ｐ明朝" w:eastAsia="ＭＳ Ｐ明朝" w:hAnsi="ＭＳ Ｐ明朝" w:cs="Times New Roman" w:hint="eastAsia"/>
          <w:sz w:val="24"/>
          <w:szCs w:val="24"/>
        </w:rPr>
        <w:t>％となっている。</w:t>
      </w:r>
    </w:p>
    <w:p w:rsidR="00D630B3" w:rsidRPr="00D630B3" w:rsidRDefault="00D630B3" w:rsidP="00D630B3">
      <w:pPr>
        <w:ind w:leftChars="200" w:left="420" w:firstLineChars="100" w:firstLine="240"/>
        <w:rPr>
          <w:rFonts w:ascii="ＭＳ Ｐ明朝" w:eastAsia="ＭＳ Ｐ明朝" w:hAnsi="ＭＳ Ｐ明朝" w:cs="Times New Roman"/>
          <w:sz w:val="24"/>
          <w:szCs w:val="24"/>
        </w:rPr>
      </w:pPr>
      <w:r w:rsidRPr="00D630B3">
        <w:rPr>
          <w:rFonts w:ascii="ＭＳ Ｐ明朝" w:eastAsia="ＭＳ Ｐ明朝" w:hAnsi="ＭＳ Ｐ明朝" w:cs="Times New Roman" w:hint="eastAsia"/>
          <w:sz w:val="24"/>
          <w:szCs w:val="24"/>
        </w:rPr>
        <w:t>平成</w:t>
      </w:r>
      <w:r w:rsidRPr="00D630B3">
        <w:rPr>
          <w:rFonts w:ascii="ＭＳ Ｐ明朝" w:eastAsia="ＭＳ Ｐ明朝" w:hAnsi="ＭＳ Ｐ明朝" w:cs="Times New Roman"/>
          <w:sz w:val="24"/>
          <w:szCs w:val="24"/>
        </w:rPr>
        <w:t>22</w:t>
      </w:r>
      <w:r w:rsidRPr="00D630B3">
        <w:rPr>
          <w:rFonts w:ascii="ＭＳ Ｐ明朝" w:eastAsia="ＭＳ Ｐ明朝" w:hAnsi="ＭＳ Ｐ明朝" w:cs="Times New Roman" w:hint="eastAsia"/>
          <w:sz w:val="24"/>
          <w:szCs w:val="24"/>
        </w:rPr>
        <w:t>年調査と比較すると、「良い」が</w:t>
      </w:r>
      <w:r w:rsidRPr="00D630B3">
        <w:rPr>
          <w:rFonts w:ascii="ＭＳ Ｐ明朝" w:eastAsia="ＭＳ Ｐ明朝" w:hAnsi="ＭＳ Ｐ明朝" w:cs="Times New Roman"/>
          <w:sz w:val="24"/>
          <w:szCs w:val="24"/>
        </w:rPr>
        <w:t>7.8</w:t>
      </w:r>
      <w:r w:rsidRPr="00D630B3">
        <w:rPr>
          <w:rFonts w:ascii="ＭＳ Ｐ明朝" w:eastAsia="ＭＳ Ｐ明朝" w:hAnsi="ＭＳ Ｐ明朝" w:cs="Times New Roman" w:hint="eastAsia"/>
          <w:sz w:val="24"/>
          <w:szCs w:val="24"/>
        </w:rPr>
        <w:t>ポイント高く、「やや悪い」又は「悪い」（≒悪い）が</w:t>
      </w:r>
      <w:r w:rsidRPr="00D630B3">
        <w:rPr>
          <w:rFonts w:ascii="ＭＳ Ｐ明朝" w:eastAsia="ＭＳ Ｐ明朝" w:hAnsi="ＭＳ Ｐ明朝" w:cs="Times New Roman"/>
          <w:sz w:val="24"/>
          <w:szCs w:val="24"/>
        </w:rPr>
        <w:t>8.5</w:t>
      </w:r>
      <w:r w:rsidRPr="00D630B3">
        <w:rPr>
          <w:rFonts w:ascii="ＭＳ Ｐ明朝" w:eastAsia="ＭＳ Ｐ明朝" w:hAnsi="ＭＳ Ｐ明朝" w:cs="Times New Roman" w:hint="eastAsia"/>
          <w:sz w:val="24"/>
          <w:szCs w:val="24"/>
        </w:rPr>
        <w:t>ポイント低くなっている。</w:t>
      </w:r>
    </w:p>
    <w:p w:rsidR="00D95C6B" w:rsidRPr="00D630B3" w:rsidRDefault="00D95C6B" w:rsidP="008C786D">
      <w:pPr>
        <w:jc w:val="left"/>
        <w:rPr>
          <w:rFonts w:ascii="ＭＳ Ｐ明朝" w:eastAsia="ＭＳ Ｐ明朝" w:hAnsi="ＭＳ Ｐ明朝"/>
          <w:sz w:val="24"/>
          <w:szCs w:val="24"/>
        </w:rPr>
      </w:pPr>
    </w:p>
    <w:p w:rsidR="00D95C6B" w:rsidRDefault="00D95C6B" w:rsidP="008C786D">
      <w:pPr>
        <w:jc w:val="left"/>
        <w:rPr>
          <w:rFonts w:asciiTheme="majorEastAsia" w:eastAsiaTheme="majorEastAsia" w:hAnsiTheme="majorEastAsia"/>
        </w:rPr>
      </w:pPr>
    </w:p>
    <w:p w:rsidR="00D95C6B" w:rsidRDefault="000654D6" w:rsidP="008C786D">
      <w:pPr>
        <w:jc w:val="left"/>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92895" behindDoc="0" locked="0" layoutInCell="1" allowOverlap="1" wp14:anchorId="51077DD5" wp14:editId="277342D3">
                <wp:simplePos x="0" y="0"/>
                <wp:positionH relativeFrom="column">
                  <wp:posOffset>8383905</wp:posOffset>
                </wp:positionH>
                <wp:positionV relativeFrom="paragraph">
                  <wp:posOffset>274821</wp:posOffset>
                </wp:positionV>
                <wp:extent cx="939165" cy="570230"/>
                <wp:effectExtent l="0" t="0" r="13335" b="20320"/>
                <wp:wrapNone/>
                <wp:docPr id="72" name="正方形/長方形 72"/>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2" o:spid="_x0000_s1063" style="position:absolute;margin-left:660.15pt;margin-top:21.65pt;width:73.95pt;height:44.9pt;z-index:251792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" fillcolor="window" strokecolor="#f79646" strokeweight="2pt">
                <v:textbo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９</w:t>
                      </w:r>
                    </w:p>
                  </w:txbxContent>
                </v:textbox>
              </v:rect>
            </w:pict>
          </mc:Fallback>
        </mc:AlternateContent>
      </w:r>
    </w:p>
    <w:p w:rsidR="00D95C6B" w:rsidRDefault="00D95C6B" w:rsidP="008C786D">
      <w:pPr>
        <w:jc w:val="left"/>
        <w:rPr>
          <w:rFonts w:asciiTheme="majorEastAsia" w:eastAsiaTheme="majorEastAsia" w:hAnsiTheme="majorEastAsia"/>
        </w:rPr>
      </w:pPr>
    </w:p>
    <w:p w:rsidR="00EF67C5" w:rsidRDefault="00EF67C5" w:rsidP="009E7E60">
      <w:pPr>
        <w:jc w:val="left"/>
        <w:rPr>
          <w:rFonts w:asciiTheme="majorEastAsia" w:eastAsiaTheme="majorEastAsia" w:hAnsiTheme="majorEastAsia"/>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16</w:t>
      </w:r>
      <w:r w:rsidRPr="00660A39">
        <w:rPr>
          <w:rFonts w:asciiTheme="majorEastAsia" w:eastAsiaTheme="majorEastAsia" w:hAnsiTheme="majorEastAsia" w:hint="eastAsia"/>
          <w:b/>
          <w:sz w:val="24"/>
          <w:szCs w:val="24"/>
        </w:rPr>
        <w:t>．</w:t>
      </w:r>
      <w:r w:rsidR="00BB619C">
        <w:rPr>
          <w:rFonts w:asciiTheme="majorEastAsia" w:eastAsiaTheme="majorEastAsia" w:hAnsiTheme="majorEastAsia" w:hint="eastAsia"/>
          <w:b/>
          <w:sz w:val="24"/>
          <w:szCs w:val="24"/>
        </w:rPr>
        <w:t>あなたは自治会・マンション管理組合や子ども会などの</w:t>
      </w:r>
      <w:r>
        <w:rPr>
          <w:rFonts w:asciiTheme="majorEastAsia" w:eastAsiaTheme="majorEastAsia" w:hAnsiTheme="majorEastAsia" w:hint="eastAsia"/>
          <w:b/>
          <w:sz w:val="24"/>
          <w:szCs w:val="24"/>
        </w:rPr>
        <w:t>地域</w:t>
      </w:r>
      <w:r w:rsidR="00BB619C">
        <w:rPr>
          <w:rFonts w:asciiTheme="majorEastAsia" w:eastAsiaTheme="majorEastAsia" w:hAnsiTheme="majorEastAsia" w:hint="eastAsia"/>
          <w:b/>
          <w:sz w:val="24"/>
          <w:szCs w:val="24"/>
        </w:rPr>
        <w:t>の活動に</w:t>
      </w:r>
      <w:r>
        <w:rPr>
          <w:rFonts w:asciiTheme="majorEastAsia" w:eastAsiaTheme="majorEastAsia" w:hAnsiTheme="majorEastAsia" w:hint="eastAsia"/>
          <w:b/>
          <w:sz w:val="24"/>
          <w:szCs w:val="24"/>
        </w:rPr>
        <w:t>参加</w:t>
      </w:r>
      <w:r w:rsidR="00BB619C">
        <w:rPr>
          <w:rFonts w:asciiTheme="majorEastAsia" w:eastAsiaTheme="majorEastAsia" w:hAnsiTheme="majorEastAsia" w:hint="eastAsia"/>
          <w:b/>
          <w:sz w:val="24"/>
          <w:szCs w:val="24"/>
        </w:rPr>
        <w:t>しますか</w:t>
      </w:r>
      <w:r w:rsidRPr="00660A39">
        <w:rPr>
          <w:rFonts w:asciiTheme="majorEastAsia" w:eastAsiaTheme="majorEastAsia" w:hAnsiTheme="majorEastAsia" w:hint="eastAsia"/>
          <w:b/>
          <w:sz w:val="24"/>
          <w:szCs w:val="24"/>
        </w:rPr>
        <w:t>】</w:t>
      </w:r>
      <w:r w:rsidR="00BB619C">
        <w:rPr>
          <w:rFonts w:asciiTheme="majorEastAsia" w:eastAsiaTheme="majorEastAsia" w:hAnsiTheme="majorEastAsia" w:hint="eastAsia"/>
        </w:rPr>
        <w:t>（いずれか1つに○）</w:t>
      </w:r>
    </w:p>
    <w:p w:rsidR="009E7E60" w:rsidRPr="009E7E60" w:rsidRDefault="009E7E60" w:rsidP="009E7E60">
      <w:pPr>
        <w:jc w:val="left"/>
        <w:rPr>
          <w:rFonts w:asciiTheme="majorEastAsia" w:eastAsiaTheme="majorEastAsia" w:hAnsiTheme="majorEastAsia"/>
        </w:rPr>
      </w:pPr>
    </w:p>
    <w:p w:rsidR="00EF67C5" w:rsidRDefault="005A672A" w:rsidP="008C786D">
      <w:pPr>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85375" behindDoc="0" locked="0" layoutInCell="1" allowOverlap="1" wp14:anchorId="0A7305BF" wp14:editId="79B019D2">
            <wp:simplePos x="0" y="0"/>
            <wp:positionH relativeFrom="column">
              <wp:posOffset>1374280</wp:posOffset>
            </wp:positionH>
            <wp:positionV relativeFrom="paragraph">
              <wp:posOffset>31750</wp:posOffset>
            </wp:positionV>
            <wp:extent cx="5847907" cy="4316818"/>
            <wp:effectExtent l="0" t="0" r="19685" b="2667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EF67C5" w:rsidRDefault="00EF67C5" w:rsidP="008C786D">
      <w:pPr>
        <w:jc w:val="left"/>
        <w:rPr>
          <w:rFonts w:asciiTheme="majorEastAsia" w:eastAsiaTheme="majorEastAsia" w:hAnsiTheme="majorEastAsia"/>
        </w:rPr>
      </w:pPr>
    </w:p>
    <w:p w:rsidR="00EF67C5" w:rsidRDefault="00EF67C5"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Default="00622C7C" w:rsidP="00BB619C">
      <w:pPr>
        <w:ind w:right="1470"/>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622C7C" w:rsidRPr="00D95C6B" w:rsidRDefault="00622C7C" w:rsidP="008C786D">
      <w:pPr>
        <w:jc w:val="left"/>
        <w:rPr>
          <w:rFonts w:asciiTheme="majorEastAsia" w:eastAsiaTheme="majorEastAsia" w:hAnsiTheme="majorEastAsia"/>
        </w:rPr>
      </w:pPr>
    </w:p>
    <w:p w:rsidR="009E7E60" w:rsidRPr="009E7E60" w:rsidRDefault="009E7E60" w:rsidP="009E7E60">
      <w:pPr>
        <w:ind w:leftChars="200" w:left="420" w:firstLineChars="100" w:firstLine="240"/>
        <w:rPr>
          <w:rFonts w:ascii="ＭＳ Ｐ明朝" w:eastAsia="ＭＳ Ｐ明朝" w:hAnsi="ＭＳ Ｐ明朝" w:cs="Times New Roman"/>
          <w:sz w:val="24"/>
          <w:szCs w:val="24"/>
        </w:rPr>
      </w:pPr>
      <w:r w:rsidRPr="009E7E60">
        <w:rPr>
          <w:rFonts w:ascii="ＭＳ Ｐ明朝" w:eastAsia="ＭＳ Ｐ明朝" w:hAnsi="ＭＳ Ｐ明朝" w:cs="Times New Roman" w:hint="eastAsia"/>
          <w:sz w:val="24"/>
          <w:szCs w:val="24"/>
        </w:rPr>
        <w:t>「できるだけ参加する」、「関心のあるものには参加する」又は「誘われれば参加する」と回答した人（≒参加する）の割合は</w:t>
      </w:r>
      <w:r w:rsidRPr="009E7E60">
        <w:rPr>
          <w:rFonts w:ascii="ＭＳ Ｐ明朝" w:eastAsia="ＭＳ Ｐ明朝" w:hAnsi="ＭＳ Ｐ明朝" w:cs="Times New Roman"/>
          <w:sz w:val="24"/>
          <w:szCs w:val="24"/>
        </w:rPr>
        <w:t>47.9</w:t>
      </w:r>
      <w:r w:rsidRPr="009E7E60">
        <w:rPr>
          <w:rFonts w:ascii="ＭＳ Ｐ明朝" w:eastAsia="ＭＳ Ｐ明朝" w:hAnsi="ＭＳ Ｐ明朝" w:cs="Times New Roman" w:hint="eastAsia"/>
          <w:sz w:val="24"/>
          <w:szCs w:val="24"/>
        </w:rPr>
        <w:t>％、「当番の仕事はするが、それ以外はあまり（ほとんど）参加しない」又は「参加しない」（≒参加しない）は</w:t>
      </w:r>
      <w:r w:rsidRPr="009E7E60">
        <w:rPr>
          <w:rFonts w:ascii="ＭＳ Ｐ明朝" w:eastAsia="ＭＳ Ｐ明朝" w:hAnsi="ＭＳ Ｐ明朝" w:cs="Times New Roman"/>
          <w:sz w:val="24"/>
          <w:szCs w:val="24"/>
        </w:rPr>
        <w:t>51.0</w:t>
      </w:r>
      <w:r w:rsidRPr="009E7E60">
        <w:rPr>
          <w:rFonts w:ascii="ＭＳ Ｐ明朝" w:eastAsia="ＭＳ Ｐ明朝" w:hAnsi="ＭＳ Ｐ明朝" w:cs="Times New Roman" w:hint="eastAsia"/>
          <w:sz w:val="24"/>
          <w:szCs w:val="24"/>
        </w:rPr>
        <w:t>％となっている。</w:t>
      </w:r>
      <w:r w:rsidRPr="009E7E60">
        <w:rPr>
          <w:rFonts w:ascii="ＭＳ Ｐ明朝" w:eastAsia="ＭＳ Ｐ明朝" w:hAnsi="ＭＳ Ｐ明朝" w:cs="Times New Roman"/>
          <w:sz w:val="24"/>
          <w:szCs w:val="24"/>
        </w:rPr>
        <w:t xml:space="preserve"> </w:t>
      </w:r>
    </w:p>
    <w:p w:rsidR="009E7E60" w:rsidRPr="009E7E60" w:rsidRDefault="009E7E60" w:rsidP="009E7E60">
      <w:pPr>
        <w:ind w:leftChars="200" w:left="420" w:firstLineChars="100" w:firstLine="240"/>
        <w:rPr>
          <w:rFonts w:ascii="ＭＳ Ｐ明朝" w:eastAsia="ＭＳ Ｐ明朝" w:hAnsi="ＭＳ Ｐ明朝" w:cs="Times New Roman"/>
          <w:sz w:val="24"/>
          <w:szCs w:val="24"/>
        </w:rPr>
      </w:pPr>
      <w:r w:rsidRPr="009E7E60">
        <w:rPr>
          <w:rFonts w:ascii="ＭＳ Ｐ明朝" w:eastAsia="ＭＳ Ｐ明朝" w:hAnsi="ＭＳ Ｐ明朝" w:cs="Times New Roman" w:hint="eastAsia"/>
          <w:sz w:val="24"/>
          <w:szCs w:val="24"/>
        </w:rPr>
        <w:t>また、「参加しない」</w:t>
      </w:r>
      <w:r w:rsidRPr="009E7E60">
        <w:rPr>
          <w:rFonts w:ascii="ＭＳ Ｐ明朝" w:eastAsia="ＭＳ Ｐ明朝" w:hAnsi="ＭＳ Ｐ明朝" w:cs="Times New Roman"/>
          <w:sz w:val="24"/>
          <w:szCs w:val="24"/>
        </w:rPr>
        <w:t>19.9</w:t>
      </w:r>
      <w:r w:rsidRPr="009E7E60">
        <w:rPr>
          <w:rFonts w:ascii="ＭＳ Ｐ明朝" w:eastAsia="ＭＳ Ｐ明朝" w:hAnsi="ＭＳ Ｐ明朝" w:cs="Times New Roman" w:hint="eastAsia"/>
          <w:sz w:val="24"/>
          <w:szCs w:val="24"/>
        </w:rPr>
        <w:t>％は、（≒参加する）の中の最高値の「できるだけ参加する」</w:t>
      </w:r>
      <w:r w:rsidRPr="009E7E60">
        <w:rPr>
          <w:rFonts w:ascii="ＭＳ Ｐ明朝" w:eastAsia="ＭＳ Ｐ明朝" w:hAnsi="ＭＳ Ｐ明朝" w:cs="Times New Roman"/>
          <w:sz w:val="24"/>
          <w:szCs w:val="24"/>
        </w:rPr>
        <w:t>17.7</w:t>
      </w:r>
      <w:r w:rsidRPr="009E7E60">
        <w:rPr>
          <w:rFonts w:ascii="ＭＳ Ｐ明朝" w:eastAsia="ＭＳ Ｐ明朝" w:hAnsi="ＭＳ Ｐ明朝" w:cs="Times New Roman" w:hint="eastAsia"/>
          <w:sz w:val="24"/>
          <w:szCs w:val="24"/>
        </w:rPr>
        <w:t>％を2</w:t>
      </w:r>
      <w:r w:rsidRPr="009E7E60">
        <w:rPr>
          <w:rFonts w:ascii="ＭＳ Ｐ明朝" w:eastAsia="ＭＳ Ｐ明朝" w:hAnsi="ＭＳ Ｐ明朝" w:cs="Times New Roman"/>
          <w:sz w:val="24"/>
          <w:szCs w:val="24"/>
        </w:rPr>
        <w:t>.</w:t>
      </w:r>
      <w:r w:rsidRPr="009E7E60">
        <w:rPr>
          <w:rFonts w:ascii="ＭＳ Ｐ明朝" w:eastAsia="ＭＳ Ｐ明朝" w:hAnsi="ＭＳ Ｐ明朝" w:cs="Times New Roman" w:hint="eastAsia"/>
          <w:sz w:val="24"/>
          <w:szCs w:val="24"/>
        </w:rPr>
        <w:t>2ポイント上回っている。</w:t>
      </w:r>
    </w:p>
    <w:p w:rsidR="00622C7C" w:rsidRPr="009E7E60" w:rsidRDefault="00622C7C" w:rsidP="008C786D">
      <w:pPr>
        <w:jc w:val="left"/>
        <w:rPr>
          <w:rFonts w:asciiTheme="majorEastAsia" w:eastAsiaTheme="majorEastAsia" w:hAnsiTheme="majorEastAsia"/>
        </w:rPr>
      </w:pPr>
    </w:p>
    <w:p w:rsidR="00622C7C" w:rsidRDefault="00622C7C" w:rsidP="008C786D">
      <w:pPr>
        <w:jc w:val="left"/>
        <w:rPr>
          <w:rFonts w:asciiTheme="majorEastAsia" w:eastAsiaTheme="majorEastAsia" w:hAnsiTheme="majorEastAsia"/>
        </w:rPr>
      </w:pPr>
    </w:p>
    <w:p w:rsidR="00E411D6" w:rsidRDefault="003D7696" w:rsidP="008C786D">
      <w:pPr>
        <w:jc w:val="left"/>
        <w:rPr>
          <w:rFonts w:asciiTheme="majorEastAsia" w:eastAsiaTheme="majorEastAsia" w:hAnsiTheme="majorEastAsia"/>
          <w:b/>
          <w:sz w:val="24"/>
          <w:szCs w:val="24"/>
        </w:rPr>
      </w:pPr>
      <w:r w:rsidRPr="00660A39">
        <w:rPr>
          <w:rFonts w:asciiTheme="majorEastAsia" w:eastAsiaTheme="majorEastAsia" w:hAnsiTheme="majorEastAsia" w:hint="eastAsia"/>
          <w:b/>
          <w:sz w:val="24"/>
          <w:szCs w:val="24"/>
        </w:rPr>
        <w:t>【問</w:t>
      </w:r>
      <w:r>
        <w:rPr>
          <w:rFonts w:asciiTheme="majorEastAsia" w:eastAsiaTheme="majorEastAsia" w:hAnsiTheme="majorEastAsia" w:hint="eastAsia"/>
          <w:b/>
          <w:sz w:val="24"/>
          <w:szCs w:val="24"/>
        </w:rPr>
        <w:t>17.人権問題や今後の人権教育・啓発についての意見・要望など</w:t>
      </w:r>
      <w:r w:rsidRPr="00660A39">
        <w:rPr>
          <w:rFonts w:asciiTheme="majorEastAsia" w:eastAsiaTheme="majorEastAsia" w:hAnsiTheme="majorEastAsia" w:hint="eastAsia"/>
          <w:b/>
          <w:sz w:val="24"/>
          <w:szCs w:val="24"/>
        </w:rPr>
        <w:t>】</w:t>
      </w:r>
    </w:p>
    <w:p w:rsidR="009E7E60" w:rsidRDefault="009E7E60" w:rsidP="008C786D">
      <w:pPr>
        <w:jc w:val="left"/>
        <w:rPr>
          <w:rFonts w:asciiTheme="majorEastAsia" w:eastAsiaTheme="majorEastAsia" w:hAnsiTheme="majorEastAsia"/>
          <w:b/>
          <w:sz w:val="24"/>
          <w:szCs w:val="24"/>
        </w:rPr>
      </w:pPr>
    </w:p>
    <w:p w:rsidR="009E7E60" w:rsidRPr="009E7E60" w:rsidRDefault="009E7E60" w:rsidP="009E7E60">
      <w:pPr>
        <w:tabs>
          <w:tab w:val="right" w:leader="middleDot" w:pos="7560"/>
        </w:tabs>
        <w:ind w:leftChars="552" w:left="1399" w:hangingChars="100" w:hanging="240"/>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●正しい知識の普及が必要。子どもや企業、職員への</w:t>
      </w:r>
      <w:r w:rsidRPr="009E7E60">
        <w:rPr>
          <w:rFonts w:ascii="ＭＳ Ｐゴシック" w:eastAsia="ＭＳ Ｐゴシック" w:hAnsi="ＭＳ Ｐゴシック" w:cs="Times New Roman"/>
          <w:sz w:val="24"/>
          <w:szCs w:val="24"/>
        </w:rPr>
        <w:br/>
      </w:r>
      <w:r w:rsidRPr="009E7E60">
        <w:rPr>
          <w:rFonts w:ascii="ＭＳ Ｐゴシック" w:eastAsia="ＭＳ Ｐゴシック" w:hAnsi="ＭＳ Ｐゴシック" w:cs="Times New Roman" w:hint="eastAsia"/>
          <w:sz w:val="24"/>
          <w:szCs w:val="24"/>
        </w:rPr>
        <w:t>人権教育に力を入れるべき。</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54件</w:t>
      </w:r>
    </w:p>
    <w:p w:rsidR="009E7E60" w:rsidRPr="009E7E60" w:rsidRDefault="009E7E60" w:rsidP="009E7E60">
      <w:pPr>
        <w:tabs>
          <w:tab w:val="right" w:leader="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●行政による支援が必要。</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 xml:space="preserve">　　国や地方自治体が主体となって啓発すべき。</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36件</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●社会として努力・改善が必要。</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27件</w:t>
      </w:r>
    </w:p>
    <w:p w:rsidR="009E7E60" w:rsidRPr="009E7E60" w:rsidRDefault="009E7E60" w:rsidP="009E7E60">
      <w:pPr>
        <w:tabs>
          <w:tab w:val="right" w:leader="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●大きく取り上げ過ぎ。</w:t>
      </w:r>
    </w:p>
    <w:p w:rsidR="009E7E60" w:rsidRPr="009E7E60" w:rsidRDefault="009E7E60" w:rsidP="009E7E60">
      <w:pPr>
        <w:tabs>
          <w:tab w:val="right" w:leader="middleDot" w:pos="7560"/>
          <w:tab w:val="right" w:leader="dot" w:pos="7655"/>
        </w:tabs>
        <w:ind w:leftChars="295" w:left="619" w:firstLineChars="357" w:firstLine="85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何でも「人権」「差別」と騒がない。</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16件</w:t>
      </w:r>
    </w:p>
    <w:p w:rsidR="009E7E60" w:rsidRPr="009E7E60" w:rsidRDefault="009E7E60" w:rsidP="009E7E60">
      <w:pPr>
        <w:tabs>
          <w:tab w:val="right" w:leader="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●人権問題に関する特権が多く、逆差別になっている。</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 xml:space="preserve">　優遇や行き過ぎた支援が問題を大きくしている。</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13件</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●相談窓口を充実させる。</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11件</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●個人の意識や関心が重要。</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9件</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●差別をなくして平等にしてほしい。</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9件</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●人権問題についての知識がない、分からない。</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6件</w:t>
      </w:r>
    </w:p>
    <w:p w:rsidR="009E7E60" w:rsidRPr="009E7E60" w:rsidRDefault="009E7E60" w:rsidP="009E7E60">
      <w:pPr>
        <w:tabs>
          <w:tab w:val="right" w:leader="middleDot" w:pos="7560"/>
        </w:tabs>
        <w:ind w:leftChars="295" w:left="619" w:firstLineChars="257" w:firstLine="617"/>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●その他</w:t>
      </w:r>
      <w:r w:rsidRPr="009E7E60">
        <w:rPr>
          <w:rFonts w:ascii="ＭＳ Ｐゴシック" w:eastAsia="ＭＳ Ｐゴシック" w:hAnsi="ＭＳ Ｐゴシック" w:cs="Times New Roman"/>
          <w:sz w:val="24"/>
          <w:szCs w:val="24"/>
        </w:rPr>
        <w:tab/>
      </w:r>
      <w:r w:rsidRPr="009E7E60">
        <w:rPr>
          <w:rFonts w:ascii="ＭＳ Ｐゴシック" w:eastAsia="ＭＳ Ｐゴシック" w:hAnsi="ＭＳ Ｐゴシック" w:cs="Times New Roman" w:hint="eastAsia"/>
          <w:sz w:val="24"/>
          <w:szCs w:val="24"/>
        </w:rPr>
        <w:t>90件</w:t>
      </w:r>
    </w:p>
    <w:p w:rsidR="009E7E60" w:rsidRPr="009E7E60" w:rsidRDefault="009E7E60" w:rsidP="009E7E60">
      <w:pPr>
        <w:tabs>
          <w:tab w:val="right" w:leader="dot" w:pos="7560"/>
        </w:tabs>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9E7E60">
        <w:rPr>
          <w:rFonts w:ascii="ＭＳ Ｐゴシック" w:eastAsia="ＭＳ Ｐゴシック" w:hAnsi="ＭＳ Ｐゴシック" w:cs="Times New Roman" w:hint="eastAsia"/>
          <w:strike/>
          <w:sz w:val="24"/>
          <w:szCs w:val="24"/>
        </w:rPr>
        <w:t xml:space="preserve">　　　　　　　　　　　　　　　　　　　　　　　　　　　　　　　　　　　　　　　　　　　　　　　　　　</w:t>
      </w:r>
    </w:p>
    <w:p w:rsidR="009E7E60" w:rsidRDefault="009E7E60"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r w:rsidRPr="009E7E60">
        <w:rPr>
          <w:rFonts w:ascii="ＭＳ Ｐゴシック" w:eastAsia="ＭＳ Ｐゴシック" w:hAnsi="ＭＳ Ｐゴシック" w:cs="Times New Roman" w:hint="eastAsia"/>
          <w:sz w:val="24"/>
          <w:szCs w:val="24"/>
        </w:rPr>
        <w:t>府政、行政全般に関する意見</w:t>
      </w:r>
      <w:r w:rsidRPr="009E7E60">
        <w:rPr>
          <w:rFonts w:ascii="ＭＳ Ｐゴシック" w:eastAsia="ＭＳ Ｐゴシック" w:hAnsi="ＭＳ Ｐゴシック" w:cs="Times New Roman"/>
          <w:sz w:val="24"/>
          <w:szCs w:val="24"/>
        </w:rPr>
        <w:tab/>
        <w:t>40</w:t>
      </w:r>
      <w:r w:rsidRPr="009E7E60">
        <w:rPr>
          <w:rFonts w:ascii="ＭＳ Ｐゴシック" w:eastAsia="ＭＳ Ｐゴシック" w:hAnsi="ＭＳ Ｐゴシック" w:cs="Times New Roman" w:hint="eastAsia"/>
          <w:sz w:val="24"/>
          <w:szCs w:val="24"/>
        </w:rPr>
        <w:t>件</w:t>
      </w: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p w:rsidR="000654D6"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94943" behindDoc="0" locked="0" layoutInCell="1" allowOverlap="1" wp14:anchorId="5F68A1D6" wp14:editId="4C1572EC">
                <wp:simplePos x="0" y="0"/>
                <wp:positionH relativeFrom="column">
                  <wp:posOffset>-9525</wp:posOffset>
                </wp:positionH>
                <wp:positionV relativeFrom="paragraph">
                  <wp:posOffset>285616</wp:posOffset>
                </wp:positionV>
                <wp:extent cx="939165" cy="570230"/>
                <wp:effectExtent l="0" t="0" r="13335" b="20320"/>
                <wp:wrapNone/>
                <wp:docPr id="73" name="正方形/長方形 73"/>
                <wp:cNvGraphicFramePr/>
                <a:graphic xmlns:a="http://schemas.openxmlformats.org/drawingml/2006/main">
                  <a:graphicData uri="http://schemas.microsoft.com/office/word/2010/wordprocessingShape">
                    <wps:wsp>
                      <wps:cNvSpPr/>
                      <wps:spPr>
                        <a:xfrm>
                          <a:off x="0" y="0"/>
                          <a:ext cx="939165" cy="570230"/>
                        </a:xfrm>
                        <a:prstGeom prst="rect">
                          <a:avLst/>
                        </a:prstGeom>
                        <a:solidFill>
                          <a:sysClr val="window" lastClr="FFFFFF"/>
                        </a:solidFill>
                        <a:ln w="25400" cap="flat" cmpd="sng" algn="ctr">
                          <a:solidFill>
                            <a:srgbClr val="F79646"/>
                          </a:solidFill>
                          <a:prstDash val="solid"/>
                        </a:ln>
                        <a:effectLst/>
                      </wps:spPr>
                      <wps:txb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3" o:spid="_x0000_s1064" style="position:absolute;left:0;text-align:left;margin-left:-.75pt;margin-top:22.5pt;width:73.95pt;height:44.9pt;z-index:251794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" fillcolor="window" strokecolor="#f79646" strokeweight="2pt">
                <v:textbox>
                  <w:txbxContent>
                    <w:p w:rsidR="000654D6" w:rsidRPr="00114F1C" w:rsidRDefault="000654D6" w:rsidP="000654D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１０</w:t>
                      </w:r>
                    </w:p>
                  </w:txbxContent>
                </v:textbox>
              </v:rect>
            </w:pict>
          </mc:Fallback>
        </mc:AlternateContent>
      </w:r>
    </w:p>
    <w:p w:rsidR="000654D6" w:rsidRPr="009E7E60" w:rsidRDefault="000654D6" w:rsidP="009E7E60">
      <w:pPr>
        <w:tabs>
          <w:tab w:val="right" w:leader="middleDot" w:pos="7560"/>
        </w:tabs>
        <w:ind w:leftChars="300" w:left="630" w:firstLineChars="252" w:firstLine="605"/>
        <w:rPr>
          <w:rFonts w:ascii="ＭＳ Ｐゴシック" w:eastAsia="ＭＳ Ｐゴシック" w:hAnsi="ＭＳ Ｐゴシック" w:cs="Times New Roman"/>
          <w:sz w:val="24"/>
          <w:szCs w:val="24"/>
        </w:rPr>
      </w:pPr>
    </w:p>
    <w:sectPr w:rsidR="000654D6" w:rsidRPr="009E7E60" w:rsidSect="00F5073A">
      <w:pgSz w:w="16839" w:h="23814" w:code="8"/>
      <w:pgMar w:top="1440" w:right="1080" w:bottom="1440" w:left="1080"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75" w:rsidRDefault="006E2675" w:rsidP="00AB781C">
      <w:r>
        <w:separator/>
      </w:r>
    </w:p>
  </w:endnote>
  <w:endnote w:type="continuationSeparator" w:id="0">
    <w:p w:rsidR="006E2675" w:rsidRDefault="006E2675" w:rsidP="00AB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75" w:rsidRDefault="006E2675" w:rsidP="00AB781C">
      <w:r>
        <w:separator/>
      </w:r>
    </w:p>
  </w:footnote>
  <w:footnote w:type="continuationSeparator" w:id="0">
    <w:p w:rsidR="006E2675" w:rsidRDefault="006E2675" w:rsidP="00AB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8A4EE"/>
    <w:multiLevelType w:val="hybridMultilevel"/>
    <w:tmpl w:val="6624A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D6055"/>
    <w:multiLevelType w:val="multilevel"/>
    <w:tmpl w:val="AF303C2E"/>
    <w:lvl w:ilvl="0">
      <w:start w:val="1"/>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2">
    <w:nsid w:val="11E37705"/>
    <w:multiLevelType w:val="hybridMultilevel"/>
    <w:tmpl w:val="E84E7BDC"/>
    <w:lvl w:ilvl="0" w:tplc="0FF2F7AA">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1C68C6"/>
    <w:multiLevelType w:val="hybridMultilevel"/>
    <w:tmpl w:val="E166C37E"/>
    <w:lvl w:ilvl="0" w:tplc="DFECE392">
      <w:start w:val="1"/>
      <w:numFmt w:val="decimalFullWidth"/>
      <w:lvlText w:val="%1．"/>
      <w:lvlJc w:val="left"/>
      <w:pPr>
        <w:ind w:left="720" w:hanging="720"/>
      </w:pPr>
      <w:rPr>
        <w:rFonts w:cs="HG創英角ｺﾞｼｯｸUB-WinCharSetFFFF-"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44DDB"/>
    <w:multiLevelType w:val="hybridMultilevel"/>
    <w:tmpl w:val="AFF6E76A"/>
    <w:lvl w:ilvl="0" w:tplc="DE54C16A">
      <w:start w:val="11"/>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173209E3"/>
    <w:multiLevelType w:val="multilevel"/>
    <w:tmpl w:val="F4A64ED0"/>
    <w:lvl w:ilvl="0">
      <w:start w:val="3"/>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6">
    <w:nsid w:val="17B418F5"/>
    <w:multiLevelType w:val="hybridMultilevel"/>
    <w:tmpl w:val="3488BFDA"/>
    <w:lvl w:ilvl="0" w:tplc="9AD0AB24">
      <w:start w:val="17"/>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4B59C5"/>
    <w:multiLevelType w:val="hybridMultilevel"/>
    <w:tmpl w:val="80D83F46"/>
    <w:lvl w:ilvl="0" w:tplc="662E6F70">
      <w:start w:val="12"/>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D86AF6"/>
    <w:multiLevelType w:val="hybridMultilevel"/>
    <w:tmpl w:val="11A42840"/>
    <w:lvl w:ilvl="0" w:tplc="85CC5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F77568"/>
    <w:multiLevelType w:val="hybridMultilevel"/>
    <w:tmpl w:val="A260D73A"/>
    <w:lvl w:ilvl="0" w:tplc="113A3AC2">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0">
    <w:nsid w:val="24AD3C68"/>
    <w:multiLevelType w:val="hybridMultilevel"/>
    <w:tmpl w:val="69E28696"/>
    <w:lvl w:ilvl="0" w:tplc="9ECC8290">
      <w:start w:val="14"/>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031D1F"/>
    <w:multiLevelType w:val="hybridMultilevel"/>
    <w:tmpl w:val="8E12B0AC"/>
    <w:lvl w:ilvl="0" w:tplc="74D20C2E">
      <w:start w:val="15"/>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39286F"/>
    <w:multiLevelType w:val="multilevel"/>
    <w:tmpl w:val="DCB24B74"/>
    <w:lvl w:ilvl="0">
      <w:start w:val="4"/>
      <w:numFmt w:val="decimal"/>
      <w:lvlText w:val="%1"/>
      <w:lvlJc w:val="left"/>
      <w:pPr>
        <w:tabs>
          <w:tab w:val="num" w:pos="720"/>
        </w:tabs>
        <w:ind w:left="720" w:hanging="720"/>
      </w:pPr>
      <w:rPr>
        <w:rFonts w:ascii="Century" w:eastAsia="ＭＳ 明朝" w:hAnsi="Century" w:hint="default"/>
        <w:sz w:val="21"/>
      </w:rPr>
    </w:lvl>
    <w:lvl w:ilvl="1">
      <w:start w:val="1"/>
      <w:numFmt w:val="decimal"/>
      <w:lvlText w:val="%1-%2"/>
      <w:lvlJc w:val="left"/>
      <w:pPr>
        <w:tabs>
          <w:tab w:val="num" w:pos="720"/>
        </w:tabs>
        <w:ind w:left="720" w:hanging="720"/>
      </w:pPr>
      <w:rPr>
        <w:rFonts w:ascii="Century" w:eastAsia="ＭＳ 明朝" w:hAnsi="Century" w:hint="default"/>
        <w:sz w:val="21"/>
      </w:rPr>
    </w:lvl>
    <w:lvl w:ilvl="2">
      <w:start w:val="2"/>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3">
    <w:nsid w:val="2FBB4614"/>
    <w:multiLevelType w:val="hybridMultilevel"/>
    <w:tmpl w:val="391A13C8"/>
    <w:lvl w:ilvl="0" w:tplc="D1A42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6838DA"/>
    <w:multiLevelType w:val="hybridMultilevel"/>
    <w:tmpl w:val="267A9538"/>
    <w:lvl w:ilvl="0" w:tplc="19CAC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3AA3CA4"/>
    <w:multiLevelType w:val="hybridMultilevel"/>
    <w:tmpl w:val="D4B24DE2"/>
    <w:lvl w:ilvl="0" w:tplc="EE06F230">
      <w:start w:val="13"/>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8B41CB4"/>
    <w:multiLevelType w:val="multilevel"/>
    <w:tmpl w:val="D204957C"/>
    <w:lvl w:ilvl="0">
      <w:start w:val="4"/>
      <w:numFmt w:val="decimal"/>
      <w:lvlText w:val="%1"/>
      <w:lvlJc w:val="left"/>
      <w:pPr>
        <w:tabs>
          <w:tab w:val="num" w:pos="720"/>
        </w:tabs>
        <w:ind w:left="720" w:hanging="720"/>
      </w:pPr>
      <w:rPr>
        <w:rFonts w:ascii="Century" w:eastAsia="ＭＳ 明朝" w:hAnsi="Century" w:hint="default"/>
        <w:sz w:val="21"/>
      </w:rPr>
    </w:lvl>
    <w:lvl w:ilvl="1">
      <w:start w:val="2"/>
      <w:numFmt w:val="decimal"/>
      <w:lvlText w:val="%1-%2"/>
      <w:lvlJc w:val="left"/>
      <w:pPr>
        <w:tabs>
          <w:tab w:val="num" w:pos="720"/>
        </w:tabs>
        <w:ind w:left="720" w:hanging="720"/>
      </w:pPr>
      <w:rPr>
        <w:rFonts w:ascii="Century" w:eastAsia="ＭＳ 明朝" w:hAnsi="Century" w:hint="default"/>
        <w:sz w:val="21"/>
      </w:rPr>
    </w:lvl>
    <w:lvl w:ilvl="2">
      <w:start w:val="4"/>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7">
    <w:nsid w:val="3D8F5925"/>
    <w:multiLevelType w:val="hybridMultilevel"/>
    <w:tmpl w:val="AF106C6A"/>
    <w:lvl w:ilvl="0" w:tplc="FC5CF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733C17"/>
    <w:multiLevelType w:val="hybridMultilevel"/>
    <w:tmpl w:val="1C706B60"/>
    <w:lvl w:ilvl="0" w:tplc="648268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9">
    <w:nsid w:val="412D2FB5"/>
    <w:multiLevelType w:val="hybridMultilevel"/>
    <w:tmpl w:val="C45C701E"/>
    <w:lvl w:ilvl="0" w:tplc="03788EE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0">
    <w:nsid w:val="4433132D"/>
    <w:multiLevelType w:val="hybridMultilevel"/>
    <w:tmpl w:val="B2F26DF8"/>
    <w:lvl w:ilvl="0" w:tplc="274E5AE0">
      <w:start w:val="20"/>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716621E"/>
    <w:multiLevelType w:val="hybridMultilevel"/>
    <w:tmpl w:val="179047B4"/>
    <w:lvl w:ilvl="0" w:tplc="F38E1904">
      <w:start w:val="18"/>
      <w:numFmt w:val="decimal"/>
      <w:lvlText w:val="問%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3E28A0"/>
    <w:multiLevelType w:val="hybridMultilevel"/>
    <w:tmpl w:val="EFBEE090"/>
    <w:lvl w:ilvl="0" w:tplc="14F69740">
      <w:start w:val="16"/>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82E2A9F"/>
    <w:multiLevelType w:val="hybridMultilevel"/>
    <w:tmpl w:val="40046E7A"/>
    <w:lvl w:ilvl="0" w:tplc="A4CE08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5BD25A60"/>
    <w:multiLevelType w:val="hybridMultilevel"/>
    <w:tmpl w:val="3A146A06"/>
    <w:lvl w:ilvl="0" w:tplc="4E6051FA">
      <w:start w:val="1"/>
      <w:numFmt w:val="decimal"/>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AAA13B0"/>
    <w:multiLevelType w:val="hybridMultilevel"/>
    <w:tmpl w:val="9238D8D6"/>
    <w:lvl w:ilvl="0" w:tplc="ACFE407E">
      <w:start w:val="19"/>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ABB235F"/>
    <w:multiLevelType w:val="hybridMultilevel"/>
    <w:tmpl w:val="A18C2512"/>
    <w:lvl w:ilvl="0" w:tplc="8E0A94A2">
      <w:start w:val="8"/>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3"/>
  </w:num>
  <w:num w:numId="3">
    <w:abstractNumId w:val="23"/>
  </w:num>
  <w:num w:numId="4">
    <w:abstractNumId w:val="14"/>
  </w:num>
  <w:num w:numId="5">
    <w:abstractNumId w:val="17"/>
  </w:num>
  <w:num w:numId="6">
    <w:abstractNumId w:val="8"/>
  </w:num>
  <w:num w:numId="7">
    <w:abstractNumId w:val="9"/>
  </w:num>
  <w:num w:numId="8">
    <w:abstractNumId w:val="19"/>
  </w:num>
  <w:num w:numId="9">
    <w:abstractNumId w:val="18"/>
  </w:num>
  <w:num w:numId="10">
    <w:abstractNumId w:val="24"/>
  </w:num>
  <w:num w:numId="11">
    <w:abstractNumId w:val="26"/>
  </w:num>
  <w:num w:numId="12">
    <w:abstractNumId w:val="2"/>
  </w:num>
  <w:num w:numId="13">
    <w:abstractNumId w:val="1"/>
  </w:num>
  <w:num w:numId="14">
    <w:abstractNumId w:val="5"/>
  </w:num>
  <w:num w:numId="15">
    <w:abstractNumId w:val="16"/>
  </w:num>
  <w:num w:numId="16">
    <w:abstractNumId w:val="12"/>
  </w:num>
  <w:num w:numId="17">
    <w:abstractNumId w:val="7"/>
  </w:num>
  <w:num w:numId="18">
    <w:abstractNumId w:val="21"/>
  </w:num>
  <w:num w:numId="19">
    <w:abstractNumId w:val="25"/>
  </w:num>
  <w:num w:numId="20">
    <w:abstractNumId w:val="11"/>
  </w:num>
  <w:num w:numId="21">
    <w:abstractNumId w:val="22"/>
  </w:num>
  <w:num w:numId="22">
    <w:abstractNumId w:val="6"/>
  </w:num>
  <w:num w:numId="23">
    <w:abstractNumId w:val="20"/>
  </w:num>
  <w:num w:numId="24">
    <w:abstractNumId w:val="15"/>
  </w:num>
  <w:num w:numId="25">
    <w:abstractNumId w:val="10"/>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74"/>
    <w:rsid w:val="0000216E"/>
    <w:rsid w:val="00015477"/>
    <w:rsid w:val="00022946"/>
    <w:rsid w:val="00033F03"/>
    <w:rsid w:val="00035AE1"/>
    <w:rsid w:val="000377BE"/>
    <w:rsid w:val="000432EA"/>
    <w:rsid w:val="000527BE"/>
    <w:rsid w:val="00054FB6"/>
    <w:rsid w:val="00057304"/>
    <w:rsid w:val="000654D6"/>
    <w:rsid w:val="00067176"/>
    <w:rsid w:val="000720D6"/>
    <w:rsid w:val="00073718"/>
    <w:rsid w:val="00076C44"/>
    <w:rsid w:val="000776CF"/>
    <w:rsid w:val="000873E0"/>
    <w:rsid w:val="000A0BB5"/>
    <w:rsid w:val="000B159D"/>
    <w:rsid w:val="000B4AD5"/>
    <w:rsid w:val="000B4BF2"/>
    <w:rsid w:val="000C30BC"/>
    <w:rsid w:val="000C419E"/>
    <w:rsid w:val="000C48AB"/>
    <w:rsid w:val="000E2FD2"/>
    <w:rsid w:val="000E3473"/>
    <w:rsid w:val="000F5CF3"/>
    <w:rsid w:val="00101C0D"/>
    <w:rsid w:val="00114F1C"/>
    <w:rsid w:val="00125750"/>
    <w:rsid w:val="001303B0"/>
    <w:rsid w:val="00130796"/>
    <w:rsid w:val="00142244"/>
    <w:rsid w:val="00142426"/>
    <w:rsid w:val="0014345E"/>
    <w:rsid w:val="001462FD"/>
    <w:rsid w:val="00151178"/>
    <w:rsid w:val="001530D2"/>
    <w:rsid w:val="00187EDA"/>
    <w:rsid w:val="00193AAE"/>
    <w:rsid w:val="001964E4"/>
    <w:rsid w:val="001A112E"/>
    <w:rsid w:val="001A5DC2"/>
    <w:rsid w:val="001B3A3F"/>
    <w:rsid w:val="001D2766"/>
    <w:rsid w:val="001E163D"/>
    <w:rsid w:val="001E505C"/>
    <w:rsid w:val="001F4AD7"/>
    <w:rsid w:val="001F740B"/>
    <w:rsid w:val="002052D1"/>
    <w:rsid w:val="002068CB"/>
    <w:rsid w:val="00210C05"/>
    <w:rsid w:val="00212331"/>
    <w:rsid w:val="0023529A"/>
    <w:rsid w:val="00250024"/>
    <w:rsid w:val="002527B0"/>
    <w:rsid w:val="00263578"/>
    <w:rsid w:val="00271566"/>
    <w:rsid w:val="00272740"/>
    <w:rsid w:val="00274CDA"/>
    <w:rsid w:val="00277856"/>
    <w:rsid w:val="00283CFC"/>
    <w:rsid w:val="00295B85"/>
    <w:rsid w:val="002972C6"/>
    <w:rsid w:val="002A2388"/>
    <w:rsid w:val="002B3127"/>
    <w:rsid w:val="002B4557"/>
    <w:rsid w:val="002B4B4F"/>
    <w:rsid w:val="002C1EAC"/>
    <w:rsid w:val="002D2B61"/>
    <w:rsid w:val="002D314B"/>
    <w:rsid w:val="002E6848"/>
    <w:rsid w:val="002E75F0"/>
    <w:rsid w:val="002E777A"/>
    <w:rsid w:val="002F4C59"/>
    <w:rsid w:val="00302896"/>
    <w:rsid w:val="003332D5"/>
    <w:rsid w:val="00334055"/>
    <w:rsid w:val="00334A50"/>
    <w:rsid w:val="003369A2"/>
    <w:rsid w:val="00337320"/>
    <w:rsid w:val="00346CA0"/>
    <w:rsid w:val="00350B99"/>
    <w:rsid w:val="0035103D"/>
    <w:rsid w:val="00355CE3"/>
    <w:rsid w:val="00360CBF"/>
    <w:rsid w:val="003652F5"/>
    <w:rsid w:val="003658DE"/>
    <w:rsid w:val="003666D5"/>
    <w:rsid w:val="00366FDD"/>
    <w:rsid w:val="00370ED2"/>
    <w:rsid w:val="00371F15"/>
    <w:rsid w:val="00385231"/>
    <w:rsid w:val="003872C3"/>
    <w:rsid w:val="0039000E"/>
    <w:rsid w:val="003906A5"/>
    <w:rsid w:val="0039076B"/>
    <w:rsid w:val="00392A2C"/>
    <w:rsid w:val="00395398"/>
    <w:rsid w:val="0039601D"/>
    <w:rsid w:val="003A122D"/>
    <w:rsid w:val="003A2FF0"/>
    <w:rsid w:val="003A5F17"/>
    <w:rsid w:val="003B2CC3"/>
    <w:rsid w:val="003C03A3"/>
    <w:rsid w:val="003C7C2B"/>
    <w:rsid w:val="003D7696"/>
    <w:rsid w:val="003E3046"/>
    <w:rsid w:val="003E3274"/>
    <w:rsid w:val="003F27FA"/>
    <w:rsid w:val="003F4665"/>
    <w:rsid w:val="003F64B2"/>
    <w:rsid w:val="003F67DB"/>
    <w:rsid w:val="00401701"/>
    <w:rsid w:val="00401F97"/>
    <w:rsid w:val="004021A4"/>
    <w:rsid w:val="004123D7"/>
    <w:rsid w:val="00420AFC"/>
    <w:rsid w:val="00422B75"/>
    <w:rsid w:val="004260CC"/>
    <w:rsid w:val="004268EE"/>
    <w:rsid w:val="00427C4C"/>
    <w:rsid w:val="004363FD"/>
    <w:rsid w:val="00445CC8"/>
    <w:rsid w:val="0044640B"/>
    <w:rsid w:val="00447670"/>
    <w:rsid w:val="00457CC2"/>
    <w:rsid w:val="0046526E"/>
    <w:rsid w:val="00465A28"/>
    <w:rsid w:val="00466CB8"/>
    <w:rsid w:val="0046745F"/>
    <w:rsid w:val="00472B97"/>
    <w:rsid w:val="004825AD"/>
    <w:rsid w:val="00495D29"/>
    <w:rsid w:val="004A2894"/>
    <w:rsid w:val="004B2C88"/>
    <w:rsid w:val="004B364F"/>
    <w:rsid w:val="004B3D22"/>
    <w:rsid w:val="004E470F"/>
    <w:rsid w:val="00501C2A"/>
    <w:rsid w:val="00502AFF"/>
    <w:rsid w:val="00505AEC"/>
    <w:rsid w:val="00511456"/>
    <w:rsid w:val="00516F7A"/>
    <w:rsid w:val="005174A6"/>
    <w:rsid w:val="005204DD"/>
    <w:rsid w:val="00525D82"/>
    <w:rsid w:val="00527A21"/>
    <w:rsid w:val="00527D12"/>
    <w:rsid w:val="00534428"/>
    <w:rsid w:val="0053453C"/>
    <w:rsid w:val="0054269F"/>
    <w:rsid w:val="0054302C"/>
    <w:rsid w:val="00560B8B"/>
    <w:rsid w:val="005629BE"/>
    <w:rsid w:val="00562E64"/>
    <w:rsid w:val="00564106"/>
    <w:rsid w:val="00565465"/>
    <w:rsid w:val="00567D29"/>
    <w:rsid w:val="00574824"/>
    <w:rsid w:val="00577313"/>
    <w:rsid w:val="00587C1B"/>
    <w:rsid w:val="00593BB9"/>
    <w:rsid w:val="005947A6"/>
    <w:rsid w:val="00595FBA"/>
    <w:rsid w:val="005A1A6C"/>
    <w:rsid w:val="005A5CEB"/>
    <w:rsid w:val="005A672A"/>
    <w:rsid w:val="005B0BF8"/>
    <w:rsid w:val="005B1DC2"/>
    <w:rsid w:val="005B218D"/>
    <w:rsid w:val="005B4300"/>
    <w:rsid w:val="005B54AD"/>
    <w:rsid w:val="005B62F9"/>
    <w:rsid w:val="005C48AE"/>
    <w:rsid w:val="005C7C32"/>
    <w:rsid w:val="005C7DFA"/>
    <w:rsid w:val="005C7ED9"/>
    <w:rsid w:val="005D2843"/>
    <w:rsid w:val="005D36D9"/>
    <w:rsid w:val="005D398E"/>
    <w:rsid w:val="005D6992"/>
    <w:rsid w:val="005E22D2"/>
    <w:rsid w:val="005E4BB4"/>
    <w:rsid w:val="005E7E12"/>
    <w:rsid w:val="005F0530"/>
    <w:rsid w:val="00604893"/>
    <w:rsid w:val="006058B2"/>
    <w:rsid w:val="00611015"/>
    <w:rsid w:val="006125C0"/>
    <w:rsid w:val="00614BBC"/>
    <w:rsid w:val="00615F74"/>
    <w:rsid w:val="00616970"/>
    <w:rsid w:val="00622C7C"/>
    <w:rsid w:val="0062744B"/>
    <w:rsid w:val="00635FA7"/>
    <w:rsid w:val="00643C26"/>
    <w:rsid w:val="0064413D"/>
    <w:rsid w:val="006463BF"/>
    <w:rsid w:val="00654BE1"/>
    <w:rsid w:val="00660A39"/>
    <w:rsid w:val="00661A6E"/>
    <w:rsid w:val="00661C2F"/>
    <w:rsid w:val="00663E4D"/>
    <w:rsid w:val="00664770"/>
    <w:rsid w:val="006752FA"/>
    <w:rsid w:val="006801FE"/>
    <w:rsid w:val="00682A69"/>
    <w:rsid w:val="0069241B"/>
    <w:rsid w:val="00692C8E"/>
    <w:rsid w:val="0069615A"/>
    <w:rsid w:val="00697E57"/>
    <w:rsid w:val="006A089B"/>
    <w:rsid w:val="006A4D42"/>
    <w:rsid w:val="006B00B5"/>
    <w:rsid w:val="006B24DE"/>
    <w:rsid w:val="006C1519"/>
    <w:rsid w:val="006C3CDB"/>
    <w:rsid w:val="006C421F"/>
    <w:rsid w:val="006C6680"/>
    <w:rsid w:val="006C683E"/>
    <w:rsid w:val="006D0D5F"/>
    <w:rsid w:val="006D1ADA"/>
    <w:rsid w:val="006D6574"/>
    <w:rsid w:val="006D6E86"/>
    <w:rsid w:val="006E1601"/>
    <w:rsid w:val="006E2675"/>
    <w:rsid w:val="006E3565"/>
    <w:rsid w:val="006E6AF9"/>
    <w:rsid w:val="006F1092"/>
    <w:rsid w:val="006F14C7"/>
    <w:rsid w:val="006F182C"/>
    <w:rsid w:val="006F464B"/>
    <w:rsid w:val="006F4AC8"/>
    <w:rsid w:val="006F65C6"/>
    <w:rsid w:val="00712593"/>
    <w:rsid w:val="0071633A"/>
    <w:rsid w:val="007212C3"/>
    <w:rsid w:val="00725EF9"/>
    <w:rsid w:val="00726ADD"/>
    <w:rsid w:val="00730FED"/>
    <w:rsid w:val="007324D3"/>
    <w:rsid w:val="0073451F"/>
    <w:rsid w:val="00734B4C"/>
    <w:rsid w:val="00736DFA"/>
    <w:rsid w:val="007456B2"/>
    <w:rsid w:val="00754127"/>
    <w:rsid w:val="0076148F"/>
    <w:rsid w:val="007616B2"/>
    <w:rsid w:val="0076290B"/>
    <w:rsid w:val="00766525"/>
    <w:rsid w:val="00784847"/>
    <w:rsid w:val="00792E84"/>
    <w:rsid w:val="00793565"/>
    <w:rsid w:val="00797172"/>
    <w:rsid w:val="007A15C4"/>
    <w:rsid w:val="007A18DD"/>
    <w:rsid w:val="007A2357"/>
    <w:rsid w:val="007A46FC"/>
    <w:rsid w:val="007A5FAB"/>
    <w:rsid w:val="007A6E56"/>
    <w:rsid w:val="007B327B"/>
    <w:rsid w:val="007B5050"/>
    <w:rsid w:val="007B5717"/>
    <w:rsid w:val="007C5BDF"/>
    <w:rsid w:val="007D4D0A"/>
    <w:rsid w:val="007D578D"/>
    <w:rsid w:val="007D599D"/>
    <w:rsid w:val="007E2460"/>
    <w:rsid w:val="007E2A48"/>
    <w:rsid w:val="007E2EBB"/>
    <w:rsid w:val="007E424F"/>
    <w:rsid w:val="007F04AA"/>
    <w:rsid w:val="007F2B17"/>
    <w:rsid w:val="00803E1B"/>
    <w:rsid w:val="00804DE7"/>
    <w:rsid w:val="00813E27"/>
    <w:rsid w:val="00813F47"/>
    <w:rsid w:val="00815B94"/>
    <w:rsid w:val="008178E9"/>
    <w:rsid w:val="008220B9"/>
    <w:rsid w:val="00825F3B"/>
    <w:rsid w:val="0082729B"/>
    <w:rsid w:val="0084056C"/>
    <w:rsid w:val="00842002"/>
    <w:rsid w:val="00843157"/>
    <w:rsid w:val="008445F3"/>
    <w:rsid w:val="00845455"/>
    <w:rsid w:val="00847A6F"/>
    <w:rsid w:val="008542A1"/>
    <w:rsid w:val="00863CF0"/>
    <w:rsid w:val="0086469A"/>
    <w:rsid w:val="00867237"/>
    <w:rsid w:val="008710F0"/>
    <w:rsid w:val="008801DF"/>
    <w:rsid w:val="00883E34"/>
    <w:rsid w:val="00892F04"/>
    <w:rsid w:val="00894872"/>
    <w:rsid w:val="008979C7"/>
    <w:rsid w:val="008B0EB8"/>
    <w:rsid w:val="008B66C8"/>
    <w:rsid w:val="008B679E"/>
    <w:rsid w:val="008B6F74"/>
    <w:rsid w:val="008B7B3C"/>
    <w:rsid w:val="008C0C39"/>
    <w:rsid w:val="008C18F7"/>
    <w:rsid w:val="008C1E0B"/>
    <w:rsid w:val="008C2EC0"/>
    <w:rsid w:val="008C53BA"/>
    <w:rsid w:val="008C5F95"/>
    <w:rsid w:val="008C786D"/>
    <w:rsid w:val="008D286E"/>
    <w:rsid w:val="008E228C"/>
    <w:rsid w:val="008E3E84"/>
    <w:rsid w:val="008E4E2F"/>
    <w:rsid w:val="008F2524"/>
    <w:rsid w:val="008F3E40"/>
    <w:rsid w:val="008F60CD"/>
    <w:rsid w:val="008F6582"/>
    <w:rsid w:val="008F6C9A"/>
    <w:rsid w:val="0090138B"/>
    <w:rsid w:val="009025FF"/>
    <w:rsid w:val="00902D95"/>
    <w:rsid w:val="00906333"/>
    <w:rsid w:val="009149EE"/>
    <w:rsid w:val="00916587"/>
    <w:rsid w:val="00921B26"/>
    <w:rsid w:val="00922E5C"/>
    <w:rsid w:val="00923BD4"/>
    <w:rsid w:val="009336C9"/>
    <w:rsid w:val="009379EF"/>
    <w:rsid w:val="00940B0D"/>
    <w:rsid w:val="00950102"/>
    <w:rsid w:val="00950123"/>
    <w:rsid w:val="00951FE9"/>
    <w:rsid w:val="00953664"/>
    <w:rsid w:val="009552F8"/>
    <w:rsid w:val="00963B2F"/>
    <w:rsid w:val="009640E2"/>
    <w:rsid w:val="0097247A"/>
    <w:rsid w:val="00981E69"/>
    <w:rsid w:val="00984561"/>
    <w:rsid w:val="00986485"/>
    <w:rsid w:val="00987A7C"/>
    <w:rsid w:val="00994D0B"/>
    <w:rsid w:val="009A03E1"/>
    <w:rsid w:val="009B17D4"/>
    <w:rsid w:val="009B2ABB"/>
    <w:rsid w:val="009C3283"/>
    <w:rsid w:val="009D1252"/>
    <w:rsid w:val="009D24F2"/>
    <w:rsid w:val="009D27E8"/>
    <w:rsid w:val="009E0396"/>
    <w:rsid w:val="009E3702"/>
    <w:rsid w:val="009E7E60"/>
    <w:rsid w:val="009F1D36"/>
    <w:rsid w:val="009F21EF"/>
    <w:rsid w:val="009F38B2"/>
    <w:rsid w:val="009F6938"/>
    <w:rsid w:val="00A1506A"/>
    <w:rsid w:val="00A1520C"/>
    <w:rsid w:val="00A159E1"/>
    <w:rsid w:val="00A210D4"/>
    <w:rsid w:val="00A266E0"/>
    <w:rsid w:val="00A26B8A"/>
    <w:rsid w:val="00A33A19"/>
    <w:rsid w:val="00A47CE3"/>
    <w:rsid w:val="00A50A22"/>
    <w:rsid w:val="00A5418C"/>
    <w:rsid w:val="00A55596"/>
    <w:rsid w:val="00A57962"/>
    <w:rsid w:val="00A63BD5"/>
    <w:rsid w:val="00A63CF5"/>
    <w:rsid w:val="00A67D54"/>
    <w:rsid w:val="00A71BA5"/>
    <w:rsid w:val="00A72334"/>
    <w:rsid w:val="00A7700D"/>
    <w:rsid w:val="00A8016F"/>
    <w:rsid w:val="00A879DC"/>
    <w:rsid w:val="00A93B9D"/>
    <w:rsid w:val="00AB781C"/>
    <w:rsid w:val="00AC32CE"/>
    <w:rsid w:val="00AD1825"/>
    <w:rsid w:val="00AD1948"/>
    <w:rsid w:val="00AD6E81"/>
    <w:rsid w:val="00AE1023"/>
    <w:rsid w:val="00AE1107"/>
    <w:rsid w:val="00AE2751"/>
    <w:rsid w:val="00AE57AE"/>
    <w:rsid w:val="00AF73EB"/>
    <w:rsid w:val="00B00562"/>
    <w:rsid w:val="00B020D1"/>
    <w:rsid w:val="00B0407A"/>
    <w:rsid w:val="00B1126A"/>
    <w:rsid w:val="00B14209"/>
    <w:rsid w:val="00B203FA"/>
    <w:rsid w:val="00B2670E"/>
    <w:rsid w:val="00B30D72"/>
    <w:rsid w:val="00B41395"/>
    <w:rsid w:val="00B51C54"/>
    <w:rsid w:val="00B521AF"/>
    <w:rsid w:val="00B56FE2"/>
    <w:rsid w:val="00B60E9B"/>
    <w:rsid w:val="00B61EF5"/>
    <w:rsid w:val="00B6295C"/>
    <w:rsid w:val="00B66E4F"/>
    <w:rsid w:val="00B674F4"/>
    <w:rsid w:val="00B81BCE"/>
    <w:rsid w:val="00B859CC"/>
    <w:rsid w:val="00B85B29"/>
    <w:rsid w:val="00BA0E61"/>
    <w:rsid w:val="00BA247D"/>
    <w:rsid w:val="00BA3A49"/>
    <w:rsid w:val="00BA48A5"/>
    <w:rsid w:val="00BA7074"/>
    <w:rsid w:val="00BB610A"/>
    <w:rsid w:val="00BB619C"/>
    <w:rsid w:val="00BC281B"/>
    <w:rsid w:val="00BC4D4B"/>
    <w:rsid w:val="00BC4E16"/>
    <w:rsid w:val="00BC5C37"/>
    <w:rsid w:val="00BC6B4E"/>
    <w:rsid w:val="00BD1828"/>
    <w:rsid w:val="00BE5DF3"/>
    <w:rsid w:val="00BE78FC"/>
    <w:rsid w:val="00BF3AE2"/>
    <w:rsid w:val="00BF5025"/>
    <w:rsid w:val="00C0562E"/>
    <w:rsid w:val="00C111D0"/>
    <w:rsid w:val="00C1169C"/>
    <w:rsid w:val="00C2009A"/>
    <w:rsid w:val="00C21C0F"/>
    <w:rsid w:val="00C25EA9"/>
    <w:rsid w:val="00C35294"/>
    <w:rsid w:val="00C43211"/>
    <w:rsid w:val="00C461BC"/>
    <w:rsid w:val="00C46856"/>
    <w:rsid w:val="00C47409"/>
    <w:rsid w:val="00C51E2E"/>
    <w:rsid w:val="00C52161"/>
    <w:rsid w:val="00C61927"/>
    <w:rsid w:val="00C62AB2"/>
    <w:rsid w:val="00C73814"/>
    <w:rsid w:val="00C75C87"/>
    <w:rsid w:val="00C876E3"/>
    <w:rsid w:val="00C90214"/>
    <w:rsid w:val="00C91F75"/>
    <w:rsid w:val="00C9288C"/>
    <w:rsid w:val="00C9356B"/>
    <w:rsid w:val="00C97039"/>
    <w:rsid w:val="00C973BC"/>
    <w:rsid w:val="00CB290E"/>
    <w:rsid w:val="00CB7021"/>
    <w:rsid w:val="00CD2888"/>
    <w:rsid w:val="00CF7527"/>
    <w:rsid w:val="00CF7C7E"/>
    <w:rsid w:val="00D01DCF"/>
    <w:rsid w:val="00D05ABE"/>
    <w:rsid w:val="00D06FA0"/>
    <w:rsid w:val="00D31E67"/>
    <w:rsid w:val="00D630B3"/>
    <w:rsid w:val="00D6385F"/>
    <w:rsid w:val="00D640CD"/>
    <w:rsid w:val="00D67418"/>
    <w:rsid w:val="00D67923"/>
    <w:rsid w:val="00D8169E"/>
    <w:rsid w:val="00D86607"/>
    <w:rsid w:val="00D91AB5"/>
    <w:rsid w:val="00D91EC7"/>
    <w:rsid w:val="00D93E2B"/>
    <w:rsid w:val="00D95C6B"/>
    <w:rsid w:val="00D96E29"/>
    <w:rsid w:val="00DA1890"/>
    <w:rsid w:val="00DA4F63"/>
    <w:rsid w:val="00DA6E0C"/>
    <w:rsid w:val="00DC7419"/>
    <w:rsid w:val="00DD3FF7"/>
    <w:rsid w:val="00DD7586"/>
    <w:rsid w:val="00DE322D"/>
    <w:rsid w:val="00DF0449"/>
    <w:rsid w:val="00DF36AF"/>
    <w:rsid w:val="00E03F16"/>
    <w:rsid w:val="00E05D30"/>
    <w:rsid w:val="00E06B97"/>
    <w:rsid w:val="00E16693"/>
    <w:rsid w:val="00E237D1"/>
    <w:rsid w:val="00E252CA"/>
    <w:rsid w:val="00E411D6"/>
    <w:rsid w:val="00E45578"/>
    <w:rsid w:val="00E50A52"/>
    <w:rsid w:val="00E50A62"/>
    <w:rsid w:val="00E53007"/>
    <w:rsid w:val="00E56FF4"/>
    <w:rsid w:val="00E57F42"/>
    <w:rsid w:val="00E60F4B"/>
    <w:rsid w:val="00E66C51"/>
    <w:rsid w:val="00E7067D"/>
    <w:rsid w:val="00E72B81"/>
    <w:rsid w:val="00E73060"/>
    <w:rsid w:val="00E731AD"/>
    <w:rsid w:val="00E74006"/>
    <w:rsid w:val="00E8270A"/>
    <w:rsid w:val="00E94F34"/>
    <w:rsid w:val="00E97E6B"/>
    <w:rsid w:val="00EA0D2E"/>
    <w:rsid w:val="00EA7220"/>
    <w:rsid w:val="00EB0FE4"/>
    <w:rsid w:val="00EB2831"/>
    <w:rsid w:val="00EB38A6"/>
    <w:rsid w:val="00EB6A3F"/>
    <w:rsid w:val="00EC1678"/>
    <w:rsid w:val="00EC180E"/>
    <w:rsid w:val="00EC2903"/>
    <w:rsid w:val="00EC6E9C"/>
    <w:rsid w:val="00ED5F6F"/>
    <w:rsid w:val="00EE4331"/>
    <w:rsid w:val="00EF1E1E"/>
    <w:rsid w:val="00EF3B2E"/>
    <w:rsid w:val="00EF67C5"/>
    <w:rsid w:val="00F00D3F"/>
    <w:rsid w:val="00F00F4A"/>
    <w:rsid w:val="00F15623"/>
    <w:rsid w:val="00F230D2"/>
    <w:rsid w:val="00F251AF"/>
    <w:rsid w:val="00F36122"/>
    <w:rsid w:val="00F4173D"/>
    <w:rsid w:val="00F4629D"/>
    <w:rsid w:val="00F5073A"/>
    <w:rsid w:val="00F5168C"/>
    <w:rsid w:val="00F56987"/>
    <w:rsid w:val="00F61844"/>
    <w:rsid w:val="00F631E0"/>
    <w:rsid w:val="00F8029A"/>
    <w:rsid w:val="00F855CD"/>
    <w:rsid w:val="00F8752B"/>
    <w:rsid w:val="00F907DF"/>
    <w:rsid w:val="00F9389A"/>
    <w:rsid w:val="00FA34F3"/>
    <w:rsid w:val="00FA74E3"/>
    <w:rsid w:val="00FB2620"/>
    <w:rsid w:val="00FB4816"/>
    <w:rsid w:val="00FB6953"/>
    <w:rsid w:val="00FC030A"/>
    <w:rsid w:val="00FC04E2"/>
    <w:rsid w:val="00FC69F4"/>
    <w:rsid w:val="00FC71AE"/>
    <w:rsid w:val="00FE28AD"/>
    <w:rsid w:val="00FE2939"/>
    <w:rsid w:val="00FE7639"/>
    <w:rsid w:val="00FF4D80"/>
    <w:rsid w:val="00FF53A8"/>
    <w:rsid w:val="00FF5F50"/>
    <w:rsid w:val="00FF5FBE"/>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016F"/>
    <w:pPr>
      <w:keepNext/>
      <w:outlineLvl w:val="0"/>
    </w:pPr>
    <w:rPr>
      <w:rFonts w:ascii="Arial" w:eastAsia="HG創英角ｺﾞｼｯｸUB" w:hAnsi="Arial"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E3274"/>
    <w:rPr>
      <w:rFonts w:asciiTheme="majorHAnsi" w:eastAsiaTheme="majorEastAsia" w:hAnsiTheme="majorHAnsi" w:cstheme="majorBidi"/>
      <w:sz w:val="18"/>
      <w:szCs w:val="18"/>
    </w:rPr>
  </w:style>
  <w:style w:type="character" w:customStyle="1" w:styleId="a4">
    <w:name w:val="吹き出し (文字)"/>
    <w:basedOn w:val="a0"/>
    <w:link w:val="a3"/>
    <w:rsid w:val="003E3274"/>
    <w:rPr>
      <w:rFonts w:asciiTheme="majorHAnsi" w:eastAsiaTheme="majorEastAsia" w:hAnsiTheme="majorHAnsi" w:cstheme="majorBidi"/>
      <w:sz w:val="18"/>
      <w:szCs w:val="18"/>
    </w:rPr>
  </w:style>
  <w:style w:type="table" w:styleId="a5">
    <w:name w:val="Table Grid"/>
    <w:basedOn w:val="a1"/>
    <w:rsid w:val="00AF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CDB"/>
    <w:pPr>
      <w:ind w:leftChars="400" w:left="840"/>
    </w:pPr>
  </w:style>
  <w:style w:type="paragraph" w:styleId="a7">
    <w:name w:val="header"/>
    <w:basedOn w:val="a"/>
    <w:link w:val="a8"/>
    <w:unhideWhenUsed/>
    <w:rsid w:val="00AB781C"/>
    <w:pPr>
      <w:tabs>
        <w:tab w:val="center" w:pos="4252"/>
        <w:tab w:val="right" w:pos="8504"/>
      </w:tabs>
      <w:snapToGrid w:val="0"/>
    </w:pPr>
  </w:style>
  <w:style w:type="character" w:customStyle="1" w:styleId="a8">
    <w:name w:val="ヘッダー (文字)"/>
    <w:basedOn w:val="a0"/>
    <w:link w:val="a7"/>
    <w:rsid w:val="00AB781C"/>
  </w:style>
  <w:style w:type="paragraph" w:styleId="a9">
    <w:name w:val="footer"/>
    <w:basedOn w:val="a"/>
    <w:link w:val="aa"/>
    <w:uiPriority w:val="99"/>
    <w:unhideWhenUsed/>
    <w:rsid w:val="00AB781C"/>
    <w:pPr>
      <w:tabs>
        <w:tab w:val="center" w:pos="4252"/>
        <w:tab w:val="right" w:pos="8504"/>
      </w:tabs>
      <w:snapToGrid w:val="0"/>
    </w:pPr>
  </w:style>
  <w:style w:type="character" w:customStyle="1" w:styleId="aa">
    <w:name w:val="フッター (文字)"/>
    <w:basedOn w:val="a0"/>
    <w:link w:val="a9"/>
    <w:uiPriority w:val="99"/>
    <w:rsid w:val="00AB781C"/>
  </w:style>
  <w:style w:type="character" w:customStyle="1" w:styleId="10">
    <w:name w:val="見出し 1 (文字)"/>
    <w:basedOn w:val="a0"/>
    <w:link w:val="1"/>
    <w:uiPriority w:val="9"/>
    <w:rsid w:val="00A8016F"/>
    <w:rPr>
      <w:rFonts w:ascii="Arial" w:eastAsia="HG創英角ｺﾞｼｯｸUB" w:hAnsi="Arial" w:cs="Times New Roman"/>
      <w:sz w:val="32"/>
      <w:szCs w:val="24"/>
    </w:rPr>
  </w:style>
  <w:style w:type="paragraph" w:customStyle="1" w:styleId="11">
    <w:name w:val="リスト段落1"/>
    <w:basedOn w:val="a"/>
    <w:rsid w:val="00A8016F"/>
    <w:pPr>
      <w:ind w:leftChars="400" w:left="840"/>
    </w:pPr>
    <w:rPr>
      <w:rFonts w:ascii="Century" w:eastAsia="ＭＳ 明朝" w:hAnsi="Century" w:cs="Times New Roman"/>
    </w:rPr>
  </w:style>
  <w:style w:type="paragraph" w:styleId="ab">
    <w:name w:val="Date"/>
    <w:basedOn w:val="a"/>
    <w:next w:val="a"/>
    <w:link w:val="ac"/>
    <w:rsid w:val="00A8016F"/>
    <w:rPr>
      <w:rFonts w:ascii="Century" w:eastAsia="ＭＳ 明朝" w:hAnsi="Century" w:cs="Times New Roman"/>
      <w:szCs w:val="24"/>
    </w:rPr>
  </w:style>
  <w:style w:type="character" w:customStyle="1" w:styleId="ac">
    <w:name w:val="日付 (文字)"/>
    <w:basedOn w:val="a0"/>
    <w:link w:val="ab"/>
    <w:rsid w:val="00A8016F"/>
    <w:rPr>
      <w:rFonts w:ascii="Century" w:eastAsia="ＭＳ 明朝" w:hAnsi="Century" w:cs="Times New Roman"/>
      <w:szCs w:val="24"/>
    </w:rPr>
  </w:style>
  <w:style w:type="character" w:styleId="ad">
    <w:name w:val="page number"/>
    <w:basedOn w:val="a0"/>
    <w:rsid w:val="00A8016F"/>
  </w:style>
  <w:style w:type="paragraph" w:styleId="Web">
    <w:name w:val="Normal (Web)"/>
    <w:basedOn w:val="a"/>
    <w:uiPriority w:val="99"/>
    <w:semiHidden/>
    <w:unhideWhenUsed/>
    <w:rsid w:val="006D0D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016F"/>
    <w:pPr>
      <w:keepNext/>
      <w:outlineLvl w:val="0"/>
    </w:pPr>
    <w:rPr>
      <w:rFonts w:ascii="Arial" w:eastAsia="HG創英角ｺﾞｼｯｸUB" w:hAnsi="Arial"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E3274"/>
    <w:rPr>
      <w:rFonts w:asciiTheme="majorHAnsi" w:eastAsiaTheme="majorEastAsia" w:hAnsiTheme="majorHAnsi" w:cstheme="majorBidi"/>
      <w:sz w:val="18"/>
      <w:szCs w:val="18"/>
    </w:rPr>
  </w:style>
  <w:style w:type="character" w:customStyle="1" w:styleId="a4">
    <w:name w:val="吹き出し (文字)"/>
    <w:basedOn w:val="a0"/>
    <w:link w:val="a3"/>
    <w:rsid w:val="003E3274"/>
    <w:rPr>
      <w:rFonts w:asciiTheme="majorHAnsi" w:eastAsiaTheme="majorEastAsia" w:hAnsiTheme="majorHAnsi" w:cstheme="majorBidi"/>
      <w:sz w:val="18"/>
      <w:szCs w:val="18"/>
    </w:rPr>
  </w:style>
  <w:style w:type="table" w:styleId="a5">
    <w:name w:val="Table Grid"/>
    <w:basedOn w:val="a1"/>
    <w:rsid w:val="00AF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CDB"/>
    <w:pPr>
      <w:ind w:leftChars="400" w:left="840"/>
    </w:pPr>
  </w:style>
  <w:style w:type="paragraph" w:styleId="a7">
    <w:name w:val="header"/>
    <w:basedOn w:val="a"/>
    <w:link w:val="a8"/>
    <w:unhideWhenUsed/>
    <w:rsid w:val="00AB781C"/>
    <w:pPr>
      <w:tabs>
        <w:tab w:val="center" w:pos="4252"/>
        <w:tab w:val="right" w:pos="8504"/>
      </w:tabs>
      <w:snapToGrid w:val="0"/>
    </w:pPr>
  </w:style>
  <w:style w:type="character" w:customStyle="1" w:styleId="a8">
    <w:name w:val="ヘッダー (文字)"/>
    <w:basedOn w:val="a0"/>
    <w:link w:val="a7"/>
    <w:rsid w:val="00AB781C"/>
  </w:style>
  <w:style w:type="paragraph" w:styleId="a9">
    <w:name w:val="footer"/>
    <w:basedOn w:val="a"/>
    <w:link w:val="aa"/>
    <w:uiPriority w:val="99"/>
    <w:unhideWhenUsed/>
    <w:rsid w:val="00AB781C"/>
    <w:pPr>
      <w:tabs>
        <w:tab w:val="center" w:pos="4252"/>
        <w:tab w:val="right" w:pos="8504"/>
      </w:tabs>
      <w:snapToGrid w:val="0"/>
    </w:pPr>
  </w:style>
  <w:style w:type="character" w:customStyle="1" w:styleId="aa">
    <w:name w:val="フッター (文字)"/>
    <w:basedOn w:val="a0"/>
    <w:link w:val="a9"/>
    <w:uiPriority w:val="99"/>
    <w:rsid w:val="00AB781C"/>
  </w:style>
  <w:style w:type="character" w:customStyle="1" w:styleId="10">
    <w:name w:val="見出し 1 (文字)"/>
    <w:basedOn w:val="a0"/>
    <w:link w:val="1"/>
    <w:uiPriority w:val="9"/>
    <w:rsid w:val="00A8016F"/>
    <w:rPr>
      <w:rFonts w:ascii="Arial" w:eastAsia="HG創英角ｺﾞｼｯｸUB" w:hAnsi="Arial" w:cs="Times New Roman"/>
      <w:sz w:val="32"/>
      <w:szCs w:val="24"/>
    </w:rPr>
  </w:style>
  <w:style w:type="paragraph" w:customStyle="1" w:styleId="11">
    <w:name w:val="リスト段落1"/>
    <w:basedOn w:val="a"/>
    <w:rsid w:val="00A8016F"/>
    <w:pPr>
      <w:ind w:leftChars="400" w:left="840"/>
    </w:pPr>
    <w:rPr>
      <w:rFonts w:ascii="Century" w:eastAsia="ＭＳ 明朝" w:hAnsi="Century" w:cs="Times New Roman"/>
    </w:rPr>
  </w:style>
  <w:style w:type="paragraph" w:styleId="ab">
    <w:name w:val="Date"/>
    <w:basedOn w:val="a"/>
    <w:next w:val="a"/>
    <w:link w:val="ac"/>
    <w:rsid w:val="00A8016F"/>
    <w:rPr>
      <w:rFonts w:ascii="Century" w:eastAsia="ＭＳ 明朝" w:hAnsi="Century" w:cs="Times New Roman"/>
      <w:szCs w:val="24"/>
    </w:rPr>
  </w:style>
  <w:style w:type="character" w:customStyle="1" w:styleId="ac">
    <w:name w:val="日付 (文字)"/>
    <w:basedOn w:val="a0"/>
    <w:link w:val="ab"/>
    <w:rsid w:val="00A8016F"/>
    <w:rPr>
      <w:rFonts w:ascii="Century" w:eastAsia="ＭＳ 明朝" w:hAnsi="Century" w:cs="Times New Roman"/>
      <w:szCs w:val="24"/>
    </w:rPr>
  </w:style>
  <w:style w:type="character" w:styleId="ad">
    <w:name w:val="page number"/>
    <w:basedOn w:val="a0"/>
    <w:rsid w:val="00A8016F"/>
  </w:style>
  <w:style w:type="paragraph" w:styleId="Web">
    <w:name w:val="Normal (Web)"/>
    <w:basedOn w:val="a"/>
    <w:uiPriority w:val="99"/>
    <w:semiHidden/>
    <w:unhideWhenUsed/>
    <w:rsid w:val="006D0D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631">
      <w:bodyDiv w:val="1"/>
      <w:marLeft w:val="0"/>
      <w:marRight w:val="0"/>
      <w:marTop w:val="0"/>
      <w:marBottom w:val="0"/>
      <w:divBdr>
        <w:top w:val="none" w:sz="0" w:space="0" w:color="auto"/>
        <w:left w:val="none" w:sz="0" w:space="0" w:color="auto"/>
        <w:bottom w:val="none" w:sz="0" w:space="0" w:color="auto"/>
        <w:right w:val="none" w:sz="0" w:space="0" w:color="auto"/>
      </w:divBdr>
    </w:div>
    <w:div w:id="125322384">
      <w:bodyDiv w:val="1"/>
      <w:marLeft w:val="0"/>
      <w:marRight w:val="0"/>
      <w:marTop w:val="0"/>
      <w:marBottom w:val="0"/>
      <w:divBdr>
        <w:top w:val="none" w:sz="0" w:space="0" w:color="auto"/>
        <w:left w:val="none" w:sz="0" w:space="0" w:color="auto"/>
        <w:bottom w:val="none" w:sz="0" w:space="0" w:color="auto"/>
        <w:right w:val="none" w:sz="0" w:space="0" w:color="auto"/>
      </w:divBdr>
    </w:div>
    <w:div w:id="197083510">
      <w:bodyDiv w:val="1"/>
      <w:marLeft w:val="0"/>
      <w:marRight w:val="0"/>
      <w:marTop w:val="0"/>
      <w:marBottom w:val="0"/>
      <w:divBdr>
        <w:top w:val="none" w:sz="0" w:space="0" w:color="auto"/>
        <w:left w:val="none" w:sz="0" w:space="0" w:color="auto"/>
        <w:bottom w:val="none" w:sz="0" w:space="0" w:color="auto"/>
        <w:right w:val="none" w:sz="0" w:space="0" w:color="auto"/>
      </w:divBdr>
    </w:div>
    <w:div w:id="242305112">
      <w:bodyDiv w:val="1"/>
      <w:marLeft w:val="0"/>
      <w:marRight w:val="0"/>
      <w:marTop w:val="0"/>
      <w:marBottom w:val="0"/>
      <w:divBdr>
        <w:top w:val="none" w:sz="0" w:space="0" w:color="auto"/>
        <w:left w:val="none" w:sz="0" w:space="0" w:color="auto"/>
        <w:bottom w:val="none" w:sz="0" w:space="0" w:color="auto"/>
        <w:right w:val="none" w:sz="0" w:space="0" w:color="auto"/>
      </w:divBdr>
    </w:div>
    <w:div w:id="591087903">
      <w:bodyDiv w:val="1"/>
      <w:marLeft w:val="0"/>
      <w:marRight w:val="0"/>
      <w:marTop w:val="0"/>
      <w:marBottom w:val="0"/>
      <w:divBdr>
        <w:top w:val="none" w:sz="0" w:space="0" w:color="auto"/>
        <w:left w:val="none" w:sz="0" w:space="0" w:color="auto"/>
        <w:bottom w:val="none" w:sz="0" w:space="0" w:color="auto"/>
        <w:right w:val="none" w:sz="0" w:space="0" w:color="auto"/>
      </w:divBdr>
    </w:div>
    <w:div w:id="649331441">
      <w:bodyDiv w:val="1"/>
      <w:marLeft w:val="0"/>
      <w:marRight w:val="0"/>
      <w:marTop w:val="0"/>
      <w:marBottom w:val="0"/>
      <w:divBdr>
        <w:top w:val="none" w:sz="0" w:space="0" w:color="auto"/>
        <w:left w:val="none" w:sz="0" w:space="0" w:color="auto"/>
        <w:bottom w:val="none" w:sz="0" w:space="0" w:color="auto"/>
        <w:right w:val="none" w:sz="0" w:space="0" w:color="auto"/>
      </w:divBdr>
    </w:div>
    <w:div w:id="817265735">
      <w:bodyDiv w:val="1"/>
      <w:marLeft w:val="0"/>
      <w:marRight w:val="0"/>
      <w:marTop w:val="0"/>
      <w:marBottom w:val="0"/>
      <w:divBdr>
        <w:top w:val="none" w:sz="0" w:space="0" w:color="auto"/>
        <w:left w:val="none" w:sz="0" w:space="0" w:color="auto"/>
        <w:bottom w:val="none" w:sz="0" w:space="0" w:color="auto"/>
        <w:right w:val="none" w:sz="0" w:space="0" w:color="auto"/>
      </w:divBdr>
    </w:div>
    <w:div w:id="820731461">
      <w:bodyDiv w:val="1"/>
      <w:marLeft w:val="0"/>
      <w:marRight w:val="0"/>
      <w:marTop w:val="0"/>
      <w:marBottom w:val="0"/>
      <w:divBdr>
        <w:top w:val="none" w:sz="0" w:space="0" w:color="auto"/>
        <w:left w:val="none" w:sz="0" w:space="0" w:color="auto"/>
        <w:bottom w:val="none" w:sz="0" w:space="0" w:color="auto"/>
        <w:right w:val="none" w:sz="0" w:space="0" w:color="auto"/>
      </w:divBdr>
    </w:div>
    <w:div w:id="861937156">
      <w:bodyDiv w:val="1"/>
      <w:marLeft w:val="0"/>
      <w:marRight w:val="0"/>
      <w:marTop w:val="0"/>
      <w:marBottom w:val="0"/>
      <w:divBdr>
        <w:top w:val="none" w:sz="0" w:space="0" w:color="auto"/>
        <w:left w:val="none" w:sz="0" w:space="0" w:color="auto"/>
        <w:bottom w:val="none" w:sz="0" w:space="0" w:color="auto"/>
        <w:right w:val="none" w:sz="0" w:space="0" w:color="auto"/>
      </w:divBdr>
    </w:div>
    <w:div w:id="904148317">
      <w:bodyDiv w:val="1"/>
      <w:marLeft w:val="0"/>
      <w:marRight w:val="0"/>
      <w:marTop w:val="0"/>
      <w:marBottom w:val="0"/>
      <w:divBdr>
        <w:top w:val="none" w:sz="0" w:space="0" w:color="auto"/>
        <w:left w:val="none" w:sz="0" w:space="0" w:color="auto"/>
        <w:bottom w:val="none" w:sz="0" w:space="0" w:color="auto"/>
        <w:right w:val="none" w:sz="0" w:space="0" w:color="auto"/>
      </w:divBdr>
    </w:div>
    <w:div w:id="951788344">
      <w:bodyDiv w:val="1"/>
      <w:marLeft w:val="0"/>
      <w:marRight w:val="0"/>
      <w:marTop w:val="0"/>
      <w:marBottom w:val="0"/>
      <w:divBdr>
        <w:top w:val="none" w:sz="0" w:space="0" w:color="auto"/>
        <w:left w:val="none" w:sz="0" w:space="0" w:color="auto"/>
        <w:bottom w:val="none" w:sz="0" w:space="0" w:color="auto"/>
        <w:right w:val="none" w:sz="0" w:space="0" w:color="auto"/>
      </w:divBdr>
    </w:div>
    <w:div w:id="1334529320">
      <w:bodyDiv w:val="1"/>
      <w:marLeft w:val="0"/>
      <w:marRight w:val="0"/>
      <w:marTop w:val="0"/>
      <w:marBottom w:val="0"/>
      <w:divBdr>
        <w:top w:val="none" w:sz="0" w:space="0" w:color="auto"/>
        <w:left w:val="none" w:sz="0" w:space="0" w:color="auto"/>
        <w:bottom w:val="none" w:sz="0" w:space="0" w:color="auto"/>
        <w:right w:val="none" w:sz="0" w:space="0" w:color="auto"/>
      </w:divBdr>
    </w:div>
    <w:div w:id="1356419901">
      <w:bodyDiv w:val="1"/>
      <w:marLeft w:val="0"/>
      <w:marRight w:val="0"/>
      <w:marTop w:val="0"/>
      <w:marBottom w:val="0"/>
      <w:divBdr>
        <w:top w:val="none" w:sz="0" w:space="0" w:color="auto"/>
        <w:left w:val="none" w:sz="0" w:space="0" w:color="auto"/>
        <w:bottom w:val="none" w:sz="0" w:space="0" w:color="auto"/>
        <w:right w:val="none" w:sz="0" w:space="0" w:color="auto"/>
      </w:divBdr>
    </w:div>
    <w:div w:id="1413509378">
      <w:bodyDiv w:val="1"/>
      <w:marLeft w:val="0"/>
      <w:marRight w:val="0"/>
      <w:marTop w:val="0"/>
      <w:marBottom w:val="0"/>
      <w:divBdr>
        <w:top w:val="none" w:sz="0" w:space="0" w:color="auto"/>
        <w:left w:val="none" w:sz="0" w:space="0" w:color="auto"/>
        <w:bottom w:val="none" w:sz="0" w:space="0" w:color="auto"/>
        <w:right w:val="none" w:sz="0" w:space="0" w:color="auto"/>
      </w:divBdr>
    </w:div>
    <w:div w:id="1471634243">
      <w:bodyDiv w:val="1"/>
      <w:marLeft w:val="0"/>
      <w:marRight w:val="0"/>
      <w:marTop w:val="0"/>
      <w:marBottom w:val="0"/>
      <w:divBdr>
        <w:top w:val="none" w:sz="0" w:space="0" w:color="auto"/>
        <w:left w:val="none" w:sz="0" w:space="0" w:color="auto"/>
        <w:bottom w:val="none" w:sz="0" w:space="0" w:color="auto"/>
        <w:right w:val="none" w:sz="0" w:space="0" w:color="auto"/>
      </w:divBdr>
    </w:div>
    <w:div w:id="1493374113">
      <w:bodyDiv w:val="1"/>
      <w:marLeft w:val="0"/>
      <w:marRight w:val="0"/>
      <w:marTop w:val="0"/>
      <w:marBottom w:val="0"/>
      <w:divBdr>
        <w:top w:val="none" w:sz="0" w:space="0" w:color="auto"/>
        <w:left w:val="none" w:sz="0" w:space="0" w:color="auto"/>
        <w:bottom w:val="none" w:sz="0" w:space="0" w:color="auto"/>
        <w:right w:val="none" w:sz="0" w:space="0" w:color="auto"/>
      </w:divBdr>
    </w:div>
    <w:div w:id="1616982388">
      <w:bodyDiv w:val="1"/>
      <w:marLeft w:val="0"/>
      <w:marRight w:val="0"/>
      <w:marTop w:val="0"/>
      <w:marBottom w:val="0"/>
      <w:divBdr>
        <w:top w:val="none" w:sz="0" w:space="0" w:color="auto"/>
        <w:left w:val="none" w:sz="0" w:space="0" w:color="auto"/>
        <w:bottom w:val="none" w:sz="0" w:space="0" w:color="auto"/>
        <w:right w:val="none" w:sz="0" w:space="0" w:color="auto"/>
      </w:divBdr>
    </w:div>
    <w:div w:id="1646160930">
      <w:bodyDiv w:val="1"/>
      <w:marLeft w:val="0"/>
      <w:marRight w:val="0"/>
      <w:marTop w:val="0"/>
      <w:marBottom w:val="0"/>
      <w:divBdr>
        <w:top w:val="none" w:sz="0" w:space="0" w:color="auto"/>
        <w:left w:val="none" w:sz="0" w:space="0" w:color="auto"/>
        <w:bottom w:val="none" w:sz="0" w:space="0" w:color="auto"/>
        <w:right w:val="none" w:sz="0" w:space="0" w:color="auto"/>
      </w:divBdr>
    </w:div>
    <w:div w:id="1698504542">
      <w:bodyDiv w:val="1"/>
      <w:marLeft w:val="0"/>
      <w:marRight w:val="0"/>
      <w:marTop w:val="0"/>
      <w:marBottom w:val="0"/>
      <w:divBdr>
        <w:top w:val="none" w:sz="0" w:space="0" w:color="auto"/>
        <w:left w:val="none" w:sz="0" w:space="0" w:color="auto"/>
        <w:bottom w:val="none" w:sz="0" w:space="0" w:color="auto"/>
        <w:right w:val="none" w:sz="0" w:space="0" w:color="auto"/>
      </w:divBdr>
    </w:div>
    <w:div w:id="1819572038">
      <w:bodyDiv w:val="1"/>
      <w:marLeft w:val="0"/>
      <w:marRight w:val="0"/>
      <w:marTop w:val="0"/>
      <w:marBottom w:val="0"/>
      <w:divBdr>
        <w:top w:val="none" w:sz="0" w:space="0" w:color="auto"/>
        <w:left w:val="none" w:sz="0" w:space="0" w:color="auto"/>
        <w:bottom w:val="none" w:sz="0" w:space="0" w:color="auto"/>
        <w:right w:val="none" w:sz="0" w:space="0" w:color="auto"/>
      </w:divBdr>
    </w:div>
    <w:div w:id="1822888559">
      <w:bodyDiv w:val="1"/>
      <w:marLeft w:val="0"/>
      <w:marRight w:val="0"/>
      <w:marTop w:val="0"/>
      <w:marBottom w:val="0"/>
      <w:divBdr>
        <w:top w:val="none" w:sz="0" w:space="0" w:color="auto"/>
        <w:left w:val="none" w:sz="0" w:space="0" w:color="auto"/>
        <w:bottom w:val="none" w:sz="0" w:space="0" w:color="auto"/>
        <w:right w:val="none" w:sz="0" w:space="0" w:color="auto"/>
      </w:divBdr>
    </w:div>
    <w:div w:id="1859469378">
      <w:bodyDiv w:val="1"/>
      <w:marLeft w:val="0"/>
      <w:marRight w:val="0"/>
      <w:marTop w:val="0"/>
      <w:marBottom w:val="0"/>
      <w:divBdr>
        <w:top w:val="none" w:sz="0" w:space="0" w:color="auto"/>
        <w:left w:val="none" w:sz="0" w:space="0" w:color="auto"/>
        <w:bottom w:val="none" w:sz="0" w:space="0" w:color="auto"/>
        <w:right w:val="none" w:sz="0" w:space="0" w:color="auto"/>
      </w:divBdr>
    </w:div>
    <w:div w:id="20544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9.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chart" Target="charts/chart3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2.gif"/><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1.gi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5.xml"/><Relationship Id="rId43" Type="http://schemas.openxmlformats.org/officeDocument/2006/relationships/chart" Target="charts/chart3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8.xml"/><Relationship Id="rId20" Type="http://schemas.openxmlformats.org/officeDocument/2006/relationships/chart" Target="charts/chart12.xml"/><Relationship Id="rId41" Type="http://schemas.openxmlformats.org/officeDocument/2006/relationships/chart" Target="charts/chart3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stacked"/>
        <c:varyColors val="0"/>
        <c:ser>
          <c:idx val="0"/>
          <c:order val="0"/>
          <c:tx>
            <c:strRef>
              <c:f>Sheet1!$B$1</c:f>
              <c:strCache>
                <c:ptCount val="1"/>
                <c:pt idx="0">
                  <c:v>問題があると思う</c:v>
                </c:pt>
              </c:strCache>
            </c:strRef>
          </c:tx>
          <c:spPr>
            <a:pattFill prst="pct10">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Sheet1!$B$2:$B$17</c:f>
              <c:numCache>
                <c:formatCode>0.0_);[Red]\(0.0\)</c:formatCode>
                <c:ptCount val="16"/>
                <c:pt idx="0">
                  <c:v>53.5</c:v>
                </c:pt>
                <c:pt idx="1">
                  <c:v>24.8</c:v>
                </c:pt>
                <c:pt idx="2">
                  <c:v>8</c:v>
                </c:pt>
                <c:pt idx="3">
                  <c:v>91.3</c:v>
                </c:pt>
                <c:pt idx="4">
                  <c:v>80.900000000000006</c:v>
                </c:pt>
                <c:pt idx="5">
                  <c:v>36.700000000000003</c:v>
                </c:pt>
                <c:pt idx="6">
                  <c:v>10.199999999999999</c:v>
                </c:pt>
                <c:pt idx="7">
                  <c:v>46.5</c:v>
                </c:pt>
                <c:pt idx="8">
                  <c:v>26.1</c:v>
                </c:pt>
                <c:pt idx="9">
                  <c:v>24.3</c:v>
                </c:pt>
                <c:pt idx="10">
                  <c:v>26.9</c:v>
                </c:pt>
                <c:pt idx="11">
                  <c:v>31.4</c:v>
                </c:pt>
                <c:pt idx="12">
                  <c:v>14.2</c:v>
                </c:pt>
                <c:pt idx="13">
                  <c:v>21.1</c:v>
                </c:pt>
                <c:pt idx="14">
                  <c:v>3.2</c:v>
                </c:pt>
                <c:pt idx="15">
                  <c:v>44.9</c:v>
                </c:pt>
              </c:numCache>
            </c:numRef>
          </c:val>
        </c:ser>
        <c:ser>
          <c:idx val="1"/>
          <c:order val="1"/>
          <c:tx>
            <c:strRef>
              <c:f>Sheet1!$C$1</c:f>
              <c:strCache>
                <c:ptCount val="1"/>
                <c:pt idx="0">
                  <c:v>やや問題があると思う</c:v>
                </c:pt>
              </c:strCache>
            </c:strRef>
          </c:tx>
          <c:spPr>
            <a:pattFill prst="dotGrid">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Sheet1!$C$2:$C$17</c:f>
              <c:numCache>
                <c:formatCode>0.0_);[Red]\(0.0\)</c:formatCode>
                <c:ptCount val="16"/>
                <c:pt idx="0">
                  <c:v>29.2</c:v>
                </c:pt>
                <c:pt idx="1">
                  <c:v>30</c:v>
                </c:pt>
                <c:pt idx="2">
                  <c:v>13</c:v>
                </c:pt>
                <c:pt idx="3">
                  <c:v>5.0999999999999996</c:v>
                </c:pt>
                <c:pt idx="4">
                  <c:v>13.9</c:v>
                </c:pt>
                <c:pt idx="5">
                  <c:v>23.2</c:v>
                </c:pt>
                <c:pt idx="6">
                  <c:v>18.600000000000001</c:v>
                </c:pt>
                <c:pt idx="7">
                  <c:v>26.2</c:v>
                </c:pt>
                <c:pt idx="8">
                  <c:v>28.8</c:v>
                </c:pt>
                <c:pt idx="9">
                  <c:v>26.1</c:v>
                </c:pt>
                <c:pt idx="10">
                  <c:v>33</c:v>
                </c:pt>
                <c:pt idx="11">
                  <c:v>26.1</c:v>
                </c:pt>
                <c:pt idx="12">
                  <c:v>21.6</c:v>
                </c:pt>
                <c:pt idx="13">
                  <c:v>28.4</c:v>
                </c:pt>
                <c:pt idx="14">
                  <c:v>8.9</c:v>
                </c:pt>
                <c:pt idx="15">
                  <c:v>31.1</c:v>
                </c:pt>
              </c:numCache>
            </c:numRef>
          </c:val>
        </c:ser>
        <c:ser>
          <c:idx val="2"/>
          <c:order val="2"/>
          <c:tx>
            <c:strRef>
              <c:f>Sheet1!$D$1</c:f>
              <c:strCache>
                <c:ptCount val="1"/>
                <c:pt idx="0">
                  <c:v>あまり問題があると思わない</c:v>
                </c:pt>
              </c:strCache>
            </c:strRef>
          </c:tx>
          <c:spPr>
            <a:pattFill prst="pct40">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Sheet1!$D$2:$D$17</c:f>
              <c:numCache>
                <c:formatCode>0.0_);[Red]\(0.0\)</c:formatCode>
                <c:ptCount val="16"/>
                <c:pt idx="0">
                  <c:v>5.7</c:v>
                </c:pt>
                <c:pt idx="1">
                  <c:v>14.7</c:v>
                </c:pt>
                <c:pt idx="2">
                  <c:v>26.6</c:v>
                </c:pt>
                <c:pt idx="3">
                  <c:v>0.6</c:v>
                </c:pt>
                <c:pt idx="4">
                  <c:v>1.4</c:v>
                </c:pt>
                <c:pt idx="5">
                  <c:v>13.6</c:v>
                </c:pt>
                <c:pt idx="6">
                  <c:v>26.4</c:v>
                </c:pt>
                <c:pt idx="7">
                  <c:v>7.8</c:v>
                </c:pt>
                <c:pt idx="8">
                  <c:v>14.3</c:v>
                </c:pt>
                <c:pt idx="9">
                  <c:v>10.6</c:v>
                </c:pt>
                <c:pt idx="10">
                  <c:v>14.7</c:v>
                </c:pt>
                <c:pt idx="11">
                  <c:v>14.2</c:v>
                </c:pt>
                <c:pt idx="12">
                  <c:v>24.4</c:v>
                </c:pt>
                <c:pt idx="13">
                  <c:v>16.100000000000001</c:v>
                </c:pt>
                <c:pt idx="14">
                  <c:v>22.2</c:v>
                </c:pt>
                <c:pt idx="15">
                  <c:v>11.9</c:v>
                </c:pt>
              </c:numCache>
            </c:numRef>
          </c:val>
        </c:ser>
        <c:ser>
          <c:idx val="3"/>
          <c:order val="3"/>
          <c:tx>
            <c:strRef>
              <c:f>Sheet1!$E$1</c:f>
              <c:strCache>
                <c:ptCount val="1"/>
                <c:pt idx="0">
                  <c:v>問題があると思わない</c:v>
                </c:pt>
              </c:strCache>
            </c:strRef>
          </c:tx>
          <c:spPr>
            <a:pattFill prst="pct20">
              <a:fgClr>
                <a:schemeClr val="tx1">
                  <a:lumMod val="50000"/>
                  <a:lumOff val="50000"/>
                </a:schemeClr>
              </a:fgClr>
              <a:bgClr>
                <a:schemeClr val="bg1"/>
              </a:bgClr>
            </a:pattFill>
            <a:ln>
              <a:solidFill>
                <a:schemeClr val="bg1">
                  <a:lumMod val="50000"/>
                </a:schemeClr>
              </a:solidFill>
            </a:ln>
          </c:spPr>
          <c:invertIfNegative val="0"/>
          <c:dLbls>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Sheet1!$E$2:$E$17</c:f>
              <c:numCache>
                <c:formatCode>0.0_);[Red]\(0.0\)</c:formatCode>
                <c:ptCount val="16"/>
                <c:pt idx="0">
                  <c:v>2.6</c:v>
                </c:pt>
                <c:pt idx="1">
                  <c:v>10.199999999999999</c:v>
                </c:pt>
                <c:pt idx="2">
                  <c:v>40.6</c:v>
                </c:pt>
                <c:pt idx="3">
                  <c:v>0.4</c:v>
                </c:pt>
                <c:pt idx="4">
                  <c:v>0.8</c:v>
                </c:pt>
                <c:pt idx="5">
                  <c:v>9.9</c:v>
                </c:pt>
                <c:pt idx="6">
                  <c:v>25.3</c:v>
                </c:pt>
                <c:pt idx="7">
                  <c:v>5.6</c:v>
                </c:pt>
                <c:pt idx="8">
                  <c:v>8.4</c:v>
                </c:pt>
                <c:pt idx="9">
                  <c:v>11.1</c:v>
                </c:pt>
                <c:pt idx="10">
                  <c:v>6.8</c:v>
                </c:pt>
                <c:pt idx="11">
                  <c:v>11.3</c:v>
                </c:pt>
                <c:pt idx="12">
                  <c:v>14.6</c:v>
                </c:pt>
                <c:pt idx="13">
                  <c:v>13.6</c:v>
                </c:pt>
                <c:pt idx="14">
                  <c:v>58</c:v>
                </c:pt>
                <c:pt idx="15">
                  <c:v>4.0999999999999996</c:v>
                </c:pt>
              </c:numCache>
            </c:numRef>
          </c:val>
        </c:ser>
        <c:ser>
          <c:idx val="4"/>
          <c:order val="4"/>
          <c:tx>
            <c:strRef>
              <c:f>Sheet1!$F$1</c:f>
              <c:strCache>
                <c:ptCount val="1"/>
                <c:pt idx="0">
                  <c:v>何とも言えない</c:v>
                </c:pt>
              </c:strCache>
            </c:strRef>
          </c:tx>
          <c:spPr>
            <a:pattFill prst="dashDnDiag">
              <a:fgClr>
                <a:schemeClr val="tx1">
                  <a:lumMod val="50000"/>
                  <a:lumOff val="50000"/>
                </a:schemeClr>
              </a:fgClr>
              <a:bgClr>
                <a:schemeClr val="bg1"/>
              </a:bgClr>
            </a:pattFill>
            <a:ln>
              <a:solidFill>
                <a:schemeClr val="bg1">
                  <a:lumMod val="50000"/>
                </a:schemeClr>
              </a:solidFill>
            </a:ln>
          </c:spPr>
          <c:invertIfNegative val="0"/>
          <c:dLbls>
            <c:spPr>
              <a:ln>
                <a:noFill/>
              </a:ln>
            </c:spPr>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Sheet1!$F$2:$F$17</c:f>
              <c:numCache>
                <c:formatCode>0.0_);[Red]\(0.0\)</c:formatCode>
                <c:ptCount val="16"/>
                <c:pt idx="0">
                  <c:v>6.8</c:v>
                </c:pt>
                <c:pt idx="1">
                  <c:v>17.899999999999999</c:v>
                </c:pt>
                <c:pt idx="2">
                  <c:v>9.9</c:v>
                </c:pt>
                <c:pt idx="3">
                  <c:v>1</c:v>
                </c:pt>
                <c:pt idx="4">
                  <c:v>1.5</c:v>
                </c:pt>
                <c:pt idx="5">
                  <c:v>14.6</c:v>
                </c:pt>
                <c:pt idx="6">
                  <c:v>18</c:v>
                </c:pt>
                <c:pt idx="7">
                  <c:v>12</c:v>
                </c:pt>
                <c:pt idx="8">
                  <c:v>20.5</c:v>
                </c:pt>
                <c:pt idx="9">
                  <c:v>26.1</c:v>
                </c:pt>
                <c:pt idx="10">
                  <c:v>16.8</c:v>
                </c:pt>
                <c:pt idx="11">
                  <c:v>15.1</c:v>
                </c:pt>
                <c:pt idx="12">
                  <c:v>23</c:v>
                </c:pt>
                <c:pt idx="13">
                  <c:v>19.3</c:v>
                </c:pt>
                <c:pt idx="14">
                  <c:v>6.1</c:v>
                </c:pt>
                <c:pt idx="15">
                  <c:v>6</c:v>
                </c:pt>
              </c:numCache>
            </c:numRef>
          </c:val>
        </c:ser>
        <c:ser>
          <c:idx val="5"/>
          <c:order val="5"/>
          <c:tx>
            <c:strRef>
              <c:f>Sheet1!$G$1</c:f>
              <c:strCache>
                <c:ptCount val="1"/>
                <c:pt idx="0">
                  <c:v>無回答・不明</c:v>
                </c:pt>
              </c:strCache>
            </c:strRef>
          </c:tx>
          <c:spPr>
            <a:noFill/>
            <a:ln>
              <a:solidFill>
                <a:schemeClr val="bg1">
                  <a:lumMod val="50000"/>
                </a:schemeClr>
              </a:solidFill>
            </a:ln>
          </c:spPr>
          <c:invertIfNegative val="0"/>
          <c:dLbls>
            <c:dLbl>
              <c:idx val="0"/>
              <c:layout>
                <c:manualLayout>
                  <c:x val="2.180217976734113E-2"/>
                  <c:y val="-1.2516035398509461E-16"/>
                </c:manualLayout>
              </c:layout>
              <c:dLblPos val="ctr"/>
              <c:showLegendKey val="0"/>
              <c:showVal val="1"/>
              <c:showCatName val="0"/>
              <c:showSerName val="0"/>
              <c:showPercent val="0"/>
              <c:showBubbleSize val="0"/>
            </c:dLbl>
            <c:dLbl>
              <c:idx val="1"/>
              <c:layout>
                <c:manualLayout>
                  <c:x val="2.180217976734113E-2"/>
                  <c:y val="-1.2516035398509461E-16"/>
                </c:manualLayout>
              </c:layout>
              <c:dLblPos val="ctr"/>
              <c:showLegendKey val="0"/>
              <c:showVal val="1"/>
              <c:showCatName val="0"/>
              <c:showSerName val="0"/>
              <c:showPercent val="0"/>
              <c:showBubbleSize val="0"/>
            </c:dLbl>
            <c:dLbl>
              <c:idx val="2"/>
              <c:layout>
                <c:manualLayout>
                  <c:x val="2.0439543531882109E-2"/>
                  <c:y val="0"/>
                </c:manualLayout>
              </c:layout>
              <c:dLblPos val="ctr"/>
              <c:showLegendKey val="0"/>
              <c:showVal val="1"/>
              <c:showCatName val="0"/>
              <c:showSerName val="0"/>
              <c:showPercent val="0"/>
              <c:showBubbleSize val="0"/>
            </c:dLbl>
            <c:dLbl>
              <c:idx val="3"/>
              <c:layout>
                <c:manualLayout>
                  <c:x val="1.9076907296423487E-2"/>
                  <c:y val="0"/>
                </c:manualLayout>
              </c:layout>
              <c:dLblPos val="ctr"/>
              <c:showLegendKey val="0"/>
              <c:showVal val="1"/>
              <c:showCatName val="0"/>
              <c:showSerName val="0"/>
              <c:showPercent val="0"/>
              <c:showBubbleSize val="0"/>
            </c:dLbl>
            <c:dLbl>
              <c:idx val="4"/>
              <c:layout>
                <c:manualLayout>
                  <c:x val="1.9076907296423289E-2"/>
                  <c:y val="0"/>
                </c:manualLayout>
              </c:layout>
              <c:dLblPos val="ctr"/>
              <c:showLegendKey val="0"/>
              <c:showVal val="1"/>
              <c:showCatName val="0"/>
              <c:showSerName val="0"/>
              <c:showPercent val="0"/>
              <c:showBubbleSize val="0"/>
            </c:dLbl>
            <c:dLbl>
              <c:idx val="5"/>
              <c:layout>
                <c:manualLayout>
                  <c:x val="2.0439543531882307E-2"/>
                  <c:y val="0"/>
                </c:manualLayout>
              </c:layout>
              <c:dLblPos val="ctr"/>
              <c:showLegendKey val="0"/>
              <c:showVal val="1"/>
              <c:showCatName val="0"/>
              <c:showSerName val="0"/>
              <c:showPercent val="0"/>
              <c:showBubbleSize val="0"/>
            </c:dLbl>
            <c:dLbl>
              <c:idx val="6"/>
              <c:layout>
                <c:manualLayout>
                  <c:x val="1.9076907296423289E-2"/>
                  <c:y val="-6.2580176992547304E-17"/>
                </c:manualLayout>
              </c:layout>
              <c:dLblPos val="ctr"/>
              <c:showLegendKey val="0"/>
              <c:showVal val="1"/>
              <c:showCatName val="0"/>
              <c:showSerName val="0"/>
              <c:showPercent val="0"/>
              <c:showBubbleSize val="0"/>
            </c:dLbl>
            <c:dLbl>
              <c:idx val="7"/>
              <c:layout>
                <c:manualLayout>
                  <c:x val="2.0439543531882307E-2"/>
                  <c:y val="1.7066174262048849E-3"/>
                </c:manualLayout>
              </c:layout>
              <c:dLblPos val="ctr"/>
              <c:showLegendKey val="0"/>
              <c:showVal val="1"/>
              <c:showCatName val="0"/>
              <c:showSerName val="0"/>
              <c:showPercent val="0"/>
              <c:showBubbleSize val="0"/>
            </c:dLbl>
            <c:dLbl>
              <c:idx val="8"/>
              <c:layout>
                <c:manualLayout>
                  <c:x val="2.0439543531882307E-2"/>
                  <c:y val="6.2580176992547304E-17"/>
                </c:manualLayout>
              </c:layout>
              <c:dLblPos val="ctr"/>
              <c:showLegendKey val="0"/>
              <c:showVal val="1"/>
              <c:showCatName val="0"/>
              <c:showSerName val="0"/>
              <c:showPercent val="0"/>
              <c:showBubbleSize val="0"/>
            </c:dLbl>
            <c:dLbl>
              <c:idx val="9"/>
              <c:layout>
                <c:manualLayout>
                  <c:x val="2.0439543531882307E-2"/>
                  <c:y val="0"/>
                </c:manualLayout>
              </c:layout>
              <c:dLblPos val="ctr"/>
              <c:showLegendKey val="0"/>
              <c:showVal val="1"/>
              <c:showCatName val="0"/>
              <c:showSerName val="0"/>
              <c:showPercent val="0"/>
              <c:showBubbleSize val="0"/>
            </c:dLbl>
            <c:dLbl>
              <c:idx val="10"/>
              <c:layout>
                <c:manualLayout>
                  <c:x val="2.0439543531882307E-2"/>
                  <c:y val="0"/>
                </c:manualLayout>
              </c:layout>
              <c:dLblPos val="ctr"/>
              <c:showLegendKey val="0"/>
              <c:showVal val="1"/>
              <c:showCatName val="0"/>
              <c:showSerName val="0"/>
              <c:showPercent val="0"/>
              <c:showBubbleSize val="0"/>
            </c:dLbl>
            <c:dLbl>
              <c:idx val="11"/>
              <c:layout>
                <c:manualLayout>
                  <c:x val="2.0439543531882109E-2"/>
                  <c:y val="-6.2580176992547304E-17"/>
                </c:manualLayout>
              </c:layout>
              <c:dLblPos val="ctr"/>
              <c:showLegendKey val="0"/>
              <c:showVal val="1"/>
              <c:showCatName val="0"/>
              <c:showSerName val="0"/>
              <c:showPercent val="0"/>
              <c:showBubbleSize val="0"/>
            </c:dLbl>
            <c:dLbl>
              <c:idx val="12"/>
              <c:layout>
                <c:manualLayout>
                  <c:x val="2.180217976734113E-2"/>
                  <c:y val="-3.1290088496273652E-17"/>
                </c:manualLayout>
              </c:layout>
              <c:dLblPos val="ctr"/>
              <c:showLegendKey val="0"/>
              <c:showVal val="1"/>
              <c:showCatName val="0"/>
              <c:showSerName val="0"/>
              <c:showPercent val="0"/>
              <c:showBubbleSize val="0"/>
            </c:dLbl>
            <c:dLbl>
              <c:idx val="13"/>
              <c:layout>
                <c:manualLayout>
                  <c:x val="1.9076907296423487E-2"/>
                  <c:y val="0"/>
                </c:manualLayout>
              </c:layout>
              <c:dLblPos val="ctr"/>
              <c:showLegendKey val="0"/>
              <c:showVal val="1"/>
              <c:showCatName val="0"/>
              <c:showSerName val="0"/>
              <c:showPercent val="0"/>
              <c:showBubbleSize val="0"/>
            </c:dLbl>
            <c:dLbl>
              <c:idx val="14"/>
              <c:layout>
                <c:manualLayout>
                  <c:x val="1.9076907296423289E-2"/>
                  <c:y val="-1.5645044248136826E-17"/>
                </c:manualLayout>
              </c:layout>
              <c:dLblPos val="ctr"/>
              <c:showLegendKey val="0"/>
              <c:showVal val="1"/>
              <c:showCatName val="0"/>
              <c:showSerName val="0"/>
              <c:showPercent val="0"/>
              <c:showBubbleSize val="0"/>
            </c:dLbl>
            <c:dLbl>
              <c:idx val="15"/>
              <c:layout>
                <c:manualLayout>
                  <c:x val="2.0439543531882307E-2"/>
                  <c:y val="-7.822522124068413E-18"/>
                </c:manualLayout>
              </c:layout>
              <c:dLblPos val="ctr"/>
              <c:showLegendKey val="0"/>
              <c:showVal val="1"/>
              <c:showCatName val="0"/>
              <c:showSerName val="0"/>
              <c:showPercent val="0"/>
              <c:showBubbleSize val="0"/>
            </c:dLbl>
            <c:txPr>
              <a:bodyPr/>
              <a:lstStyle/>
              <a:p>
                <a:pPr>
                  <a:defRPr sz="900" b="1"/>
                </a:pPr>
                <a:endParaRPr lang="ja-JP"/>
              </a:p>
            </c:txPr>
            <c:dLblPos val="ctr"/>
            <c:showLegendKey val="0"/>
            <c:showVal val="1"/>
            <c:showCatName val="0"/>
            <c:showSerName val="0"/>
            <c:showPercent val="0"/>
            <c:showBubbleSize val="0"/>
            <c:showLeaderLines val="0"/>
          </c:dLbls>
          <c:cat>
            <c:strRef>
              <c:f>Sheet1!$A$2:$A$17</c:f>
              <c:strCache>
                <c:ptCount val="16"/>
                <c:pt idx="0">
                  <c:v>(16)恋人や配偶者の携帯電話やスマートフォンの通信履歴を見る</c:v>
                </c:pt>
                <c:pt idx="1">
                  <c:v>(15)ニートや引きこもりの人に「怠けてないで働きなさい」と言う</c:v>
                </c:pt>
                <c:pt idx="2">
                  <c:v>(14)災害時に支援が必要な人のリストを作成するため、自治会の
住民に緊急連絡先や疾病、障がいの有無などを尋ねる</c:v>
                </c:pt>
                <c:pt idx="3">
                  <c:v>(13)インターネットのサイトに他人の誹謗中傷を書き込む</c:v>
                </c:pt>
                <c:pt idx="4">
                  <c:v>(12)人前で部下を長時間にわたり大声で叱る</c:v>
                </c:pt>
                <c:pt idx="5">
                  <c:v>(11)職場で同性愛者と席が隣になることを嫌がる</c:v>
                </c:pt>
                <c:pt idx="6">
                  <c:v>(10)公園でホームレスが近づいてきたので、足早に立ち去る</c:v>
                </c:pt>
                <c:pt idx="7">
                  <c:v>(9)痴漢の被害者に「あなたにも問題があったのではないか」と言う</c:v>
                </c:pt>
                <c:pt idx="8">
                  <c:v>(8)こころの病のある人には関わらないようする</c:v>
                </c:pt>
                <c:pt idx="9">
                  <c:v>(7)HIV感染者やハンセン病回復者とは一緒に食事や入浴をしない</c:v>
                </c:pt>
                <c:pt idx="10">
                  <c:v>(6)同じマンションに住む外国人とは生活文化が異なり、
日本語があまり話せないので、付き合わないようにする</c:v>
                </c:pt>
                <c:pt idx="11">
                  <c:v>(5)結婚する際、興信所や探偵業者などを使って相手の出自を調べる</c:v>
                </c:pt>
                <c:pt idx="12">
                  <c:v>(4)視覚障がい者との会話ではテレビや映画、
風景などは意識して話題にしないようにする</c:v>
                </c:pt>
                <c:pt idx="13">
                  <c:v>(3)家族が不在の際、介護が必要な高齢者を家から出られなくする</c:v>
                </c:pt>
                <c:pt idx="14">
                  <c:v>(2)中学生の携帯電話やスマートフォンの使用を親の判断で制限する</c:v>
                </c:pt>
                <c:pt idx="15">
                  <c:v>(1)職場で顔を合わせるたびに「まだ結婚しないのか」と言う</c:v>
                </c:pt>
              </c:strCache>
            </c:strRef>
          </c:cat>
          <c:val>
            <c:numRef>
              <c:f>Sheet1!$G$2:$G$17</c:f>
              <c:numCache>
                <c:formatCode>0.0_);[Red]\(0.0\)</c:formatCode>
                <c:ptCount val="16"/>
                <c:pt idx="0">
                  <c:v>2.1</c:v>
                </c:pt>
                <c:pt idx="1">
                  <c:v>2.2999999999999998</c:v>
                </c:pt>
                <c:pt idx="2">
                  <c:v>1.9</c:v>
                </c:pt>
                <c:pt idx="3">
                  <c:v>1.7</c:v>
                </c:pt>
                <c:pt idx="4">
                  <c:v>1.4</c:v>
                </c:pt>
                <c:pt idx="5">
                  <c:v>1.9</c:v>
                </c:pt>
                <c:pt idx="6">
                  <c:v>1.4</c:v>
                </c:pt>
                <c:pt idx="7">
                  <c:v>1.9</c:v>
                </c:pt>
                <c:pt idx="8">
                  <c:v>1.8</c:v>
                </c:pt>
                <c:pt idx="9">
                  <c:v>1.7</c:v>
                </c:pt>
                <c:pt idx="10">
                  <c:v>1.8</c:v>
                </c:pt>
                <c:pt idx="11">
                  <c:v>1.9</c:v>
                </c:pt>
                <c:pt idx="12">
                  <c:v>2.1</c:v>
                </c:pt>
                <c:pt idx="13">
                  <c:v>1.5</c:v>
                </c:pt>
                <c:pt idx="14">
                  <c:v>1.6</c:v>
                </c:pt>
                <c:pt idx="15">
                  <c:v>2</c:v>
                </c:pt>
              </c:numCache>
            </c:numRef>
          </c:val>
        </c:ser>
        <c:dLbls>
          <c:dLblPos val="ctr"/>
          <c:showLegendKey val="0"/>
          <c:showVal val="1"/>
          <c:showCatName val="0"/>
          <c:showSerName val="0"/>
          <c:showPercent val="0"/>
          <c:showBubbleSize val="0"/>
        </c:dLbls>
        <c:gapWidth val="62"/>
        <c:overlap val="100"/>
        <c:serLines>
          <c:spPr>
            <a:ln w="3175">
              <a:prstDash val="sysDot"/>
            </a:ln>
          </c:spPr>
        </c:serLines>
        <c:axId val="231571456"/>
        <c:axId val="225175232"/>
      </c:barChart>
      <c:catAx>
        <c:axId val="231571456"/>
        <c:scaling>
          <c:orientation val="minMax"/>
        </c:scaling>
        <c:delete val="0"/>
        <c:axPos val="l"/>
        <c:majorTickMark val="out"/>
        <c:minorTickMark val="none"/>
        <c:tickLblPos val="nextTo"/>
        <c:txPr>
          <a:bodyPr/>
          <a:lstStyle/>
          <a:p>
            <a:pPr>
              <a:defRPr sz="900"/>
            </a:pPr>
            <a:endParaRPr lang="ja-JP"/>
          </a:p>
        </c:txPr>
        <c:crossAx val="225175232"/>
        <c:crosses val="autoZero"/>
        <c:auto val="1"/>
        <c:lblAlgn val="ctr"/>
        <c:lblOffset val="100"/>
        <c:noMultiLvlLbl val="0"/>
      </c:catAx>
      <c:valAx>
        <c:axId val="225175232"/>
        <c:scaling>
          <c:orientation val="minMax"/>
          <c:max val="100"/>
          <c:min val="0"/>
        </c:scaling>
        <c:delete val="0"/>
        <c:axPos val="b"/>
        <c:numFmt formatCode="#,##0_);[Red]\(#,##0\)" sourceLinked="0"/>
        <c:majorTickMark val="out"/>
        <c:minorTickMark val="none"/>
        <c:tickLblPos val="high"/>
        <c:crossAx val="231571456"/>
        <c:crosses val="autoZero"/>
        <c:crossBetween val="between"/>
        <c:majorUnit val="10"/>
        <c:minorUnit val="2"/>
      </c:valAx>
      <c:spPr>
        <a:ln>
          <a:solidFill>
            <a:schemeClr val="tx1">
              <a:lumMod val="50000"/>
              <a:lumOff val="50000"/>
            </a:schemeClr>
          </a:solidFill>
        </a:ln>
      </c:spPr>
    </c:plotArea>
    <c:legend>
      <c:legendPos val="b"/>
      <c:layout/>
      <c:overlay val="0"/>
      <c:spPr>
        <a:ln>
          <a:solidFill>
            <a:schemeClr val="bg1">
              <a:lumMod val="50000"/>
            </a:schemeClr>
          </a:solidFill>
        </a:ln>
      </c:spPr>
    </c:legend>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7564812094657"/>
          <c:y val="3.9091297755721947E-2"/>
          <c:w val="0.78028215772007925"/>
          <c:h val="0.91035456894259481"/>
        </c:manualLayout>
      </c:layout>
      <c:doughnutChart>
        <c:varyColors val="1"/>
        <c:ser>
          <c:idx val="0"/>
          <c:order val="0"/>
          <c:tx>
            <c:strRef>
              <c:f>Sheet1!$B$1</c:f>
              <c:strCache>
                <c:ptCount val="1"/>
                <c:pt idx="0">
                  <c:v>列1</c:v>
                </c:pt>
              </c:strCache>
            </c:strRef>
          </c:tx>
          <c:spPr>
            <a:ln w="15875">
              <a:solidFill>
                <a:schemeClr val="tx1"/>
              </a:solidFill>
            </a:ln>
          </c:spPr>
          <c:explosion val="1"/>
          <c:dPt>
            <c:idx val="0"/>
            <c:bubble3D val="0"/>
            <c:explosion val="5"/>
            <c:spPr>
              <a:pattFill prst="pct10">
                <a:fgClr>
                  <a:schemeClr val="bg1">
                    <a:lumMod val="50000"/>
                  </a:schemeClr>
                </a:fgClr>
                <a:bgClr>
                  <a:schemeClr val="bg1"/>
                </a:bgClr>
              </a:pattFill>
              <a:ln w="15875">
                <a:solidFill>
                  <a:schemeClr val="tx1"/>
                </a:solidFill>
              </a:ln>
            </c:spPr>
          </c:dPt>
          <c:dPt>
            <c:idx val="1"/>
            <c:bubble3D val="0"/>
            <c:explosion val="4"/>
            <c:spPr>
              <a:pattFill prst="pct25">
                <a:fgClr>
                  <a:schemeClr val="bg1">
                    <a:lumMod val="50000"/>
                  </a:schemeClr>
                </a:fgClr>
                <a:bgClr>
                  <a:schemeClr val="bg1"/>
                </a:bgClr>
              </a:pattFill>
              <a:ln w="15875">
                <a:solidFill>
                  <a:schemeClr val="tx1"/>
                </a:solidFill>
              </a:ln>
            </c:spPr>
          </c:dPt>
          <c:dPt>
            <c:idx val="2"/>
            <c:bubble3D val="0"/>
            <c:spPr>
              <a:noFill/>
              <a:ln w="15875">
                <a:solidFill>
                  <a:schemeClr val="tx1"/>
                </a:solidFill>
              </a:ln>
            </c:spPr>
          </c:dPt>
          <c:dLbls>
            <c:dLbl>
              <c:idx val="0"/>
              <c:layout>
                <c:manualLayout>
                  <c:x val="2.3420127094506495E-2"/>
                  <c:y val="-2.7334245181460225E-2"/>
                </c:manualLayout>
              </c:layout>
              <c:tx>
                <c:rich>
                  <a:bodyPr/>
                  <a:lstStyle/>
                  <a:p>
                    <a:r>
                      <a:rPr lang="ja-JP" altLang="en-US"/>
                      <a:t>参加したことがある</a:t>
                    </a:r>
                    <a:endParaRPr lang="en-US" altLang="ja-JP"/>
                  </a:p>
                  <a:p>
                    <a:r>
                      <a:rPr lang="en-US" altLang="ja-JP"/>
                      <a:t>11.0%</a:t>
                    </a:r>
                  </a:p>
                </c:rich>
              </c:tx>
              <c:showLegendKey val="0"/>
              <c:showVal val="1"/>
              <c:showCatName val="1"/>
              <c:showSerName val="0"/>
              <c:showPercent val="1"/>
              <c:showBubbleSize val="0"/>
            </c:dLbl>
            <c:dLbl>
              <c:idx val="1"/>
              <c:layout>
                <c:manualLayout>
                  <c:x val="8.0450727670904554E-2"/>
                  <c:y val="-7.8143049554398741E-3"/>
                </c:manualLayout>
              </c:layout>
              <c:tx>
                <c:rich>
                  <a:bodyPr/>
                  <a:lstStyle/>
                  <a:p>
                    <a:r>
                      <a:rPr lang="ja-JP" altLang="en-US"/>
                      <a:t>参加したことがない</a:t>
                    </a:r>
                    <a:endParaRPr lang="en-US" altLang="ja-JP"/>
                  </a:p>
                  <a:p>
                    <a:r>
                      <a:rPr lang="en-US" altLang="ja-JP"/>
                      <a:t>86.5%</a:t>
                    </a:r>
                  </a:p>
                </c:rich>
              </c:tx>
              <c:showLegendKey val="0"/>
              <c:showVal val="1"/>
              <c:showCatName val="1"/>
              <c:showSerName val="0"/>
              <c:showPercent val="1"/>
              <c:showBubbleSize val="0"/>
            </c:dLbl>
            <c:dLbl>
              <c:idx val="2"/>
              <c:layout>
                <c:manualLayout>
                  <c:x val="-0.36660847674087416"/>
                  <c:y val="-9.8915480266252728E-2"/>
                </c:manualLayout>
              </c:layout>
              <c:tx>
                <c:rich>
                  <a:bodyPr/>
                  <a:lstStyle/>
                  <a:p>
                    <a:r>
                      <a:rPr lang="ja-JP" altLang="en-US"/>
                      <a:t>無回答・</a:t>
                    </a:r>
                    <a:endParaRPr lang="en-US" altLang="ja-JP"/>
                  </a:p>
                  <a:p>
                    <a:r>
                      <a:rPr lang="ja-JP" altLang="en-US"/>
                      <a:t>不明</a:t>
                    </a:r>
                    <a:endParaRPr lang="en-US" altLang="ja-JP"/>
                  </a:p>
                  <a:p>
                    <a:r>
                      <a:rPr lang="en-US" altLang="ja-JP"/>
                      <a:t>2.5%</a:t>
                    </a:r>
                  </a:p>
                </c:rich>
              </c:tx>
              <c:showLegendKey val="0"/>
              <c:showVal val="1"/>
              <c:showCatName val="1"/>
              <c:showSerName val="0"/>
              <c:showPercent val="1"/>
              <c:showBubbleSize val="0"/>
            </c:dLbl>
            <c:txPr>
              <a:bodyPr/>
              <a:lstStyle/>
              <a:p>
                <a:pPr>
                  <a:defRPr sz="1200" b="1">
                    <a:latin typeface="+mj-ea"/>
                    <a:ea typeface="+mj-ea"/>
                  </a:defRPr>
                </a:pPr>
                <a:endParaRPr lang="ja-JP"/>
              </a:p>
            </c:txPr>
            <c:showLegendKey val="0"/>
            <c:showVal val="1"/>
            <c:showCatName val="1"/>
            <c:showSerName val="0"/>
            <c:showPercent val="1"/>
            <c:showBubbleSize val="0"/>
            <c:showLeaderLines val="1"/>
          </c:dLbls>
          <c:cat>
            <c:strRef>
              <c:f>Sheet1!$A$2:$A$4</c:f>
              <c:strCache>
                <c:ptCount val="3"/>
                <c:pt idx="0">
                  <c:v>参加したことがある</c:v>
                </c:pt>
                <c:pt idx="1">
                  <c:v>参加したことがない</c:v>
                </c:pt>
                <c:pt idx="2">
                  <c:v>無回答・不明</c:v>
                </c:pt>
              </c:strCache>
            </c:strRef>
          </c:cat>
          <c:val>
            <c:numRef>
              <c:f>Sheet1!$B$2:$B$4</c:f>
              <c:numCache>
                <c:formatCode>General</c:formatCode>
                <c:ptCount val="3"/>
                <c:pt idx="0">
                  <c:v>150</c:v>
                </c:pt>
                <c:pt idx="1">
                  <c:v>1174</c:v>
                </c:pt>
                <c:pt idx="2">
                  <c:v>34</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en-US" altLang="ja-JP"/>
              <a:t>【</a:t>
            </a:r>
            <a:r>
              <a:rPr lang="ja-JP" altLang="en-US"/>
              <a:t>問</a:t>
            </a:r>
            <a:r>
              <a:rPr lang="en-US" altLang="ja-JP"/>
              <a:t>6</a:t>
            </a:r>
            <a:r>
              <a:rPr lang="ja-JP" altLang="en-US"/>
              <a:t>－</a:t>
            </a:r>
            <a:r>
              <a:rPr lang="en-US" altLang="ja-JP"/>
              <a:t>1a】 
</a:t>
            </a:r>
            <a:r>
              <a:rPr lang="ja-JP" altLang="en-US"/>
              <a:t>また参加したいですか？
</a:t>
            </a:r>
            <a:r>
              <a:rPr lang="en-US" altLang="ja-JP" b="0"/>
              <a:t>※</a:t>
            </a:r>
            <a:r>
              <a:rPr lang="ja-JP" altLang="en-US" b="0"/>
              <a:t>いずれか</a:t>
            </a:r>
            <a:r>
              <a:rPr lang="en-US" altLang="ja-JP" b="0"/>
              <a:t>1</a:t>
            </a:r>
            <a:r>
              <a:rPr lang="ja-JP" altLang="en-US" b="0"/>
              <a:t>つに○</a:t>
            </a:r>
          </a:p>
        </c:rich>
      </c:tx>
      <c:layout>
        <c:manualLayout>
          <c:xMode val="edge"/>
          <c:yMode val="edge"/>
          <c:x val="0.34257510945820069"/>
          <c:y val="0.42673582439237401"/>
        </c:manualLayout>
      </c:layout>
      <c:overlay val="0"/>
    </c:title>
    <c:autoTitleDeleted val="0"/>
    <c:plotArea>
      <c:layout>
        <c:manualLayout>
          <c:layoutTarget val="inner"/>
          <c:xMode val="edge"/>
          <c:yMode val="edge"/>
          <c:x val="9.3956457229612142E-2"/>
          <c:y val="3.5044268595469288E-2"/>
          <c:w val="0.83903531519637886"/>
          <c:h val="0.94641274622044447"/>
        </c:manualLayout>
      </c:layout>
      <c:doughnutChart>
        <c:varyColors val="1"/>
        <c:ser>
          <c:idx val="0"/>
          <c:order val="0"/>
          <c:tx>
            <c:strRef>
              <c:f>Sheet1!$B$1</c:f>
              <c:strCache>
                <c:ptCount val="1"/>
                <c:pt idx="0">
                  <c:v>【問6－1a】 
また参加したいですか？
※いずれか1つに○</c:v>
                </c:pt>
              </c:strCache>
            </c:strRef>
          </c:tx>
          <c:spPr>
            <a:ln>
              <a:solidFill>
                <a:schemeClr val="tx1"/>
              </a:solidFill>
            </a:ln>
          </c:spPr>
          <c:dPt>
            <c:idx val="0"/>
            <c:bubble3D val="0"/>
            <c:spPr>
              <a:pattFill prst="pct5">
                <a:fgClr>
                  <a:sysClr val="windowText" lastClr="000000"/>
                </a:fgClr>
                <a:bgClr>
                  <a:schemeClr val="bg1"/>
                </a:bgClr>
              </a:pattFill>
              <a:ln>
                <a:solidFill>
                  <a:schemeClr val="tx1"/>
                </a:solidFill>
              </a:ln>
            </c:spPr>
          </c:dPt>
          <c:dPt>
            <c:idx val="1"/>
            <c:bubble3D val="0"/>
            <c:spPr>
              <a:pattFill prst="smConfetti">
                <a:fgClr>
                  <a:sysClr val="windowText" lastClr="000000"/>
                </a:fgClr>
                <a:bgClr>
                  <a:schemeClr val="bg1"/>
                </a:bgClr>
              </a:pattFill>
              <a:ln>
                <a:solidFill>
                  <a:schemeClr val="tx1"/>
                </a:solidFill>
              </a:ln>
            </c:spPr>
          </c:dPt>
          <c:dPt>
            <c:idx val="2"/>
            <c:bubble3D val="0"/>
            <c:spPr>
              <a:pattFill prst="openDmnd">
                <a:fgClr>
                  <a:schemeClr val="bg1">
                    <a:lumMod val="50000"/>
                  </a:schemeClr>
                </a:fgClr>
                <a:bgClr>
                  <a:schemeClr val="bg1"/>
                </a:bgClr>
              </a:pattFill>
              <a:ln>
                <a:solidFill>
                  <a:schemeClr val="tx1"/>
                </a:solidFill>
              </a:ln>
            </c:spPr>
          </c:dPt>
          <c:dPt>
            <c:idx val="3"/>
            <c:bubble3D val="0"/>
            <c:spPr>
              <a:noFill/>
              <a:ln>
                <a:solidFill>
                  <a:schemeClr val="tx1"/>
                </a:solidFill>
              </a:ln>
            </c:spPr>
          </c:dPt>
          <c:dLbls>
            <c:dLbl>
              <c:idx val="0"/>
              <c:layout>
                <c:manualLayout>
                  <c:x val="0"/>
                  <c:y val="1.0661189632063039E-2"/>
                </c:manualLayout>
              </c:layout>
              <c:tx>
                <c:rich>
                  <a:bodyPr/>
                  <a:lstStyle/>
                  <a:p>
                    <a:pPr>
                      <a:defRPr sz="1000" b="1"/>
                    </a:pPr>
                    <a:r>
                      <a:rPr lang="ja-JP" altLang="en-US"/>
                      <a:t>参加したい</a:t>
                    </a:r>
                    <a:r>
                      <a:rPr lang="en-US" altLang="ja-JP"/>
                      <a:t>44.0%</a:t>
                    </a:r>
                  </a:p>
                </c:rich>
              </c:tx>
              <c:spPr/>
              <c:showLegendKey val="0"/>
              <c:showVal val="1"/>
              <c:showCatName val="1"/>
              <c:showSerName val="0"/>
              <c:showPercent val="1"/>
              <c:showBubbleSize val="0"/>
            </c:dLbl>
            <c:dLbl>
              <c:idx val="1"/>
              <c:tx>
                <c:rich>
                  <a:bodyPr/>
                  <a:lstStyle/>
                  <a:p>
                    <a:r>
                      <a:rPr lang="ja-JP" altLang="en-US"/>
                      <a:t>参加
</a:t>
                    </a:r>
                    <a:r>
                      <a:rPr lang="en-US" altLang="ja-JP"/>
                      <a:t>7.3%</a:t>
                    </a:r>
                  </a:p>
                </c:rich>
              </c:tx>
              <c:showLegendKey val="0"/>
              <c:showVal val="1"/>
              <c:showCatName val="1"/>
              <c:showSerName val="0"/>
              <c:showPercent val="1"/>
              <c:showBubbleSize val="0"/>
            </c:dLbl>
            <c:dLbl>
              <c:idx val="2"/>
              <c:tx>
                <c:rich>
                  <a:bodyPr/>
                  <a:lstStyle/>
                  <a:p>
                    <a:r>
                      <a:rPr lang="ja-JP" altLang="en-US"/>
                      <a:t>どちらとも
言えない</a:t>
                    </a:r>
                    <a:endParaRPr lang="en-US" altLang="ja-JP"/>
                  </a:p>
                  <a:p>
                    <a:r>
                      <a:rPr lang="en-US" altLang="ja-JP"/>
                      <a:t>46.7%</a:t>
                    </a:r>
                  </a:p>
                </c:rich>
              </c:tx>
              <c:showLegendKey val="0"/>
              <c:showVal val="1"/>
              <c:showCatName val="1"/>
              <c:showSerName val="0"/>
              <c:showPercent val="1"/>
              <c:showBubbleSize val="0"/>
            </c:dLbl>
            <c:dLbl>
              <c:idx val="3"/>
              <c:layout>
                <c:manualLayout>
                  <c:x val="0.39682524251619666"/>
                  <c:y val="-4.6221713569371888E-2"/>
                </c:manualLayout>
              </c:layout>
              <c:tx>
                <c:rich>
                  <a:bodyPr/>
                  <a:lstStyle/>
                  <a:p>
                    <a:r>
                      <a:rPr lang="ja-JP" altLang="en-US"/>
                      <a:t>無回答・
不明</a:t>
                    </a:r>
                    <a:endParaRPr lang="en-US" altLang="ja-JP"/>
                  </a:p>
                  <a:p>
                    <a:r>
                      <a:rPr lang="en-US" altLang="ja-JP"/>
                      <a:t>2.0%</a:t>
                    </a:r>
                  </a:p>
                </c:rich>
              </c:tx>
              <c:showLegendKey val="0"/>
              <c:showVal val="1"/>
              <c:showCatName val="1"/>
              <c:showSerName val="0"/>
              <c:showPercent val="1"/>
              <c:showBubbleSize val="0"/>
            </c:dLbl>
            <c:txPr>
              <a:bodyPr/>
              <a:lstStyle/>
              <a:p>
                <a:pPr>
                  <a:defRPr sz="1100" b="1"/>
                </a:pPr>
                <a:endParaRPr lang="ja-JP"/>
              </a:p>
            </c:txPr>
            <c:showLegendKey val="0"/>
            <c:showVal val="1"/>
            <c:showCatName val="1"/>
            <c:showSerName val="0"/>
            <c:showPercent val="1"/>
            <c:showBubbleSize val="0"/>
            <c:showLeaderLines val="1"/>
          </c:dLbls>
          <c:cat>
            <c:strRef>
              <c:f>Sheet1!$A$2:$A$5</c:f>
              <c:strCache>
                <c:ptCount val="4"/>
                <c:pt idx="0">
                  <c:v>参加したい</c:v>
                </c:pt>
                <c:pt idx="1">
                  <c:v>参加
したくない</c:v>
                </c:pt>
                <c:pt idx="2">
                  <c:v>どちらとも
言えない</c:v>
                </c:pt>
                <c:pt idx="3">
                  <c:v>無回答・
不明</c:v>
                </c:pt>
              </c:strCache>
            </c:strRef>
          </c:cat>
          <c:val>
            <c:numRef>
              <c:f>Sheet1!$B$2:$B$5</c:f>
              <c:numCache>
                <c:formatCode>General</c:formatCode>
                <c:ptCount val="4"/>
                <c:pt idx="0">
                  <c:v>66</c:v>
                </c:pt>
                <c:pt idx="1">
                  <c:v>11</c:v>
                </c:pt>
                <c:pt idx="2">
                  <c:v>70</c:v>
                </c:pt>
                <c:pt idx="3">
                  <c:v>3</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問</a:t>
            </a:r>
            <a:r>
              <a:rPr lang="en-US" altLang="ja-JP"/>
              <a:t>.6</a:t>
            </a:r>
            <a:r>
              <a:rPr lang="ja-JP" altLang="en-US"/>
              <a:t>－</a:t>
            </a:r>
            <a:r>
              <a:rPr lang="en-US" altLang="ja-JP"/>
              <a:t>1</a:t>
            </a:r>
            <a:r>
              <a:rPr lang="en-US" altLang="en-US"/>
              <a:t>b】
</a:t>
            </a:r>
            <a:r>
              <a:rPr lang="ja-JP" altLang="en-US"/>
              <a:t>どうすれば参加しようと
思いますか？
</a:t>
            </a:r>
            <a:r>
              <a:rPr lang="ja-JP" altLang="en-US" b="0"/>
              <a:t>（○はいくつでも）</a:t>
            </a:r>
          </a:p>
        </c:rich>
      </c:tx>
      <c:layout>
        <c:manualLayout>
          <c:xMode val="edge"/>
          <c:yMode val="edge"/>
          <c:x val="0.35503224407235773"/>
          <c:y val="0.42312355917487499"/>
        </c:manualLayout>
      </c:layout>
      <c:overlay val="0"/>
    </c:title>
    <c:autoTitleDeleted val="0"/>
    <c:plotArea>
      <c:layout>
        <c:manualLayout>
          <c:layoutTarget val="inner"/>
          <c:xMode val="edge"/>
          <c:yMode val="edge"/>
          <c:x val="0.10194946177523109"/>
          <c:y val="4.944836980928715E-2"/>
          <c:w val="0.81366555571784571"/>
          <c:h val="0.91730736604692487"/>
        </c:manualLayout>
      </c:layout>
      <c:doughnutChart>
        <c:varyColors val="1"/>
        <c:ser>
          <c:idx val="0"/>
          <c:order val="0"/>
          <c:tx>
            <c:strRef>
              <c:f>Sheet1!$B$1</c:f>
              <c:strCache>
                <c:ptCount val="1"/>
                <c:pt idx="0">
                  <c:v>【問.6－1b】
どうすれば参加しようと
思いますか？
（○はいくつでも）</c:v>
                </c:pt>
              </c:strCache>
            </c:strRef>
          </c:tx>
          <c:spPr>
            <a:ln>
              <a:solidFill>
                <a:schemeClr val="tx1"/>
              </a:solidFill>
            </a:ln>
          </c:spPr>
          <c:dPt>
            <c:idx val="0"/>
            <c:bubble3D val="0"/>
            <c:spPr>
              <a:pattFill prst="divot">
                <a:fgClr>
                  <a:schemeClr val="bg1">
                    <a:lumMod val="50000"/>
                  </a:schemeClr>
                </a:fgClr>
                <a:bgClr>
                  <a:schemeClr val="bg1"/>
                </a:bgClr>
              </a:pattFill>
              <a:ln>
                <a:solidFill>
                  <a:schemeClr val="tx1"/>
                </a:solidFill>
              </a:ln>
            </c:spPr>
          </c:dPt>
          <c:dPt>
            <c:idx val="1"/>
            <c:bubble3D val="0"/>
            <c:spPr>
              <a:pattFill prst="dashHorz">
                <a:fgClr>
                  <a:schemeClr val="bg1">
                    <a:lumMod val="50000"/>
                  </a:schemeClr>
                </a:fgClr>
                <a:bgClr>
                  <a:schemeClr val="bg1"/>
                </a:bgClr>
              </a:pattFill>
              <a:ln>
                <a:solidFill>
                  <a:schemeClr val="tx1"/>
                </a:solidFill>
              </a:ln>
            </c:spPr>
          </c:dPt>
          <c:dPt>
            <c:idx val="2"/>
            <c:bubble3D val="0"/>
            <c:spPr>
              <a:pattFill prst="dotGrid">
                <a:fgClr>
                  <a:sysClr val="windowText" lastClr="000000"/>
                </a:fgClr>
                <a:bgClr>
                  <a:schemeClr val="bg1"/>
                </a:bgClr>
              </a:pattFill>
              <a:ln>
                <a:solidFill>
                  <a:schemeClr val="tx1"/>
                </a:solidFill>
              </a:ln>
            </c:spPr>
          </c:dPt>
          <c:dPt>
            <c:idx val="3"/>
            <c:bubble3D val="0"/>
            <c:spPr>
              <a:pattFill prst="pct5">
                <a:fgClr>
                  <a:sysClr val="windowText" lastClr="000000"/>
                </a:fgClr>
                <a:bgClr>
                  <a:schemeClr val="bg1"/>
                </a:bgClr>
              </a:pattFill>
              <a:ln>
                <a:solidFill>
                  <a:schemeClr val="tx1"/>
                </a:solidFill>
              </a:ln>
            </c:spPr>
          </c:dPt>
          <c:dPt>
            <c:idx val="4"/>
            <c:bubble3D val="0"/>
            <c:spPr>
              <a:pattFill prst="dotDmnd">
                <a:fgClr>
                  <a:sysClr val="windowText" lastClr="000000"/>
                </a:fgClr>
                <a:bgClr>
                  <a:schemeClr val="bg1"/>
                </a:bgClr>
              </a:pattFill>
              <a:ln>
                <a:solidFill>
                  <a:schemeClr val="tx1"/>
                </a:solidFill>
              </a:ln>
            </c:spPr>
          </c:dPt>
          <c:dPt>
            <c:idx val="5"/>
            <c:bubble3D val="0"/>
            <c:spPr>
              <a:pattFill prst="smConfetti">
                <a:fgClr>
                  <a:schemeClr val="bg1">
                    <a:lumMod val="50000"/>
                  </a:schemeClr>
                </a:fgClr>
                <a:bgClr>
                  <a:schemeClr val="bg1"/>
                </a:bgClr>
              </a:pattFill>
              <a:ln>
                <a:solidFill>
                  <a:schemeClr val="tx1"/>
                </a:solidFill>
              </a:ln>
            </c:spPr>
          </c:dPt>
          <c:dPt>
            <c:idx val="6"/>
            <c:bubble3D val="0"/>
            <c:spPr>
              <a:noFill/>
              <a:ln>
                <a:solidFill>
                  <a:schemeClr val="tx1"/>
                </a:solidFill>
              </a:ln>
            </c:spPr>
          </c:dPt>
          <c:dLbls>
            <c:dLbl>
              <c:idx val="0"/>
              <c:layout>
                <c:manualLayout>
                  <c:x val="8.4071950381064582E-3"/>
                  <c:y val="-9.512867658519308E-3"/>
                </c:manualLayout>
              </c:layout>
              <c:tx>
                <c:rich>
                  <a:bodyPr/>
                  <a:lstStyle/>
                  <a:p>
                    <a:r>
                      <a:rPr lang="ja-JP" altLang="en-US"/>
                      <a:t>参加しやすい時間</a:t>
                    </a:r>
                    <a:endParaRPr lang="en-US" altLang="ja-JP"/>
                  </a:p>
                  <a:p>
                    <a:r>
                      <a:rPr lang="en-US" altLang="ja-JP"/>
                      <a:t>11.8%</a:t>
                    </a:r>
                  </a:p>
                </c:rich>
              </c:tx>
              <c:showLegendKey val="0"/>
              <c:showVal val="1"/>
              <c:showCatName val="1"/>
              <c:showSerName val="0"/>
              <c:showPercent val="1"/>
              <c:showBubbleSize val="0"/>
            </c:dLbl>
            <c:dLbl>
              <c:idx val="1"/>
              <c:layout>
                <c:manualLayout>
                  <c:x val="-8.4417597235888694E-3"/>
                  <c:y val="6.3342641043986478E-3"/>
                </c:manualLayout>
              </c:layout>
              <c:tx>
                <c:rich>
                  <a:bodyPr/>
                  <a:lstStyle/>
                  <a:p>
                    <a:r>
                      <a:rPr lang="ja-JP" altLang="en-US"/>
                      <a:t>参加しやすい日</a:t>
                    </a:r>
                    <a:endParaRPr lang="en-US" altLang="ja-JP"/>
                  </a:p>
                  <a:p>
                    <a:r>
                      <a:rPr lang="en-US" altLang="ja-JP"/>
                      <a:t>23.8%</a:t>
                    </a:r>
                  </a:p>
                </c:rich>
              </c:tx>
              <c:showLegendKey val="0"/>
              <c:showVal val="1"/>
              <c:showCatName val="1"/>
              <c:showSerName val="0"/>
              <c:showPercent val="1"/>
              <c:showBubbleSize val="0"/>
            </c:dLbl>
            <c:dLbl>
              <c:idx val="2"/>
              <c:tx>
                <c:rich>
                  <a:bodyPr/>
                  <a:lstStyle/>
                  <a:p>
                    <a:r>
                      <a:rPr lang="ja-JP" altLang="en-US"/>
                      <a:t>内容を魅力的に</a:t>
                    </a:r>
                    <a:endParaRPr lang="en-US" altLang="ja-JP"/>
                  </a:p>
                  <a:p>
                    <a:r>
                      <a:rPr lang="en-US" altLang="ja-JP"/>
                      <a:t>39.7%</a:t>
                    </a:r>
                  </a:p>
                </c:rich>
              </c:tx>
              <c:showLegendKey val="0"/>
              <c:showVal val="1"/>
              <c:showCatName val="1"/>
              <c:showSerName val="0"/>
              <c:showPercent val="1"/>
              <c:showBubbleSize val="0"/>
            </c:dLbl>
            <c:dLbl>
              <c:idx val="3"/>
              <c:tx>
                <c:rich>
                  <a:bodyPr/>
                  <a:lstStyle/>
                  <a:p>
                    <a:r>
                      <a:rPr lang="ja-JP" altLang="en-US"/>
                      <a:t>近くで開催</a:t>
                    </a:r>
                    <a:r>
                      <a:rPr lang="en-US" altLang="ja-JP"/>
                      <a:t>27.0%</a:t>
                    </a:r>
                  </a:p>
                </c:rich>
              </c:tx>
              <c:showLegendKey val="0"/>
              <c:showVal val="1"/>
              <c:showCatName val="1"/>
              <c:showSerName val="0"/>
              <c:showPercent val="1"/>
              <c:showBubbleSize val="0"/>
            </c:dLbl>
            <c:dLbl>
              <c:idx val="4"/>
              <c:layout>
                <c:manualLayout>
                  <c:x val="-1.1255679631451826E-2"/>
                  <c:y val="-5.8063416870107844E-17"/>
                </c:manualLayout>
              </c:layout>
              <c:tx>
                <c:rich>
                  <a:bodyPr/>
                  <a:lstStyle/>
                  <a:p>
                    <a:r>
                      <a:rPr lang="ja-JP" altLang="en-US"/>
                      <a:t>その他</a:t>
                    </a:r>
                    <a:endParaRPr lang="en-US" altLang="ja-JP"/>
                  </a:p>
                  <a:p>
                    <a:r>
                      <a:rPr lang="en-US" altLang="ja-JP"/>
                      <a:t>10.0%</a:t>
                    </a:r>
                  </a:p>
                </c:rich>
              </c:tx>
              <c:showLegendKey val="0"/>
              <c:showVal val="1"/>
              <c:showCatName val="1"/>
              <c:showSerName val="0"/>
              <c:showPercent val="1"/>
              <c:showBubbleSize val="0"/>
            </c:dLbl>
            <c:dLbl>
              <c:idx val="5"/>
              <c:layout>
                <c:manualLayout>
                  <c:x val="5.6278398157258869E-3"/>
                  <c:y val="6.3342641043986478E-3"/>
                </c:manualLayout>
              </c:layout>
              <c:tx>
                <c:rich>
                  <a:bodyPr/>
                  <a:lstStyle/>
                  <a:p>
                    <a:r>
                      <a:rPr lang="ja-JP" altLang="en-US"/>
                      <a:t>関心がない</a:t>
                    </a:r>
                    <a:r>
                      <a:rPr lang="en-US" altLang="ja-JP"/>
                      <a:t>24.4%</a:t>
                    </a:r>
                  </a:p>
                </c:rich>
              </c:tx>
              <c:showLegendKey val="0"/>
              <c:showVal val="1"/>
              <c:showCatName val="1"/>
              <c:showSerName val="0"/>
              <c:showPercent val="1"/>
              <c:showBubbleSize val="0"/>
            </c:dLbl>
            <c:dLbl>
              <c:idx val="6"/>
              <c:layout>
                <c:manualLayout>
                  <c:x val="-0.3263974269693618"/>
                  <c:y val="-6.6523738402872665E-2"/>
                </c:manualLayout>
              </c:layout>
              <c:tx>
                <c:rich>
                  <a:bodyPr/>
                  <a:lstStyle/>
                  <a:p>
                    <a:r>
                      <a:rPr lang="ja-JP" altLang="en-US"/>
                      <a:t>無回答</a:t>
                    </a:r>
                    <a:endParaRPr lang="en-US" altLang="ja-JP"/>
                  </a:p>
                  <a:p>
                    <a:r>
                      <a:rPr lang="en-US" altLang="ja-JP"/>
                      <a:t>5.4%</a:t>
                    </a:r>
                  </a:p>
                </c:rich>
              </c:tx>
              <c:showLegendKey val="0"/>
              <c:showVal val="1"/>
              <c:showCatName val="1"/>
              <c:showSerName val="0"/>
              <c:showPercent val="1"/>
              <c:showBubbleSize val="0"/>
            </c:dLbl>
            <c:txPr>
              <a:bodyPr/>
              <a:lstStyle/>
              <a:p>
                <a:pPr>
                  <a:defRPr sz="1100" b="1"/>
                </a:pPr>
                <a:endParaRPr lang="ja-JP"/>
              </a:p>
            </c:txPr>
            <c:showLegendKey val="0"/>
            <c:showVal val="1"/>
            <c:showCatName val="1"/>
            <c:showSerName val="0"/>
            <c:showPercent val="1"/>
            <c:showBubbleSize val="0"/>
            <c:showLeaderLines val="1"/>
          </c:dLbls>
          <c:cat>
            <c:strRef>
              <c:f>Sheet1!$A$2:$A$8</c:f>
              <c:strCache>
                <c:ptCount val="7"/>
                <c:pt idx="0">
                  <c:v>時間帯</c:v>
                </c:pt>
                <c:pt idx="1">
                  <c:v>曜日</c:v>
                </c:pt>
                <c:pt idx="2">
                  <c:v>内容</c:v>
                </c:pt>
                <c:pt idx="3">
                  <c:v>近隣での
開催</c:v>
                </c:pt>
                <c:pt idx="4">
                  <c:v>その他</c:v>
                </c:pt>
                <c:pt idx="5">
                  <c:v>関心なし</c:v>
                </c:pt>
                <c:pt idx="6">
                  <c:v>無回答・
不明</c:v>
                </c:pt>
              </c:strCache>
            </c:strRef>
          </c:cat>
          <c:val>
            <c:numRef>
              <c:f>Sheet1!$B$2:$B$8</c:f>
              <c:numCache>
                <c:formatCode>General</c:formatCode>
                <c:ptCount val="7"/>
                <c:pt idx="0">
                  <c:v>139</c:v>
                </c:pt>
                <c:pt idx="1">
                  <c:v>279</c:v>
                </c:pt>
                <c:pt idx="2">
                  <c:v>466</c:v>
                </c:pt>
                <c:pt idx="3">
                  <c:v>317</c:v>
                </c:pt>
                <c:pt idx="4">
                  <c:v>117</c:v>
                </c:pt>
                <c:pt idx="5">
                  <c:v>287</c:v>
                </c:pt>
                <c:pt idx="6">
                  <c:v>63</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4.3253600461174366E-2"/>
          <c:y val="2.9442691903259727E-2"/>
          <c:w val="0.94284211475985635"/>
          <c:h val="0.78991199797724665"/>
        </c:manualLayout>
      </c:layout>
      <c:barChart>
        <c:barDir val="col"/>
        <c:grouping val="stacked"/>
        <c:varyColors val="0"/>
        <c:ser>
          <c:idx val="0"/>
          <c:order val="0"/>
          <c:tx>
            <c:strRef>
              <c:f>Sheet1!$B$1</c:f>
              <c:strCache>
                <c:ptCount val="1"/>
                <c:pt idx="0">
                  <c:v>列1</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dLbl>
              <c:idx val="10"/>
              <c:layout>
                <c:manualLayout>
                  <c:x val="-1.3902737321017718E-3"/>
                  <c:y val="-3.1539348690098827E-2"/>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Sheet1!$A$2:$A$12</c:f>
              <c:strCache>
                <c:ptCount val="11"/>
                <c:pt idx="0">
                  <c:v>都心部、最寄り駅や
幹線道路へのアクセス</c:v>
                </c:pt>
                <c:pt idx="1">
                  <c:v>公共施設や商業、医療施設、
公園や緑地などの状況</c:v>
                </c:pt>
                <c:pt idx="2">
                  <c:v>日照・眺望など</c:v>
                </c:pt>
                <c:pt idx="3">
                  <c:v>周辺の住宅状況</c:v>
                </c:pt>
                <c:pt idx="4">
                  <c:v>地域のイメージ</c:v>
                </c:pt>
                <c:pt idx="5">
                  <c:v>校区の教育水準や
学力レベルの評判</c:v>
                </c:pt>
                <c:pt idx="6">
                  <c:v>近隣に低所得者が多いと
言われていないか</c:v>
                </c:pt>
                <c:pt idx="7">
                  <c:v>近隣に外国籍住民が多いと
言われていないか</c:v>
                </c:pt>
                <c:pt idx="8">
                  <c:v>近隣に同和地区があると
言われていないか</c:v>
                </c:pt>
                <c:pt idx="9">
                  <c:v>その他</c:v>
                </c:pt>
                <c:pt idx="10">
                  <c:v>無回答</c:v>
                </c:pt>
              </c:strCache>
            </c:strRef>
          </c:cat>
          <c:val>
            <c:numRef>
              <c:f>Sheet1!$B$2:$B$12</c:f>
              <c:numCache>
                <c:formatCode>0.0_ </c:formatCode>
                <c:ptCount val="11"/>
                <c:pt idx="0">
                  <c:v>75.3</c:v>
                </c:pt>
                <c:pt idx="1">
                  <c:v>68.099999999999994</c:v>
                </c:pt>
                <c:pt idx="2">
                  <c:v>61</c:v>
                </c:pt>
                <c:pt idx="3">
                  <c:v>40.6</c:v>
                </c:pt>
                <c:pt idx="4">
                  <c:v>51.8</c:v>
                </c:pt>
                <c:pt idx="5">
                  <c:v>16.600000000000001</c:v>
                </c:pt>
                <c:pt idx="6">
                  <c:v>6.1</c:v>
                </c:pt>
                <c:pt idx="7">
                  <c:v>6.7</c:v>
                </c:pt>
                <c:pt idx="8">
                  <c:v>13.4</c:v>
                </c:pt>
                <c:pt idx="9">
                  <c:v>6</c:v>
                </c:pt>
                <c:pt idx="10">
                  <c:v>1.6</c:v>
                </c:pt>
              </c:numCache>
            </c:numRef>
          </c:val>
        </c:ser>
        <c:dLbls>
          <c:showLegendKey val="0"/>
          <c:showVal val="1"/>
          <c:showCatName val="0"/>
          <c:showSerName val="0"/>
          <c:showPercent val="0"/>
          <c:showBubbleSize val="0"/>
        </c:dLbls>
        <c:gapWidth val="75"/>
        <c:overlap val="100"/>
        <c:serLines>
          <c:spPr>
            <a:ln>
              <a:noFill/>
            </a:ln>
          </c:spPr>
        </c:serLines>
        <c:axId val="235431424"/>
        <c:axId val="239199936"/>
      </c:barChart>
      <c:catAx>
        <c:axId val="235431424"/>
        <c:scaling>
          <c:orientation val="minMax"/>
        </c:scaling>
        <c:delete val="0"/>
        <c:axPos val="b"/>
        <c:majorTickMark val="none"/>
        <c:minorTickMark val="none"/>
        <c:tickLblPos val="nextTo"/>
        <c:txPr>
          <a:bodyPr rot="0" vert="eaVert"/>
          <a:lstStyle/>
          <a:p>
            <a:pPr>
              <a:defRPr/>
            </a:pPr>
            <a:endParaRPr lang="ja-JP"/>
          </a:p>
        </c:txPr>
        <c:crossAx val="239199936"/>
        <c:crosses val="autoZero"/>
        <c:auto val="1"/>
        <c:lblAlgn val="ctr"/>
        <c:lblOffset val="100"/>
        <c:noMultiLvlLbl val="0"/>
      </c:catAx>
      <c:valAx>
        <c:axId val="239199936"/>
        <c:scaling>
          <c:orientation val="minMax"/>
        </c:scaling>
        <c:delete val="0"/>
        <c:axPos val="l"/>
        <c:majorGridlines/>
        <c:numFmt formatCode="0_ " sourceLinked="0"/>
        <c:majorTickMark val="none"/>
        <c:minorTickMark val="none"/>
        <c:tickLblPos val="nextTo"/>
        <c:crossAx val="23543142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Sheet1!$B$1</c:f>
              <c:strCache>
                <c:ptCount val="1"/>
                <c:pt idx="0">
                  <c:v>列1</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Lbls>
            <c:spPr>
              <a:solidFill>
                <a:schemeClr val="bg1"/>
              </a:solidFill>
            </c:spPr>
            <c:showLegendKey val="0"/>
            <c:showVal val="1"/>
            <c:showCatName val="0"/>
            <c:showSerName val="0"/>
            <c:showPercent val="0"/>
            <c:showBubbleSize val="0"/>
            <c:showLeaderLines val="0"/>
          </c:dLbls>
          <c:cat>
            <c:strRef>
              <c:f>Sheet1!$A$2:$A$13</c:f>
              <c:strCache>
                <c:ptCount val="12"/>
                <c:pt idx="0">
                  <c:v>国籍</c:v>
                </c:pt>
                <c:pt idx="1">
                  <c:v>本籍・出生地</c:v>
                </c:pt>
                <c:pt idx="2">
                  <c:v>家族の状況</c:v>
                </c:pt>
                <c:pt idx="3">
                  <c:v>住宅の状況</c:v>
                </c:pt>
                <c:pt idx="4">
                  <c:v>生活環境、家庭環境</c:v>
                </c:pt>
                <c:pt idx="5">
                  <c:v>宗教</c:v>
                </c:pt>
                <c:pt idx="6">
                  <c:v>支持政党</c:v>
                </c:pt>
                <c:pt idx="7">
                  <c:v>人生観や生活信条</c:v>
                </c:pt>
                <c:pt idx="8">
                  <c:v>尊敬する人物</c:v>
                </c:pt>
                <c:pt idx="9">
                  <c:v>労働組合、学生運動などの
社会運動の経験</c:v>
                </c:pt>
                <c:pt idx="10">
                  <c:v>購読新聞、雑誌、愛読書など</c:v>
                </c:pt>
                <c:pt idx="11">
                  <c:v>無回答・不明</c:v>
                </c:pt>
              </c:strCache>
            </c:strRef>
          </c:cat>
          <c:val>
            <c:numRef>
              <c:f>Sheet1!$B$2:$B$13</c:f>
              <c:numCache>
                <c:formatCode>General</c:formatCode>
                <c:ptCount val="12"/>
                <c:pt idx="0">
                  <c:v>34.799999999999997</c:v>
                </c:pt>
                <c:pt idx="1">
                  <c:v>40.4</c:v>
                </c:pt>
                <c:pt idx="2">
                  <c:v>60.7</c:v>
                </c:pt>
                <c:pt idx="3">
                  <c:v>40.9</c:v>
                </c:pt>
                <c:pt idx="4">
                  <c:v>36.9</c:v>
                </c:pt>
                <c:pt idx="5">
                  <c:v>55.7</c:v>
                </c:pt>
                <c:pt idx="6">
                  <c:v>51.4</c:v>
                </c:pt>
                <c:pt idx="7">
                  <c:v>14.3</c:v>
                </c:pt>
                <c:pt idx="8">
                  <c:v>7.1</c:v>
                </c:pt>
                <c:pt idx="9">
                  <c:v>35.799999999999997</c:v>
                </c:pt>
                <c:pt idx="10">
                  <c:v>16.600000000000001</c:v>
                </c:pt>
                <c:pt idx="11">
                  <c:v>7.4</c:v>
                </c:pt>
              </c:numCache>
            </c:numRef>
          </c:val>
        </c:ser>
        <c:dLbls>
          <c:showLegendKey val="0"/>
          <c:showVal val="1"/>
          <c:showCatName val="0"/>
          <c:showSerName val="0"/>
          <c:showPercent val="0"/>
          <c:showBubbleSize val="0"/>
        </c:dLbls>
        <c:gapWidth val="75"/>
        <c:overlap val="100"/>
        <c:serLines>
          <c:spPr>
            <a:ln>
              <a:noFill/>
            </a:ln>
          </c:spPr>
        </c:serLines>
        <c:axId val="234991104"/>
        <c:axId val="235083968"/>
      </c:barChart>
      <c:catAx>
        <c:axId val="234991104"/>
        <c:scaling>
          <c:orientation val="minMax"/>
        </c:scaling>
        <c:delete val="0"/>
        <c:axPos val="b"/>
        <c:majorTickMark val="none"/>
        <c:minorTickMark val="none"/>
        <c:tickLblPos val="nextTo"/>
        <c:txPr>
          <a:bodyPr rot="0" vert="eaVert"/>
          <a:lstStyle/>
          <a:p>
            <a:pPr>
              <a:defRPr/>
            </a:pPr>
            <a:endParaRPr lang="ja-JP"/>
          </a:p>
        </c:txPr>
        <c:crossAx val="235083968"/>
        <c:crosses val="autoZero"/>
        <c:auto val="1"/>
        <c:lblAlgn val="ctr"/>
        <c:lblOffset val="100"/>
        <c:noMultiLvlLbl val="0"/>
      </c:catAx>
      <c:valAx>
        <c:axId val="235083968"/>
        <c:scaling>
          <c:orientation val="minMax"/>
        </c:scaling>
        <c:delete val="0"/>
        <c:axPos val="l"/>
        <c:majorGridlines/>
        <c:numFmt formatCode="General" sourceLinked="1"/>
        <c:majorTickMark val="none"/>
        <c:minorTickMark val="none"/>
        <c:tickLblPos val="nextTo"/>
        <c:crossAx val="23499110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9145215295576642E-2"/>
          <c:y val="2.2195318805488296E-2"/>
          <c:w val="0.92631372297974945"/>
          <c:h val="0.6631761072238852"/>
        </c:manualLayout>
      </c:layout>
      <c:barChart>
        <c:barDir val="col"/>
        <c:grouping val="clustered"/>
        <c:varyColors val="0"/>
        <c:ser>
          <c:idx val="0"/>
          <c:order val="0"/>
          <c:tx>
            <c:strRef>
              <c:f>Sheet1!$B$1</c:f>
              <c:strCache>
                <c:ptCount val="1"/>
                <c:pt idx="0">
                  <c:v>Y の値</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Lbls>
            <c:dLbl>
              <c:idx val="0"/>
              <c:layout>
                <c:manualLayout>
                  <c:x val="-1.355316785022106E-3"/>
                  <c:y val="4.6590951087291275E-3"/>
                </c:manualLayout>
              </c:layout>
              <c:dLblPos val="outEnd"/>
              <c:showLegendKey val="0"/>
              <c:showVal val="1"/>
              <c:showCatName val="0"/>
              <c:showSerName val="0"/>
              <c:showPercent val="0"/>
              <c:showBubbleSize val="0"/>
            </c:dLbl>
            <c:dLbl>
              <c:idx val="1"/>
              <c:layout>
                <c:manualLayout>
                  <c:x val="-1.2423593677621662E-17"/>
                  <c:y val="-9.1453627528915501E-3"/>
                </c:manualLayout>
              </c:layout>
              <c:dLblPos val="outEnd"/>
              <c:showLegendKey val="0"/>
              <c:showVal val="1"/>
              <c:showCatName val="0"/>
              <c:showSerName val="0"/>
              <c:showPercent val="0"/>
              <c:showBubbleSize val="0"/>
            </c:dLbl>
            <c:dLbl>
              <c:idx val="2"/>
              <c:layout>
                <c:manualLayout>
                  <c:x val="0"/>
                  <c:y val="-4.5438767990179634E-3"/>
                </c:manualLayout>
              </c:layout>
              <c:dLblPos val="outEnd"/>
              <c:showLegendKey val="0"/>
              <c:showVal val="1"/>
              <c:showCatName val="0"/>
              <c:showSerName val="0"/>
              <c:showPercent val="0"/>
              <c:showBubbleSize val="0"/>
            </c:dLbl>
            <c:dLbl>
              <c:idx val="3"/>
              <c:layout>
                <c:manualLayout>
                  <c:x val="-1.3553167850221309E-3"/>
                  <c:y val="-4.5438767990179634E-3"/>
                </c:manualLayout>
              </c:layout>
              <c:dLblPos val="outEnd"/>
              <c:showLegendKey val="0"/>
              <c:showVal val="1"/>
              <c:showCatName val="0"/>
              <c:showSerName val="0"/>
              <c:showPercent val="0"/>
              <c:showBubbleSize val="0"/>
            </c:dLbl>
            <c:dLbl>
              <c:idx val="4"/>
              <c:layout>
                <c:manualLayout>
                  <c:x val="-1.355316785022106E-3"/>
                  <c:y val="-9.1453627528914668E-3"/>
                </c:manualLayout>
              </c:layout>
              <c:dLblPos val="outEnd"/>
              <c:showLegendKey val="0"/>
              <c:showVal val="1"/>
              <c:showCatName val="0"/>
              <c:showSerName val="0"/>
              <c:showPercent val="0"/>
              <c:showBubbleSize val="0"/>
            </c:dLbl>
            <c:dLbl>
              <c:idx val="5"/>
              <c:layout>
                <c:manualLayout>
                  <c:x val="0"/>
                  <c:y val="-9.1453627528915084E-3"/>
                </c:manualLayout>
              </c:layout>
              <c:dLblPos val="outEnd"/>
              <c:showLegendKey val="0"/>
              <c:showVal val="1"/>
              <c:showCatName val="0"/>
              <c:showSerName val="0"/>
              <c:showPercent val="0"/>
              <c:showBubbleSize val="0"/>
            </c:dLbl>
            <c:dLbl>
              <c:idx val="6"/>
              <c:layout>
                <c:manualLayout>
                  <c:x val="0"/>
                  <c:y val="-6.8446197759548201E-3"/>
                </c:manualLayout>
              </c:layout>
              <c:dLblPos val="outEnd"/>
              <c:showLegendKey val="0"/>
              <c:showVal val="1"/>
              <c:showCatName val="0"/>
              <c:showSerName val="0"/>
              <c:showPercent val="0"/>
              <c:showBubbleSize val="0"/>
            </c:dLbl>
            <c:dLbl>
              <c:idx val="7"/>
              <c:layout>
                <c:manualLayout>
                  <c:x val="0"/>
                  <c:y val="-4.5438767990180476E-3"/>
                </c:manualLayout>
              </c:layout>
              <c:dLblPos val="outEnd"/>
              <c:showLegendKey val="0"/>
              <c:showVal val="1"/>
              <c:showCatName val="0"/>
              <c:showSerName val="0"/>
              <c:showPercent val="0"/>
              <c:showBubbleSize val="0"/>
            </c:dLbl>
            <c:dLbl>
              <c:idx val="8"/>
              <c:layout>
                <c:manualLayout>
                  <c:x val="-9.93887494209733E-17"/>
                  <c:y val="-4.5438767990180476E-3"/>
                </c:manualLayout>
              </c:layout>
              <c:dLblPos val="outEnd"/>
              <c:showLegendKey val="0"/>
              <c:showVal val="1"/>
              <c:showCatName val="0"/>
              <c:showSerName val="0"/>
              <c:showPercent val="0"/>
              <c:showBubbleSize val="0"/>
            </c:dLbl>
            <c:dLbl>
              <c:idx val="9"/>
              <c:layout>
                <c:manualLayout>
                  <c:x val="-9.93887494209733E-17"/>
                  <c:y val="-4.5438767990179634E-3"/>
                </c:manualLayout>
              </c:layout>
              <c:dLblPos val="outEnd"/>
              <c:showLegendKey val="0"/>
              <c:showVal val="1"/>
              <c:showCatName val="0"/>
              <c:showSerName val="0"/>
              <c:showPercent val="0"/>
              <c:showBubbleSize val="0"/>
            </c:dLbl>
            <c:dLbl>
              <c:idx val="10"/>
              <c:layout>
                <c:manualLayout>
                  <c:x val="0"/>
                  <c:y val="2.358352131792355E-3"/>
                </c:manualLayout>
              </c:layout>
              <c:dLblPos val="outEnd"/>
              <c:showLegendKey val="0"/>
              <c:showVal val="1"/>
              <c:showCatName val="0"/>
              <c:showSerName val="0"/>
              <c:showPercent val="0"/>
              <c:showBubbleSize val="0"/>
            </c:dLbl>
            <c:dLbl>
              <c:idx val="11"/>
              <c:layout>
                <c:manualLayout>
                  <c:x val="-9.93887494209733E-17"/>
                  <c:y val="-1.5820778281566857E-3"/>
                </c:manualLayout>
              </c:layout>
              <c:dLblPos val="outEnd"/>
              <c:showLegendKey val="0"/>
              <c:showVal val="1"/>
              <c:showCatName val="0"/>
              <c:showSerName val="0"/>
              <c:showPercent val="0"/>
              <c:showBubbleSize val="0"/>
            </c:dLbl>
            <c:dLbl>
              <c:idx val="12"/>
              <c:layout>
                <c:manualLayout>
                  <c:x val="-1.355316785022106E-3"/>
                  <c:y val="-4.5438767990179634E-3"/>
                </c:manualLayout>
              </c:layout>
              <c:dLblPos val="outEnd"/>
              <c:showLegendKey val="0"/>
              <c:showVal val="1"/>
              <c:showCatName val="0"/>
              <c:showSerName val="0"/>
              <c:showPercent val="0"/>
              <c:showBubbleSize val="0"/>
            </c:dLbl>
            <c:dLbl>
              <c:idx val="14"/>
              <c:layout>
                <c:manualLayout>
                  <c:x val="0"/>
                  <c:y val="-6.0761353894858326E-4"/>
                </c:manualLayout>
              </c:layout>
              <c:dLblPos val="outEnd"/>
              <c:showLegendKey val="0"/>
              <c:showVal val="1"/>
              <c:showCatName val="0"/>
              <c:showSerName val="0"/>
              <c:showPercent val="0"/>
              <c:showBubbleSize val="0"/>
            </c:dLbl>
            <c:spPr>
              <a:solidFill>
                <a:schemeClr val="bg1"/>
              </a:solidFill>
            </c:spPr>
            <c:dLblPos val="inEnd"/>
            <c:showLegendKey val="0"/>
            <c:showVal val="1"/>
            <c:showCatName val="0"/>
            <c:showSerName val="0"/>
            <c:showPercent val="0"/>
            <c:showBubbleSize val="0"/>
            <c:showLeaderLines val="0"/>
          </c:dLbls>
          <c:cat>
            <c:strRef>
              <c:f>Sheet1!$A$2:$A$18</c:f>
              <c:strCache>
                <c:ptCount val="17"/>
                <c:pt idx="0">
                  <c:v>人柄や性格</c:v>
                </c:pt>
                <c:pt idx="1">
                  <c:v>趣味や価値観</c:v>
                </c:pt>
                <c:pt idx="2">
                  <c:v>仕事に対する
理解と協力</c:v>
                </c:pt>
                <c:pt idx="3">
                  <c:v>家事や育児に対する
理解と協力</c:v>
                </c:pt>
                <c:pt idx="4">
                  <c:v>経済力</c:v>
                </c:pt>
                <c:pt idx="5">
                  <c:v>学歴</c:v>
                </c:pt>
                <c:pt idx="6">
                  <c:v>職業</c:v>
                </c:pt>
                <c:pt idx="7">
                  <c:v>家族構成</c:v>
                </c:pt>
                <c:pt idx="8">
                  <c:v>家柄</c:v>
                </c:pt>
                <c:pt idx="9">
                  <c:v>離婚暦</c:v>
                </c:pt>
                <c:pt idx="10">
                  <c:v>国籍、民族</c:v>
                </c:pt>
                <c:pt idx="11">
                  <c:v>相手やその家族が
障がい者かどうか</c:v>
                </c:pt>
                <c:pt idx="12">
                  <c:v>相手やその家族の宗教</c:v>
                </c:pt>
                <c:pt idx="13">
                  <c:v>ひとり親家庭がどうか</c:v>
                </c:pt>
                <c:pt idx="14">
                  <c:v>本籍・出生地</c:v>
                </c:pt>
                <c:pt idx="15">
                  <c:v>その他</c:v>
                </c:pt>
                <c:pt idx="16">
                  <c:v>無回答</c:v>
                </c:pt>
              </c:strCache>
            </c:strRef>
          </c:cat>
          <c:val>
            <c:numRef>
              <c:f>Sheet1!$B$2:$B$18</c:f>
              <c:numCache>
                <c:formatCode>0.0_ </c:formatCode>
                <c:ptCount val="17"/>
                <c:pt idx="0">
                  <c:v>93.6</c:v>
                </c:pt>
                <c:pt idx="1">
                  <c:v>58.8</c:v>
                </c:pt>
                <c:pt idx="2">
                  <c:v>44.3</c:v>
                </c:pt>
                <c:pt idx="3">
                  <c:v>40.700000000000003</c:v>
                </c:pt>
                <c:pt idx="4">
                  <c:v>38.9</c:v>
                </c:pt>
                <c:pt idx="5">
                  <c:v>19.8</c:v>
                </c:pt>
                <c:pt idx="6">
                  <c:v>20</c:v>
                </c:pt>
                <c:pt idx="7">
                  <c:v>12.9</c:v>
                </c:pt>
                <c:pt idx="8">
                  <c:v>8.9</c:v>
                </c:pt>
                <c:pt idx="9">
                  <c:v>14.6</c:v>
                </c:pt>
                <c:pt idx="10">
                  <c:v>13</c:v>
                </c:pt>
                <c:pt idx="11">
                  <c:v>6.7</c:v>
                </c:pt>
                <c:pt idx="12">
                  <c:v>14.1</c:v>
                </c:pt>
                <c:pt idx="13">
                  <c:v>1.3</c:v>
                </c:pt>
                <c:pt idx="14">
                  <c:v>6.5</c:v>
                </c:pt>
                <c:pt idx="15">
                  <c:v>1.7</c:v>
                </c:pt>
                <c:pt idx="16">
                  <c:v>2.6</c:v>
                </c:pt>
              </c:numCache>
            </c:numRef>
          </c:val>
        </c:ser>
        <c:dLbls>
          <c:showLegendKey val="0"/>
          <c:showVal val="1"/>
          <c:showCatName val="0"/>
          <c:showSerName val="0"/>
          <c:showPercent val="0"/>
          <c:showBubbleSize val="0"/>
        </c:dLbls>
        <c:gapWidth val="75"/>
        <c:axId val="248540160"/>
        <c:axId val="239202240"/>
      </c:barChart>
      <c:catAx>
        <c:axId val="248540160"/>
        <c:scaling>
          <c:orientation val="minMax"/>
        </c:scaling>
        <c:delete val="0"/>
        <c:axPos val="b"/>
        <c:majorTickMark val="none"/>
        <c:minorTickMark val="none"/>
        <c:tickLblPos val="nextTo"/>
        <c:txPr>
          <a:bodyPr rot="0" vert="eaVert"/>
          <a:lstStyle/>
          <a:p>
            <a:pPr>
              <a:defRPr/>
            </a:pPr>
            <a:endParaRPr lang="ja-JP"/>
          </a:p>
        </c:txPr>
        <c:crossAx val="239202240"/>
        <c:crosses val="autoZero"/>
        <c:auto val="1"/>
        <c:lblAlgn val="ctr"/>
        <c:lblOffset val="100"/>
        <c:noMultiLvlLbl val="0"/>
      </c:catAx>
      <c:valAx>
        <c:axId val="239202240"/>
        <c:scaling>
          <c:orientation val="minMax"/>
        </c:scaling>
        <c:delete val="0"/>
        <c:axPos val="l"/>
        <c:majorGridlines/>
        <c:numFmt formatCode="General" sourceLinked="0"/>
        <c:majorTickMark val="none"/>
        <c:minorTickMark val="none"/>
        <c:tickLblPos val="nextTo"/>
        <c:crossAx val="24854016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a:solidFill>
                <a:schemeClr val="tx1">
                  <a:lumMod val="85000"/>
                  <a:lumOff val="15000"/>
                </a:schemeClr>
              </a:solidFill>
            </a:ln>
          </c:spPr>
          <c:dPt>
            <c:idx val="0"/>
            <c:bubble3D val="0"/>
            <c:spPr>
              <a:pattFill prst="lgGrid">
                <a:fgClr>
                  <a:schemeClr val="bg1">
                    <a:lumMod val="50000"/>
                  </a:schemeClr>
                </a:fgClr>
                <a:bgClr>
                  <a:schemeClr val="bg1"/>
                </a:bgClr>
              </a:pattFill>
              <a:ln>
                <a:solidFill>
                  <a:schemeClr val="tx1">
                    <a:lumMod val="85000"/>
                    <a:lumOff val="15000"/>
                  </a:schemeClr>
                </a:solidFill>
              </a:ln>
            </c:spPr>
          </c:dPt>
          <c:dPt>
            <c:idx val="1"/>
            <c:bubble3D val="0"/>
            <c:spPr>
              <a:pattFill prst="wdUpDiag">
                <a:fgClr>
                  <a:schemeClr val="bg1">
                    <a:lumMod val="65000"/>
                  </a:schemeClr>
                </a:fgClr>
                <a:bgClr>
                  <a:schemeClr val="bg1"/>
                </a:bgClr>
              </a:pattFill>
              <a:ln>
                <a:solidFill>
                  <a:schemeClr val="tx1">
                    <a:lumMod val="85000"/>
                    <a:lumOff val="15000"/>
                  </a:schemeClr>
                </a:solidFill>
              </a:ln>
            </c:spPr>
          </c:dPt>
          <c:dPt>
            <c:idx val="2"/>
            <c:bubble3D val="0"/>
            <c:spPr>
              <a:pattFill prst="divot">
                <a:fgClr>
                  <a:schemeClr val="bg1">
                    <a:lumMod val="50000"/>
                  </a:schemeClr>
                </a:fgClr>
                <a:bgClr>
                  <a:schemeClr val="bg1"/>
                </a:bgClr>
              </a:pattFill>
              <a:ln>
                <a:solidFill>
                  <a:schemeClr val="tx1">
                    <a:lumMod val="85000"/>
                    <a:lumOff val="15000"/>
                  </a:schemeClr>
                </a:solidFill>
              </a:ln>
            </c:spPr>
          </c:dPt>
          <c:dPt>
            <c:idx val="3"/>
            <c:bubble3D val="0"/>
            <c:spPr>
              <a:pattFill prst="smGrid">
                <a:fgClr>
                  <a:schemeClr val="bg1">
                    <a:lumMod val="75000"/>
                  </a:schemeClr>
                </a:fgClr>
                <a:bgClr>
                  <a:schemeClr val="bg1"/>
                </a:bgClr>
              </a:pattFill>
              <a:ln>
                <a:solidFill>
                  <a:schemeClr val="tx1">
                    <a:lumMod val="85000"/>
                    <a:lumOff val="15000"/>
                  </a:schemeClr>
                </a:solidFill>
              </a:ln>
            </c:spPr>
          </c:dPt>
          <c:dPt>
            <c:idx val="4"/>
            <c:bubble3D val="0"/>
            <c:spPr>
              <a:noFill/>
              <a:ln>
                <a:solidFill>
                  <a:schemeClr val="tx1">
                    <a:lumMod val="85000"/>
                    <a:lumOff val="15000"/>
                  </a:schemeClr>
                </a:solidFill>
              </a:ln>
            </c:spPr>
          </c:dPt>
          <c:dLbls>
            <c:dLbl>
              <c:idx val="0"/>
              <c:layout>
                <c:manualLayout>
                  <c:x val="-0.21432477408925063"/>
                  <c:y val="8.8358429616788164E-2"/>
                </c:manualLayout>
              </c:layout>
              <c:tx>
                <c:rich>
                  <a:bodyPr/>
                  <a:lstStyle/>
                  <a:p>
                    <a:r>
                      <a:rPr lang="ja-JP" altLang="en-US"/>
                      <a:t>当人どうしの合意があればよい</a:t>
                    </a:r>
                    <a:endParaRPr lang="en-US" altLang="ja-JP"/>
                  </a:p>
                  <a:p>
                    <a:r>
                      <a:rPr lang="en-US" altLang="ja-JP"/>
                      <a:t>39.0%</a:t>
                    </a:r>
                    <a:endParaRPr lang="ja-JP" altLang="en-US"/>
                  </a:p>
                </c:rich>
              </c:tx>
              <c:showLegendKey val="0"/>
              <c:showVal val="1"/>
              <c:showCatName val="1"/>
              <c:showSerName val="0"/>
              <c:showPercent val="0"/>
              <c:showBubbleSize val="0"/>
            </c:dLbl>
            <c:dLbl>
              <c:idx val="1"/>
              <c:layout>
                <c:manualLayout>
                  <c:x val="0.21935550374660928"/>
                  <c:y val="-0.16647440838932748"/>
                </c:manualLayout>
              </c:layout>
              <c:tx>
                <c:rich>
                  <a:bodyPr/>
                  <a:lstStyle/>
                  <a:p>
                    <a:r>
                      <a:rPr lang="ja-JP" altLang="en-US">
                        <a:latin typeface="+mj-ea"/>
                        <a:ea typeface="+mj-ea"/>
                      </a:rPr>
                      <a:t>当人どうし、周囲の意見どちらも大事</a:t>
                    </a:r>
                    <a:endParaRPr lang="en-US" altLang="ja-JP">
                      <a:latin typeface="+mj-ea"/>
                      <a:ea typeface="+mj-ea"/>
                    </a:endParaRPr>
                  </a:p>
                  <a:p>
                    <a:r>
                      <a:rPr lang="en-US" altLang="ja-JP">
                        <a:latin typeface="+mj-ea"/>
                        <a:ea typeface="+mj-ea"/>
                      </a:rPr>
                      <a:t>53.7%</a:t>
                    </a:r>
                    <a:endParaRPr lang="ja-JP" altLang="en-US"/>
                  </a:p>
                </c:rich>
              </c:tx>
              <c:showLegendKey val="0"/>
              <c:showVal val="1"/>
              <c:showCatName val="1"/>
              <c:showSerName val="0"/>
              <c:showPercent val="0"/>
              <c:showBubbleSize val="0"/>
              <c:separator>
</c:separator>
            </c:dLbl>
            <c:dLbl>
              <c:idx val="2"/>
              <c:layout>
                <c:manualLayout>
                  <c:x val="-7.829175512576543E-2"/>
                  <c:y val="4.1182617820942957E-2"/>
                </c:manualLayout>
              </c:layout>
              <c:tx>
                <c:rich>
                  <a:bodyPr/>
                  <a:lstStyle/>
                  <a:p>
                    <a:r>
                      <a:rPr lang="ja-JP" altLang="en-US"/>
                      <a:t>周囲の意見がより尊重されるべき</a:t>
                    </a:r>
                    <a:endParaRPr lang="en-US" altLang="ja-JP"/>
                  </a:p>
                  <a:p>
                    <a:r>
                      <a:rPr lang="en-US" altLang="ja-JP"/>
                      <a:t>2.0%</a:t>
                    </a:r>
                  </a:p>
                </c:rich>
              </c:tx>
              <c:showLegendKey val="0"/>
              <c:showVal val="1"/>
              <c:showCatName val="1"/>
              <c:showSerName val="0"/>
              <c:showPercent val="0"/>
              <c:showBubbleSize val="0"/>
            </c:dLbl>
            <c:dLbl>
              <c:idx val="3"/>
              <c:layout>
                <c:manualLayout>
                  <c:x val="-5.2141897980090141E-3"/>
                  <c:y val="-1.8945706249787007E-2"/>
                </c:manualLayout>
              </c:layout>
              <c:tx>
                <c:rich>
                  <a:bodyPr/>
                  <a:lstStyle/>
                  <a:p>
                    <a:r>
                      <a:rPr lang="ja-JP" altLang="en-US"/>
                      <a:t>その他</a:t>
                    </a:r>
                    <a:endParaRPr lang="en-US" altLang="ja-JP" baseline="0"/>
                  </a:p>
                  <a:p>
                    <a:r>
                      <a:rPr lang="en-US" altLang="ja-JP" baseline="0"/>
                      <a:t>1.0%</a:t>
                    </a:r>
                    <a:endParaRPr lang="ja-JP" altLang="en-US"/>
                  </a:p>
                </c:rich>
              </c:tx>
              <c:showLegendKey val="0"/>
              <c:showVal val="1"/>
              <c:showCatName val="1"/>
              <c:showSerName val="0"/>
              <c:showPercent val="0"/>
              <c:showBubbleSize val="0"/>
            </c:dLbl>
            <c:dLbl>
              <c:idx val="4"/>
              <c:layout>
                <c:manualLayout>
                  <c:x val="0.12259282548417187"/>
                  <c:y val="1.1599525317299336E-2"/>
                </c:manualLayout>
              </c:layout>
              <c:tx>
                <c:rich>
                  <a:bodyPr/>
                  <a:lstStyle/>
                  <a:p>
                    <a:r>
                      <a:rPr lang="ja-JP" altLang="en-US"/>
                      <a:t>無回答・不明</a:t>
                    </a:r>
                    <a:endParaRPr lang="en-US" altLang="ja-JP"/>
                  </a:p>
                  <a:p>
                    <a:r>
                      <a:rPr lang="en-US" altLang="ja-JP"/>
                      <a:t>4.5%</a:t>
                    </a:r>
                  </a:p>
                </c:rich>
              </c:tx>
              <c:dLblPos val="bestFit"/>
              <c:showLegendKey val="0"/>
              <c:showVal val="1"/>
              <c:showCatName val="1"/>
              <c:showSerName val="0"/>
              <c:showPercent val="0"/>
              <c:showBubbleSize val="0"/>
            </c:dLbl>
            <c:spPr>
              <a:solidFill>
                <a:schemeClr val="bg1"/>
              </a:solidFill>
            </c:spPr>
            <c:txPr>
              <a:bodyPr/>
              <a:lstStyle/>
              <a:p>
                <a:pPr>
                  <a:defRPr sz="1100" b="1">
                    <a:latin typeface="+mj-ea"/>
                    <a:ea typeface="+mj-ea"/>
                  </a:defRPr>
                </a:pPr>
                <a:endParaRPr lang="ja-JP"/>
              </a:p>
            </c:txPr>
            <c:showLegendKey val="0"/>
            <c:showVal val="1"/>
            <c:showCatName val="1"/>
            <c:showSerName val="0"/>
            <c:showPercent val="0"/>
            <c:showBubbleSize val="0"/>
            <c:showLeaderLines val="1"/>
          </c:dLbls>
          <c:cat>
            <c:strRef>
              <c:f>Sheet1!$A$2:$A$6</c:f>
              <c:strCache>
                <c:ptCount val="5"/>
                <c:pt idx="0">
                  <c:v>当人どうしの合意があればよい</c:v>
                </c:pt>
                <c:pt idx="1">
                  <c:v>当人どうし、周囲の意見どちらも大事</c:v>
                </c:pt>
                <c:pt idx="2">
                  <c:v>周囲の意見がより尊重されるべき</c:v>
                </c:pt>
                <c:pt idx="3">
                  <c:v>その他</c:v>
                </c:pt>
                <c:pt idx="4">
                  <c:v>無回答・不明</c:v>
                </c:pt>
              </c:strCache>
            </c:strRef>
          </c:cat>
          <c:val>
            <c:numRef>
              <c:f>Sheet1!$B$2:$B$6</c:f>
              <c:numCache>
                <c:formatCode>0.0_ </c:formatCode>
                <c:ptCount val="5"/>
                <c:pt idx="0">
                  <c:v>39</c:v>
                </c:pt>
                <c:pt idx="1">
                  <c:v>53.7</c:v>
                </c:pt>
                <c:pt idx="2">
                  <c:v>2</c:v>
                </c:pt>
                <c:pt idx="3">
                  <c:v>1</c:v>
                </c:pt>
                <c:pt idx="4">
                  <c:v>4.5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列1</c:v>
                </c:pt>
              </c:strCache>
            </c:strRef>
          </c:tx>
          <c:spPr>
            <a:ln w="9525">
              <a:solidFill>
                <a:schemeClr val="tx1">
                  <a:lumMod val="95000"/>
                  <a:lumOff val="5000"/>
                </a:schemeClr>
              </a:solidFill>
            </a:ln>
          </c:spPr>
          <c:explosion val="25"/>
          <c:dPt>
            <c:idx val="0"/>
            <c:bubble3D val="0"/>
            <c:spPr>
              <a:pattFill prst="openDmnd">
                <a:fgClr>
                  <a:schemeClr val="bg1">
                    <a:lumMod val="50000"/>
                  </a:schemeClr>
                </a:fgClr>
                <a:bgClr>
                  <a:schemeClr val="bg1"/>
                </a:bgClr>
              </a:pattFill>
              <a:ln w="9525">
                <a:solidFill>
                  <a:schemeClr val="tx1">
                    <a:lumMod val="95000"/>
                    <a:lumOff val="5000"/>
                  </a:schemeClr>
                </a:solidFill>
              </a:ln>
            </c:spPr>
          </c:dPt>
          <c:dPt>
            <c:idx val="1"/>
            <c:bubble3D val="0"/>
            <c:explosion val="46"/>
            <c:spPr>
              <a:pattFill prst="pct10">
                <a:fgClr>
                  <a:schemeClr val="bg1">
                    <a:lumMod val="50000"/>
                  </a:schemeClr>
                </a:fgClr>
                <a:bgClr>
                  <a:schemeClr val="bg1"/>
                </a:bgClr>
              </a:pattFill>
              <a:ln w="9525">
                <a:solidFill>
                  <a:schemeClr val="tx1">
                    <a:lumMod val="95000"/>
                    <a:lumOff val="5000"/>
                  </a:schemeClr>
                </a:solidFill>
              </a:ln>
            </c:spPr>
          </c:dPt>
          <c:dPt>
            <c:idx val="2"/>
            <c:bubble3D val="0"/>
            <c:spPr>
              <a:solidFill>
                <a:schemeClr val="bg1"/>
              </a:solidFill>
              <a:ln w="9525">
                <a:solidFill>
                  <a:schemeClr val="tx1">
                    <a:lumMod val="95000"/>
                    <a:lumOff val="5000"/>
                  </a:schemeClr>
                </a:solidFill>
              </a:ln>
            </c:spPr>
          </c:dPt>
          <c:dLbls>
            <c:dLbl>
              <c:idx val="0"/>
              <c:layout>
                <c:manualLayout>
                  <c:x val="-0.18024800299150487"/>
                  <c:y val="-0.11300874019712757"/>
                </c:manualLayout>
              </c:layout>
              <c:tx>
                <c:rich>
                  <a:bodyPr/>
                  <a:lstStyle/>
                  <a:p>
                    <a:r>
                      <a:rPr lang="ja-JP" altLang="en-US"/>
                      <a:t>ない</a:t>
                    </a:r>
                    <a:endParaRPr lang="en-US" altLang="ja-JP"/>
                  </a:p>
                  <a:p>
                    <a:r>
                      <a:rPr lang="en-US" altLang="ja-JP"/>
                      <a:t>54.6%</a:t>
                    </a:r>
                  </a:p>
                </c:rich>
              </c:tx>
              <c:showLegendKey val="0"/>
              <c:showVal val="1"/>
              <c:showCatName val="1"/>
              <c:showSerName val="0"/>
              <c:showPercent val="1"/>
              <c:showBubbleSize val="0"/>
            </c:dLbl>
            <c:dLbl>
              <c:idx val="1"/>
              <c:layout>
                <c:manualLayout>
                  <c:x val="0.17234592953322256"/>
                  <c:y val="1.6961006018633731E-2"/>
                </c:manualLayout>
              </c:layout>
              <c:tx>
                <c:rich>
                  <a:bodyPr/>
                  <a:lstStyle/>
                  <a:p>
                    <a:r>
                      <a:rPr lang="ja-JP" altLang="en-US"/>
                      <a:t>ある</a:t>
                    </a:r>
                    <a:endParaRPr lang="en-US" altLang="ja-JP"/>
                  </a:p>
                  <a:p>
                    <a:r>
                      <a:rPr lang="en-US" altLang="ja-JP"/>
                      <a:t>43.3%</a:t>
                    </a:r>
                  </a:p>
                </c:rich>
              </c:tx>
              <c:showLegendKey val="0"/>
              <c:showVal val="1"/>
              <c:showCatName val="1"/>
              <c:showSerName val="0"/>
              <c:showPercent val="1"/>
              <c:showBubbleSize val="0"/>
            </c:dLbl>
            <c:dLbl>
              <c:idx val="2"/>
              <c:layout>
                <c:manualLayout>
                  <c:x val="9.2760001597682024E-2"/>
                  <c:y val="1.2907922552464686E-2"/>
                </c:manualLayout>
              </c:layout>
              <c:tx>
                <c:rich>
                  <a:bodyPr/>
                  <a:lstStyle/>
                  <a:p>
                    <a:r>
                      <a:rPr lang="ja-JP" altLang="en-US"/>
                      <a:t>無回答</a:t>
                    </a:r>
                    <a:endParaRPr lang="en-US" altLang="ja-JP"/>
                  </a:p>
                  <a:p>
                    <a:r>
                      <a:rPr lang="en-US" altLang="ja-JP"/>
                      <a:t>2.1%</a:t>
                    </a:r>
                  </a:p>
                </c:rich>
              </c:tx>
              <c:showLegendKey val="0"/>
              <c:showVal val="1"/>
              <c:showCatName val="1"/>
              <c:showSerName val="0"/>
              <c:showPercent val="1"/>
              <c:showBubbleSize val="0"/>
            </c:dLbl>
            <c:txPr>
              <a:bodyPr/>
              <a:lstStyle/>
              <a:p>
                <a:pPr>
                  <a:defRPr sz="1100" b="1">
                    <a:latin typeface="+mj-ea"/>
                    <a:ea typeface="+mj-ea"/>
                  </a:defRPr>
                </a:pPr>
                <a:endParaRPr lang="ja-JP"/>
              </a:p>
            </c:txPr>
            <c:showLegendKey val="0"/>
            <c:showVal val="1"/>
            <c:showCatName val="1"/>
            <c:showSerName val="0"/>
            <c:showPercent val="1"/>
            <c:showBubbleSize val="0"/>
            <c:showLeaderLines val="1"/>
          </c:dLbls>
          <c:cat>
            <c:strRef>
              <c:f>Sheet1!$A$2:$A$4</c:f>
              <c:strCache>
                <c:ptCount val="3"/>
                <c:pt idx="0">
                  <c:v>ない</c:v>
                </c:pt>
                <c:pt idx="1">
                  <c:v>ある</c:v>
                </c:pt>
                <c:pt idx="2">
                  <c:v>無回答・不明</c:v>
                </c:pt>
              </c:strCache>
            </c:strRef>
          </c:cat>
          <c:val>
            <c:numRef>
              <c:f>Sheet1!$B$2:$B$4</c:f>
              <c:numCache>
                <c:formatCode>General</c:formatCode>
                <c:ptCount val="3"/>
                <c:pt idx="0">
                  <c:v>54.6</c:v>
                </c:pt>
                <c:pt idx="1">
                  <c:v>43.3</c:v>
                </c:pt>
                <c:pt idx="2">
                  <c:v>2.1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sz="1000"/>
              <a:t>【</a:t>
            </a:r>
            <a:r>
              <a:rPr lang="ja-JP" altLang="en-US" sz="1000"/>
              <a:t>問</a:t>
            </a:r>
            <a:r>
              <a:rPr lang="en-US" altLang="ja-JP" sz="1000"/>
              <a:t>11</a:t>
            </a:r>
            <a:r>
              <a:rPr lang="ja-JP" altLang="en-US" sz="1000"/>
              <a:t>－</a:t>
            </a:r>
            <a:r>
              <a:rPr lang="en-US" altLang="ja-JP" sz="1000"/>
              <a:t>1】</a:t>
            </a:r>
            <a:r>
              <a:rPr lang="ja-JP" altLang="en-US" sz="1000"/>
              <a:t>それはどのような人権問題に関するものでしたか？</a:t>
            </a:r>
            <a:endParaRPr lang="en-US" altLang="ja-JP" sz="1000"/>
          </a:p>
          <a:p>
            <a:pPr>
              <a:defRPr sz="1000"/>
            </a:pPr>
            <a:r>
              <a:rPr lang="ja-JP" altLang="en-US" sz="1000" b="0"/>
              <a:t>　　　　　　　　　　　　　　　　　　　　（いずれか１つに○）</a:t>
            </a:r>
          </a:p>
        </c:rich>
      </c:tx>
      <c:layout>
        <c:manualLayout>
          <c:xMode val="edge"/>
          <c:yMode val="edge"/>
          <c:x val="1.5923456735938906E-2"/>
          <c:y val="1.7667540012926451E-2"/>
        </c:manualLayout>
      </c:layout>
      <c:overlay val="0"/>
    </c:title>
    <c:autoTitleDeleted val="0"/>
    <c:plotArea>
      <c:layout/>
      <c:barChart>
        <c:barDir val="col"/>
        <c:grouping val="stacked"/>
        <c:varyColors val="0"/>
        <c:ser>
          <c:idx val="0"/>
          <c:order val="0"/>
          <c:tx>
            <c:strRef>
              <c:f>Sheet1!$B$1</c:f>
              <c:strCache>
                <c:ptCount val="1"/>
                <c:pt idx="0">
                  <c:v>【問11－1】それはどのような人権問題に関するものでしたか？（いずれか１つに○）</c:v>
                </c:pt>
              </c:strCache>
            </c:strRef>
          </c:tx>
          <c:spPr>
            <a:solidFill>
              <a:schemeClr val="accent3"/>
            </a:solidFill>
            <a:ln>
              <a:solidFill>
                <a:schemeClr val="tx1">
                  <a:lumMod val="85000"/>
                  <a:lumOff val="15000"/>
                </a:scheme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Lbls>
            <c:dLbl>
              <c:idx val="0"/>
              <c:layout>
                <c:manualLayout>
                  <c:x val="0"/>
                  <c:y val="-0.16507935623693348"/>
                </c:manualLayout>
              </c:layout>
              <c:dLblPos val="ctr"/>
              <c:showLegendKey val="0"/>
              <c:showVal val="1"/>
              <c:showCatName val="0"/>
              <c:showSerName val="0"/>
              <c:showPercent val="0"/>
              <c:showBubbleSize val="0"/>
            </c:dLbl>
            <c:dLbl>
              <c:idx val="1"/>
              <c:layout>
                <c:manualLayout>
                  <c:x val="2.2295859026970088E-3"/>
                  <c:y val="-0.19107336708075545"/>
                </c:manualLayout>
              </c:layout>
              <c:dLblPos val="ctr"/>
              <c:showLegendKey val="0"/>
              <c:showVal val="1"/>
              <c:showCatName val="0"/>
              <c:showSerName val="0"/>
              <c:showPercent val="0"/>
              <c:showBubbleSize val="0"/>
            </c:dLbl>
            <c:dLbl>
              <c:idx val="2"/>
              <c:layout>
                <c:manualLayout>
                  <c:x val="2.2295859026969884E-3"/>
                  <c:y val="-0.17049623524128943"/>
                </c:manualLayout>
              </c:layout>
              <c:dLblPos val="ctr"/>
              <c:showLegendKey val="0"/>
              <c:showVal val="1"/>
              <c:showCatName val="0"/>
              <c:showSerName val="0"/>
              <c:showPercent val="0"/>
              <c:showBubbleSize val="0"/>
            </c:dLbl>
            <c:dLbl>
              <c:idx val="3"/>
              <c:layout>
                <c:manualLayout>
                  <c:x val="4.4591718053939768E-3"/>
                  <c:y val="-0.14697951313904262"/>
                </c:manualLayout>
              </c:layout>
              <c:dLblPos val="ctr"/>
              <c:showLegendKey val="0"/>
              <c:showVal val="1"/>
              <c:showCatName val="0"/>
              <c:showSerName val="0"/>
              <c:showPercent val="0"/>
              <c:showBubbleSize val="0"/>
            </c:dLbl>
            <c:dLbl>
              <c:idx val="4"/>
              <c:layout>
                <c:manualLayout>
                  <c:x val="-4.4591718053940176E-3"/>
                  <c:y val="-0.13522115208791927"/>
                </c:manualLayout>
              </c:layout>
              <c:dLblPos val="ctr"/>
              <c:showLegendKey val="0"/>
              <c:showVal val="1"/>
              <c:showCatName val="0"/>
              <c:showSerName val="0"/>
              <c:showPercent val="0"/>
              <c:showBubbleSize val="0"/>
            </c:dLbl>
            <c:dLbl>
              <c:idx val="5"/>
              <c:layout>
                <c:manualLayout>
                  <c:x val="-2.22958590269705E-3"/>
                  <c:y val="-0.10876483972289154"/>
                </c:manualLayout>
              </c:layout>
              <c:dLblPos val="ctr"/>
              <c:showLegendKey val="0"/>
              <c:showVal val="1"/>
              <c:showCatName val="0"/>
              <c:showSerName val="0"/>
              <c:showPercent val="0"/>
              <c:showBubbleSize val="0"/>
            </c:dLbl>
            <c:dLbl>
              <c:idx val="6"/>
              <c:layout>
                <c:manualLayout>
                  <c:x val="0"/>
                  <c:y val="-4.4093853941712786E-2"/>
                </c:manualLayout>
              </c:layout>
              <c:dLblPos val="ctr"/>
              <c:showLegendKey val="0"/>
              <c:showVal val="1"/>
              <c:showCatName val="0"/>
              <c:showSerName val="0"/>
              <c:showPercent val="0"/>
              <c:showBubbleSize val="0"/>
            </c:dLbl>
            <c:dLbl>
              <c:idx val="7"/>
              <c:layout>
                <c:manualLayout>
                  <c:x val="-2.2295859026970088E-3"/>
                  <c:y val="-0.10288565919732993"/>
                </c:manualLayout>
              </c:layout>
              <c:dLblPos val="ctr"/>
              <c:showLegendKey val="0"/>
              <c:showVal val="1"/>
              <c:showCatName val="0"/>
              <c:showSerName val="0"/>
              <c:showPercent val="0"/>
              <c:showBubbleSize val="0"/>
            </c:dLbl>
            <c:dLbl>
              <c:idx val="8"/>
              <c:layout>
                <c:manualLayout>
                  <c:x val="-8.1750538709691105E-17"/>
                  <c:y val="-4.9973034467274489E-2"/>
                </c:manualLayout>
              </c:layout>
              <c:dLblPos val="ctr"/>
              <c:showLegendKey val="0"/>
              <c:showVal val="1"/>
              <c:showCatName val="0"/>
              <c:showSerName val="0"/>
              <c:showPercent val="0"/>
              <c:showBubbleSize val="0"/>
            </c:dLbl>
            <c:dLbl>
              <c:idx val="9"/>
              <c:layout>
                <c:manualLayout>
                  <c:x val="-8.1750538709691105E-17"/>
                  <c:y val="-3.8214673416151188E-2"/>
                </c:manualLayout>
              </c:layout>
              <c:dLblPos val="ctr"/>
              <c:showLegendKey val="0"/>
              <c:showVal val="1"/>
              <c:showCatName val="0"/>
              <c:showSerName val="0"/>
              <c:showPercent val="0"/>
              <c:showBubbleSize val="0"/>
            </c:dLbl>
            <c:dLbl>
              <c:idx val="10"/>
              <c:layout>
                <c:manualLayout>
                  <c:x val="0"/>
                  <c:y val="-4.9973034467274489E-2"/>
                </c:manualLayout>
              </c:layout>
              <c:dLblPos val="ctr"/>
              <c:showLegendKey val="0"/>
              <c:showVal val="1"/>
              <c:showCatName val="0"/>
              <c:showSerName val="0"/>
              <c:showPercent val="0"/>
              <c:showBubbleSize val="0"/>
            </c:dLbl>
            <c:dLbl>
              <c:idx val="11"/>
              <c:layout>
                <c:manualLayout>
                  <c:x val="0"/>
                  <c:y val="-0.10876483972289154"/>
                </c:manualLayout>
              </c:layout>
              <c:dLblPos val="ctr"/>
              <c:showLegendKey val="0"/>
              <c:showVal val="1"/>
              <c:showCatName val="0"/>
              <c:showSerName val="0"/>
              <c:showPercent val="0"/>
              <c:showBubbleSize val="0"/>
            </c:dLbl>
            <c:dLbl>
              <c:idx val="12"/>
              <c:layout>
                <c:manualLayout>
                  <c:x val="-8.1750538709691105E-17"/>
                  <c:y val="-0.29101943601530444"/>
                </c:manualLayout>
              </c:layout>
              <c:dLblPos val="ctr"/>
              <c:showLegendKey val="0"/>
              <c:showVal val="1"/>
              <c:showCatName val="0"/>
              <c:showSerName val="0"/>
              <c:showPercent val="0"/>
              <c:showBubbleSize val="0"/>
            </c:dLbl>
            <c:dLbl>
              <c:idx val="13"/>
              <c:layout>
                <c:manualLayout>
                  <c:x val="2.2295859026968453E-3"/>
                  <c:y val="-0.12934197156235755"/>
                </c:manualLayout>
              </c:layout>
              <c:dLblPos val="ctr"/>
              <c:showLegendKey val="0"/>
              <c:showVal val="1"/>
              <c:showCatName val="0"/>
              <c:showSerName val="0"/>
              <c:showPercent val="0"/>
              <c:showBubbleSize val="0"/>
            </c:dLbl>
            <c:dLbl>
              <c:idx val="14"/>
              <c:layout>
                <c:manualLayout>
                  <c:x val="0"/>
                  <c:y val="-0.12346279103679586"/>
                </c:manualLayout>
              </c:layout>
              <c:dLblPos val="ctr"/>
              <c:showLegendKey val="0"/>
              <c:showVal val="1"/>
              <c:showCatName val="0"/>
              <c:showSerName val="0"/>
              <c:showPercent val="0"/>
              <c:showBubbleSize val="0"/>
            </c:dLbl>
            <c:dLbl>
              <c:idx val="15"/>
              <c:layout>
                <c:manualLayout>
                  <c:x val="-1.6350107741938221E-16"/>
                  <c:y val="-4.7033444204493749E-2"/>
                </c:manualLayout>
              </c:layout>
              <c:dLblPos val="ctr"/>
              <c:showLegendKey val="0"/>
              <c:showVal val="1"/>
              <c:showCatName val="0"/>
              <c:showSerName val="0"/>
              <c:showPercent val="0"/>
              <c:showBubbleSize val="0"/>
            </c:dLbl>
            <c:dLbl>
              <c:idx val="16"/>
              <c:layout>
                <c:manualLayout>
                  <c:x val="0"/>
                  <c:y val="-7.0550166306740464E-2"/>
                </c:manualLayout>
              </c:layout>
              <c:dLblPos val="ctr"/>
              <c:showLegendKey val="0"/>
              <c:showVal val="1"/>
              <c:showCatName val="0"/>
              <c:showSerName val="0"/>
              <c:showPercent val="0"/>
              <c:showBubbleSize val="0"/>
            </c:dLbl>
            <c:spPr>
              <a:ln>
                <a:noFill/>
              </a:ln>
            </c:spPr>
            <c:txPr>
              <a:bodyPr/>
              <a:lstStyle/>
              <a:p>
                <a:pPr>
                  <a:defRPr sz="1200" b="1"/>
                </a:pPr>
                <a:endParaRPr lang="ja-JP"/>
              </a:p>
            </c:txPr>
            <c:dLblPos val="ctr"/>
            <c:showLegendKey val="0"/>
            <c:showVal val="1"/>
            <c:showCatName val="0"/>
            <c:showSerName val="0"/>
            <c:showPercent val="0"/>
            <c:showBubbleSize val="0"/>
            <c:showLeaderLines val="0"/>
          </c:dLbls>
          <c:cat>
            <c:strRef>
              <c:f>Sheet1!$A$2:$A$18</c:f>
              <c:strCache>
                <c:ptCount val="17"/>
                <c:pt idx="0">
                  <c:v>女性</c:v>
                </c:pt>
                <c:pt idx="1">
                  <c:v>子ども</c:v>
                </c:pt>
                <c:pt idx="2">
                  <c:v>高齢者</c:v>
                </c:pt>
                <c:pt idx="3">
                  <c:v>障がい者</c:v>
                </c:pt>
                <c:pt idx="4">
                  <c:v>同和問題</c:v>
                </c:pt>
                <c:pt idx="5">
                  <c:v>外国人</c:v>
                </c:pt>
                <c:pt idx="6">
                  <c:v>HIV感染者・
ハンセン病回復者</c:v>
                </c:pt>
                <c:pt idx="7">
                  <c:v>こころの病に関する
人権問題</c:v>
                </c:pt>
                <c:pt idx="8">
                  <c:v>犯罪被害者</c:v>
                </c:pt>
                <c:pt idx="9">
                  <c:v>ホームレス</c:v>
                </c:pt>
                <c:pt idx="10">
                  <c:v>性的マイノリティ</c:v>
                </c:pt>
                <c:pt idx="11">
                  <c:v>職業や雇用をめぐる
人権問題</c:v>
                </c:pt>
                <c:pt idx="12">
                  <c:v>セクハラ・パワハラ</c:v>
                </c:pt>
                <c:pt idx="13">
                  <c:v>ネット上での誹謗中傷</c:v>
                </c:pt>
                <c:pt idx="14">
                  <c:v>ヘイトスピーチ</c:v>
                </c:pt>
                <c:pt idx="15">
                  <c:v>その他</c:v>
                </c:pt>
                <c:pt idx="16">
                  <c:v>無回答</c:v>
                </c:pt>
              </c:strCache>
            </c:strRef>
          </c:cat>
          <c:val>
            <c:numRef>
              <c:f>Sheet1!$B$2:$B$18</c:f>
              <c:numCache>
                <c:formatCode>General</c:formatCode>
                <c:ptCount val="17"/>
                <c:pt idx="0">
                  <c:v>13.3</c:v>
                </c:pt>
                <c:pt idx="1">
                  <c:v>16.7</c:v>
                </c:pt>
                <c:pt idx="2">
                  <c:v>13.8</c:v>
                </c:pt>
                <c:pt idx="3">
                  <c:v>12.8</c:v>
                </c:pt>
                <c:pt idx="4">
                  <c:v>11.2</c:v>
                </c:pt>
                <c:pt idx="5">
                  <c:v>7.5</c:v>
                </c:pt>
                <c:pt idx="6">
                  <c:v>1.9</c:v>
                </c:pt>
                <c:pt idx="7">
                  <c:v>7.7</c:v>
                </c:pt>
                <c:pt idx="8">
                  <c:v>1.2</c:v>
                </c:pt>
                <c:pt idx="9">
                  <c:v>1.7</c:v>
                </c:pt>
                <c:pt idx="10">
                  <c:v>3.1</c:v>
                </c:pt>
                <c:pt idx="11">
                  <c:v>7.8</c:v>
                </c:pt>
                <c:pt idx="12">
                  <c:v>27.4</c:v>
                </c:pt>
                <c:pt idx="13">
                  <c:v>9.9</c:v>
                </c:pt>
                <c:pt idx="14">
                  <c:v>8.5</c:v>
                </c:pt>
                <c:pt idx="15">
                  <c:v>1.7</c:v>
                </c:pt>
                <c:pt idx="16">
                  <c:v>4.0999999999999996</c:v>
                </c:pt>
              </c:numCache>
            </c:numRef>
          </c:val>
        </c:ser>
        <c:dLbls>
          <c:dLblPos val="ctr"/>
          <c:showLegendKey val="0"/>
          <c:showVal val="1"/>
          <c:showCatName val="0"/>
          <c:showSerName val="0"/>
          <c:showPercent val="0"/>
          <c:showBubbleSize val="0"/>
        </c:dLbls>
        <c:gapWidth val="75"/>
        <c:overlap val="100"/>
        <c:serLines>
          <c:spPr>
            <a:ln>
              <a:noFill/>
              <a:prstDash val="sysDot"/>
            </a:ln>
          </c:spPr>
        </c:serLines>
        <c:axId val="248914432"/>
        <c:axId val="239205120"/>
      </c:barChart>
      <c:catAx>
        <c:axId val="248914432"/>
        <c:scaling>
          <c:orientation val="minMax"/>
        </c:scaling>
        <c:delete val="0"/>
        <c:axPos val="b"/>
        <c:majorTickMark val="none"/>
        <c:minorTickMark val="none"/>
        <c:tickLblPos val="nextTo"/>
        <c:txPr>
          <a:bodyPr rot="0" vert="eaVert"/>
          <a:lstStyle/>
          <a:p>
            <a:pPr>
              <a:defRPr sz="900"/>
            </a:pPr>
            <a:endParaRPr lang="ja-JP"/>
          </a:p>
        </c:txPr>
        <c:crossAx val="239205120"/>
        <c:crosses val="autoZero"/>
        <c:auto val="1"/>
        <c:lblAlgn val="ctr"/>
        <c:lblOffset val="100"/>
        <c:noMultiLvlLbl val="0"/>
      </c:catAx>
      <c:valAx>
        <c:axId val="239205120"/>
        <c:scaling>
          <c:orientation val="minMax"/>
        </c:scaling>
        <c:delete val="0"/>
        <c:axPos val="l"/>
        <c:majorGridlines/>
        <c:numFmt formatCode="General" sourceLinked="1"/>
        <c:majorTickMark val="none"/>
        <c:minorTickMark val="none"/>
        <c:tickLblPos val="nextTo"/>
        <c:crossAx val="248914432"/>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sz="1000"/>
              <a:t>【</a:t>
            </a:r>
            <a:r>
              <a:rPr lang="ja-JP" altLang="en-US" sz="1000"/>
              <a:t>問</a:t>
            </a:r>
            <a:r>
              <a:rPr lang="en-US" altLang="ja-JP" sz="1000"/>
              <a:t>11</a:t>
            </a:r>
            <a:r>
              <a:rPr lang="ja-JP" altLang="en-US" sz="1000"/>
              <a:t>－</a:t>
            </a:r>
            <a:r>
              <a:rPr lang="en-US" altLang="ja-JP" sz="1000"/>
              <a:t>2】</a:t>
            </a:r>
            <a:r>
              <a:rPr lang="ja-JP" altLang="en-US" sz="1000"/>
              <a:t>それはそのような内容でしたか？
　　　　　　　　　　</a:t>
            </a:r>
            <a:r>
              <a:rPr lang="ja-JP" altLang="en-US" sz="1000" b="0"/>
              <a:t>（いずれか</a:t>
            </a:r>
            <a:r>
              <a:rPr lang="en-US" altLang="ja-JP" sz="1000" b="0"/>
              <a:t>1</a:t>
            </a:r>
            <a:r>
              <a:rPr lang="ja-JP" altLang="en-US" sz="1000" b="0"/>
              <a:t>つに○）</a:t>
            </a:r>
          </a:p>
        </c:rich>
      </c:tx>
      <c:overlay val="0"/>
    </c:title>
    <c:autoTitleDeleted val="0"/>
    <c:plotArea>
      <c:layout/>
      <c:barChart>
        <c:barDir val="col"/>
        <c:grouping val="stacked"/>
        <c:varyColors val="0"/>
        <c:ser>
          <c:idx val="0"/>
          <c:order val="0"/>
          <c:tx>
            <c:strRef>
              <c:f>Sheet1!$B$1</c:f>
              <c:strCache>
                <c:ptCount val="1"/>
                <c:pt idx="0">
                  <c:v>【問11－2】それはそのような内容でしたか？
（いずれか1つに○）</c:v>
                </c:pt>
              </c:strCache>
            </c:strRef>
          </c:tx>
          <c:spPr>
            <a:solidFill>
              <a:schemeClr val="accent3"/>
            </a:solidFill>
            <a:ln>
              <a:solidFill>
                <a:schemeClr val="tx1">
                  <a:lumMod val="85000"/>
                  <a:lumOff val="15000"/>
                </a:scheme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dLbl>
              <c:idx val="0"/>
              <c:layout>
                <c:manualLayout>
                  <c:x val="-1.3293763536321434E-17"/>
                  <c:y val="-0.23582763808233367"/>
                </c:manualLayout>
              </c:layout>
              <c:dLblPos val="ctr"/>
              <c:showLegendKey val="0"/>
              <c:showVal val="1"/>
              <c:showCatName val="0"/>
              <c:showSerName val="0"/>
              <c:showPercent val="0"/>
              <c:showBubbleSize val="0"/>
              <c:separator>
</c:separator>
            </c:dLbl>
            <c:dLbl>
              <c:idx val="1"/>
              <c:layout>
                <c:manualLayout>
                  <c:x val="0"/>
                  <c:y val="-0.12923442630672141"/>
                </c:manualLayout>
              </c:layout>
              <c:dLblPos val="ctr"/>
              <c:showLegendKey val="0"/>
              <c:showVal val="1"/>
              <c:showCatName val="0"/>
              <c:showSerName val="0"/>
              <c:showPercent val="0"/>
              <c:showBubbleSize val="0"/>
              <c:separator>
</c:separator>
            </c:dLbl>
            <c:dLbl>
              <c:idx val="2"/>
              <c:layout>
                <c:manualLayout>
                  <c:x val="0"/>
                  <c:y val="-8.8617892324609038E-2"/>
                </c:manualLayout>
              </c:layout>
              <c:dLblPos val="ctr"/>
              <c:showLegendKey val="0"/>
              <c:showVal val="1"/>
              <c:showCatName val="0"/>
              <c:showSerName val="0"/>
              <c:showPercent val="0"/>
              <c:showBubbleSize val="0"/>
              <c:separator>
</c:separator>
            </c:dLbl>
            <c:dLbl>
              <c:idx val="3"/>
              <c:layout>
                <c:manualLayout>
                  <c:x val="2.889101059617624E-3"/>
                  <c:y val="-0.14769648720768161"/>
                </c:manualLayout>
              </c:layout>
              <c:dLblPos val="ctr"/>
              <c:showLegendKey val="0"/>
              <c:showVal val="1"/>
              <c:showCatName val="0"/>
              <c:showSerName val="0"/>
              <c:showPercent val="0"/>
              <c:showBubbleSize val="0"/>
              <c:separator>
</c:separator>
            </c:dLbl>
            <c:dLbl>
              <c:idx val="4"/>
              <c:layout>
                <c:manualLayout>
                  <c:x val="2.8891010596176769E-3"/>
                  <c:y val="-0.11446477758595332"/>
                </c:manualLayout>
              </c:layout>
              <c:dLblPos val="ctr"/>
              <c:showLegendKey val="0"/>
              <c:showVal val="1"/>
              <c:showCatName val="0"/>
              <c:showSerName val="0"/>
              <c:showPercent val="0"/>
              <c:showBubbleSize val="0"/>
              <c:separator>
</c:separator>
            </c:dLbl>
            <c:dLbl>
              <c:idx val="5"/>
              <c:layout>
                <c:manualLayout>
                  <c:x val="-5.2966240889121903E-17"/>
                  <c:y val="-9.2310304504801002E-2"/>
                </c:manualLayout>
              </c:layout>
              <c:dLblPos val="ctr"/>
              <c:showLegendKey val="0"/>
              <c:showVal val="1"/>
              <c:showCatName val="0"/>
              <c:showSerName val="0"/>
              <c:showPercent val="0"/>
              <c:showBubbleSize val="0"/>
              <c:separator>
</c:separator>
            </c:dLbl>
            <c:dLbl>
              <c:idx val="6"/>
              <c:layout>
                <c:manualLayout>
                  <c:x val="0"/>
                  <c:y val="-0.11446477758595325"/>
                </c:manualLayout>
              </c:layout>
              <c:dLblPos val="ctr"/>
              <c:showLegendKey val="0"/>
              <c:showVal val="1"/>
              <c:showCatName val="0"/>
              <c:showSerName val="0"/>
              <c:showPercent val="0"/>
              <c:showBubbleSize val="0"/>
              <c:separator>
</c:separator>
            </c:dLbl>
            <c:dLbl>
              <c:idx val="7"/>
              <c:layout>
                <c:manualLayout>
                  <c:x val="-1.0593248177824381E-16"/>
                  <c:y val="-6.2771007063264689E-2"/>
                </c:manualLayout>
              </c:layout>
              <c:dLblPos val="ctr"/>
              <c:showLegendKey val="0"/>
              <c:showVal val="1"/>
              <c:showCatName val="0"/>
              <c:showSerName val="0"/>
              <c:showPercent val="0"/>
              <c:showBubbleSize val="0"/>
              <c:separator>
</c:separator>
            </c:dLbl>
            <c:dLbl>
              <c:idx val="8"/>
              <c:layout>
                <c:manualLayout>
                  <c:x val="-1.0593248177824381E-16"/>
                  <c:y val="-6.6463419243456792E-2"/>
                </c:manualLayout>
              </c:layout>
              <c:dLblPos val="ctr"/>
              <c:showLegendKey val="0"/>
              <c:showVal val="1"/>
              <c:showCatName val="0"/>
              <c:showSerName val="0"/>
              <c:showPercent val="0"/>
              <c:showBubbleSize val="0"/>
              <c:separator>
</c:separator>
            </c:dLbl>
            <c:dLbl>
              <c:idx val="9"/>
              <c:layout>
                <c:manualLayout>
                  <c:x val="0"/>
                  <c:y val="-6.2771007063264689E-2"/>
                </c:manualLayout>
              </c:layout>
              <c:dLblPos val="ctr"/>
              <c:showLegendKey val="0"/>
              <c:showVal val="1"/>
              <c:showCatName val="0"/>
              <c:showSerName val="0"/>
              <c:showPercent val="0"/>
              <c:showBubbleSize val="0"/>
              <c:separator>
</c:separator>
            </c:dLbl>
            <c:dLbl>
              <c:idx val="10"/>
              <c:layout>
                <c:manualLayout>
                  <c:x val="0"/>
                  <c:y val="-6.6463419243456792E-2"/>
                </c:manualLayout>
              </c:layout>
              <c:dLblPos val="ctr"/>
              <c:showLegendKey val="0"/>
              <c:showVal val="1"/>
              <c:showCatName val="0"/>
              <c:showSerName val="0"/>
              <c:showPercent val="0"/>
              <c:showBubbleSize val="0"/>
              <c:separator>
</c:separator>
            </c:dLbl>
            <c:txPr>
              <a:bodyPr/>
              <a:lstStyle/>
              <a:p>
                <a:pPr>
                  <a:defRPr sz="1000" b="1"/>
                </a:pPr>
                <a:endParaRPr lang="ja-JP"/>
              </a:p>
            </c:txPr>
            <c:dLblPos val="ctr"/>
            <c:showLegendKey val="0"/>
            <c:showVal val="1"/>
            <c:showCatName val="0"/>
            <c:showSerName val="0"/>
            <c:showPercent val="0"/>
            <c:showBubbleSize val="0"/>
            <c:separator>
</c:separator>
            <c:showLeaderLines val="0"/>
          </c:dLbls>
          <c:cat>
            <c:strRef>
              <c:f>Sheet1!$A$2:$A$12</c:f>
              <c:strCache>
                <c:ptCount val="11"/>
                <c:pt idx="0">
                  <c:v>あらぬ噂、悪口、かげ口</c:v>
                </c:pt>
                <c:pt idx="1">
                  <c:v>名誉き損、侮辱</c:v>
                </c:pt>
                <c:pt idx="2">
                  <c:v>暴力、脅迫、強要</c:v>
                </c:pt>
                <c:pt idx="3">
                  <c:v>不平等、不利益な扱い</c:v>
                </c:pt>
                <c:pt idx="4">
                  <c:v>いじめ</c:v>
                </c:pt>
                <c:pt idx="5">
                  <c:v>虐待</c:v>
                </c:pt>
                <c:pt idx="6">
                  <c:v>嫌がらせ</c:v>
                </c:pt>
                <c:pt idx="7">
                  <c:v>仲間はずれ</c:v>
                </c:pt>
                <c:pt idx="8">
                  <c:v>プライバシーの侵害</c:v>
                </c:pt>
                <c:pt idx="9">
                  <c:v>その他</c:v>
                </c:pt>
                <c:pt idx="10">
                  <c:v>無回答</c:v>
                </c:pt>
              </c:strCache>
            </c:strRef>
          </c:cat>
          <c:val>
            <c:numRef>
              <c:f>Sheet1!$B$2:$B$12</c:f>
              <c:numCache>
                <c:formatCode>General</c:formatCode>
                <c:ptCount val="11"/>
                <c:pt idx="0">
                  <c:v>37.6</c:v>
                </c:pt>
                <c:pt idx="1">
                  <c:v>16.7</c:v>
                </c:pt>
                <c:pt idx="2">
                  <c:v>9.6999999999999993</c:v>
                </c:pt>
                <c:pt idx="3">
                  <c:v>20.2</c:v>
                </c:pt>
                <c:pt idx="4">
                  <c:v>15.3</c:v>
                </c:pt>
                <c:pt idx="5">
                  <c:v>10.4</c:v>
                </c:pt>
                <c:pt idx="6">
                  <c:v>14.6</c:v>
                </c:pt>
                <c:pt idx="7">
                  <c:v>6.5</c:v>
                </c:pt>
                <c:pt idx="8">
                  <c:v>6.8</c:v>
                </c:pt>
                <c:pt idx="9">
                  <c:v>4.8</c:v>
                </c:pt>
                <c:pt idx="10">
                  <c:v>3.4</c:v>
                </c:pt>
              </c:numCache>
            </c:numRef>
          </c:val>
        </c:ser>
        <c:dLbls>
          <c:dLblPos val="ctr"/>
          <c:showLegendKey val="0"/>
          <c:showVal val="1"/>
          <c:showCatName val="0"/>
          <c:showSerName val="0"/>
          <c:showPercent val="0"/>
          <c:showBubbleSize val="0"/>
        </c:dLbls>
        <c:gapWidth val="75"/>
        <c:overlap val="100"/>
        <c:serLines>
          <c:spPr>
            <a:ln>
              <a:noFill/>
              <a:prstDash val="sysDot"/>
            </a:ln>
          </c:spPr>
        </c:serLines>
        <c:axId val="235432448"/>
        <c:axId val="248384320"/>
      </c:barChart>
      <c:catAx>
        <c:axId val="235432448"/>
        <c:scaling>
          <c:orientation val="minMax"/>
        </c:scaling>
        <c:delete val="0"/>
        <c:axPos val="b"/>
        <c:majorTickMark val="none"/>
        <c:minorTickMark val="none"/>
        <c:tickLblPos val="nextTo"/>
        <c:txPr>
          <a:bodyPr rot="0" vert="eaVert"/>
          <a:lstStyle/>
          <a:p>
            <a:pPr>
              <a:defRPr sz="900"/>
            </a:pPr>
            <a:endParaRPr lang="ja-JP"/>
          </a:p>
        </c:txPr>
        <c:crossAx val="248384320"/>
        <c:crosses val="autoZero"/>
        <c:auto val="1"/>
        <c:lblAlgn val="ctr"/>
        <c:lblOffset val="100"/>
        <c:noMultiLvlLbl val="0"/>
      </c:catAx>
      <c:valAx>
        <c:axId val="248384320"/>
        <c:scaling>
          <c:orientation val="minMax"/>
        </c:scaling>
        <c:delete val="0"/>
        <c:axPos val="l"/>
        <c:majorGridlines/>
        <c:numFmt formatCode="General" sourceLinked="1"/>
        <c:majorTickMark val="none"/>
        <c:minorTickMark val="none"/>
        <c:tickLblPos val="nextTo"/>
        <c:crossAx val="235432448"/>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90580398838514"/>
          <c:y val="3.0130205531044871E-2"/>
          <c:w val="0.76127459927490659"/>
          <c:h val="0.84527616945336514"/>
        </c:manualLayout>
      </c:layout>
      <c:barChart>
        <c:barDir val="bar"/>
        <c:grouping val="percentStacked"/>
        <c:varyColors val="0"/>
        <c:ser>
          <c:idx val="0"/>
          <c:order val="0"/>
          <c:tx>
            <c:strRef>
              <c:f>Sheet1!$B$1</c:f>
              <c:strCache>
                <c:ptCount val="1"/>
                <c:pt idx="0">
                  <c:v>そう思う</c:v>
                </c:pt>
              </c:strCache>
            </c:strRef>
          </c:tx>
          <c:spPr>
            <a:pattFill prst="pct20">
              <a:fgClr>
                <a:schemeClr val="bg1">
                  <a:lumMod val="50000"/>
                </a:schemeClr>
              </a:fgClr>
              <a:bgClr>
                <a:schemeClr val="bg1"/>
              </a:bgClr>
            </a:pattFill>
            <a:ln>
              <a:solidFill>
                <a:schemeClr val="tx1"/>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Sheet1!$B$2:$B$9</c:f>
              <c:numCache>
                <c:formatCode>0.0_ </c:formatCode>
                <c:ptCount val="8"/>
                <c:pt idx="0">
                  <c:v>18.399999999999999</c:v>
                </c:pt>
                <c:pt idx="1">
                  <c:v>28.1</c:v>
                </c:pt>
                <c:pt idx="2">
                  <c:v>35.9</c:v>
                </c:pt>
                <c:pt idx="3">
                  <c:v>53.3</c:v>
                </c:pt>
                <c:pt idx="4">
                  <c:v>9.1999999999999993</c:v>
                </c:pt>
                <c:pt idx="5">
                  <c:v>52.8</c:v>
                </c:pt>
                <c:pt idx="6">
                  <c:v>19.5</c:v>
                </c:pt>
                <c:pt idx="7">
                  <c:v>66.900000000000006</c:v>
                </c:pt>
              </c:numCache>
            </c:numRef>
          </c:val>
        </c:ser>
        <c:ser>
          <c:idx val="1"/>
          <c:order val="1"/>
          <c:tx>
            <c:strRef>
              <c:f>Sheet1!$C$1</c:f>
              <c:strCache>
                <c:ptCount val="1"/>
                <c:pt idx="0">
                  <c:v>ややそう思う</c:v>
                </c:pt>
              </c:strCache>
            </c:strRef>
          </c:tx>
          <c:spPr>
            <a:pattFill prst="pct40">
              <a:fgClr>
                <a:schemeClr val="bg1">
                  <a:lumMod val="50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Sheet1!$C$2:$C$9</c:f>
              <c:numCache>
                <c:formatCode>0.0_ </c:formatCode>
                <c:ptCount val="8"/>
                <c:pt idx="0">
                  <c:v>31.3</c:v>
                </c:pt>
                <c:pt idx="1">
                  <c:v>34.200000000000003</c:v>
                </c:pt>
                <c:pt idx="2">
                  <c:v>35.5</c:v>
                </c:pt>
                <c:pt idx="3">
                  <c:v>25.9</c:v>
                </c:pt>
                <c:pt idx="4">
                  <c:v>27.6</c:v>
                </c:pt>
                <c:pt idx="5">
                  <c:v>25.8</c:v>
                </c:pt>
                <c:pt idx="6">
                  <c:v>27.5</c:v>
                </c:pt>
                <c:pt idx="7">
                  <c:v>24.9</c:v>
                </c:pt>
              </c:numCache>
            </c:numRef>
          </c:val>
        </c:ser>
        <c:ser>
          <c:idx val="2"/>
          <c:order val="2"/>
          <c:tx>
            <c:strRef>
              <c:f>Sheet1!$D$1</c:f>
              <c:strCache>
                <c:ptCount val="1"/>
                <c:pt idx="0">
                  <c:v>あまりそう思わない</c:v>
                </c:pt>
              </c:strCache>
            </c:strRef>
          </c:tx>
          <c:spPr>
            <a:pattFill prst="pct10">
              <a:fgClr>
                <a:schemeClr val="tx1"/>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Sheet1!$D$2:$D$9</c:f>
              <c:numCache>
                <c:formatCode>0.0_ </c:formatCode>
                <c:ptCount val="8"/>
                <c:pt idx="0">
                  <c:v>17.3</c:v>
                </c:pt>
                <c:pt idx="1">
                  <c:v>15.9</c:v>
                </c:pt>
                <c:pt idx="2">
                  <c:v>6.6</c:v>
                </c:pt>
                <c:pt idx="3">
                  <c:v>8.6999999999999993</c:v>
                </c:pt>
                <c:pt idx="4">
                  <c:v>20.9</c:v>
                </c:pt>
                <c:pt idx="5">
                  <c:v>7.8</c:v>
                </c:pt>
                <c:pt idx="6">
                  <c:v>20.2</c:v>
                </c:pt>
                <c:pt idx="7">
                  <c:v>2.1</c:v>
                </c:pt>
              </c:numCache>
            </c:numRef>
          </c:val>
        </c:ser>
        <c:ser>
          <c:idx val="3"/>
          <c:order val="3"/>
          <c:tx>
            <c:strRef>
              <c:f>Sheet1!$E$1</c:f>
              <c:strCache>
                <c:ptCount val="1"/>
                <c:pt idx="0">
                  <c:v>そう思わない</c:v>
                </c:pt>
              </c:strCache>
            </c:strRef>
          </c:tx>
          <c:spPr>
            <a:pattFill prst="ltUpDiag">
              <a:fgClr>
                <a:schemeClr val="bg1">
                  <a:lumMod val="50000"/>
                </a:schemeClr>
              </a:fgClr>
              <a:bgClr>
                <a:schemeClr val="bg1"/>
              </a:bgClr>
            </a:pattFill>
            <a:ln>
              <a:solidFill>
                <a:schemeClr val="tx1"/>
              </a:solidFill>
            </a:ln>
          </c:spPr>
          <c:invertIfNegative val="0"/>
          <c:dLbls>
            <c:dLbl>
              <c:idx val="7"/>
              <c:layout>
                <c:manualLayout>
                  <c:x val="1.3614703880190605E-3"/>
                  <c:y val="-4.8706240487062402E-2"/>
                </c:manualLayout>
              </c:layout>
              <c:showLegendKey val="0"/>
              <c:showVal val="1"/>
              <c:showCatName val="0"/>
              <c:showSerName val="0"/>
              <c:showPercent val="0"/>
              <c:showBubbleSize val="0"/>
            </c:dLbl>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Sheet1!$E$2:$E$9</c:f>
              <c:numCache>
                <c:formatCode>0.0_ </c:formatCode>
                <c:ptCount val="8"/>
                <c:pt idx="0">
                  <c:v>13.9</c:v>
                </c:pt>
                <c:pt idx="1">
                  <c:v>7.4</c:v>
                </c:pt>
                <c:pt idx="2">
                  <c:v>8.5</c:v>
                </c:pt>
                <c:pt idx="3">
                  <c:v>3.3</c:v>
                </c:pt>
                <c:pt idx="4">
                  <c:v>20.5</c:v>
                </c:pt>
                <c:pt idx="5">
                  <c:v>4</c:v>
                </c:pt>
                <c:pt idx="6">
                  <c:v>16.5</c:v>
                </c:pt>
                <c:pt idx="7">
                  <c:v>0.8</c:v>
                </c:pt>
              </c:numCache>
            </c:numRef>
          </c:val>
        </c:ser>
        <c:ser>
          <c:idx val="4"/>
          <c:order val="4"/>
          <c:tx>
            <c:strRef>
              <c:f>Sheet1!$F$1</c:f>
              <c:strCache>
                <c:ptCount val="1"/>
                <c:pt idx="0">
                  <c:v>何とも言えない</c:v>
                </c:pt>
              </c:strCache>
            </c:strRef>
          </c:tx>
          <c:spPr>
            <a:pattFill prst="dotGrid">
              <a:fgClr>
                <a:schemeClr val="tx1"/>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Sheet1!$F$2:$F$9</c:f>
              <c:numCache>
                <c:formatCode>0.0_ </c:formatCode>
                <c:ptCount val="8"/>
                <c:pt idx="0">
                  <c:v>17.3</c:v>
                </c:pt>
                <c:pt idx="1">
                  <c:v>12.3</c:v>
                </c:pt>
                <c:pt idx="2">
                  <c:v>11.9</c:v>
                </c:pt>
                <c:pt idx="3">
                  <c:v>6.8</c:v>
                </c:pt>
                <c:pt idx="4">
                  <c:v>19.7</c:v>
                </c:pt>
                <c:pt idx="5">
                  <c:v>7.5</c:v>
                </c:pt>
                <c:pt idx="6">
                  <c:v>14.2</c:v>
                </c:pt>
                <c:pt idx="7">
                  <c:v>4.0999999999999996</c:v>
                </c:pt>
              </c:numCache>
            </c:numRef>
          </c:val>
        </c:ser>
        <c:ser>
          <c:idx val="5"/>
          <c:order val="5"/>
          <c:tx>
            <c:strRef>
              <c:f>Sheet1!$G$1</c:f>
              <c:strCache>
                <c:ptCount val="1"/>
                <c:pt idx="0">
                  <c:v>無回答・不明</c:v>
                </c:pt>
              </c:strCache>
            </c:strRef>
          </c:tx>
          <c:spPr>
            <a:noFill/>
            <a:ln>
              <a:solidFill>
                <a:schemeClr val="tx1">
                  <a:lumMod val="85000"/>
                  <a:lumOff val="15000"/>
                </a:schemeClr>
              </a:solidFill>
            </a:ln>
          </c:spPr>
          <c:invertIfNegative val="0"/>
          <c:dLbls>
            <c:dLbl>
              <c:idx val="0"/>
              <c:layout>
                <c:manualLayout>
                  <c:x val="2.3143984311401612E-2"/>
                  <c:y val="-1.4881667400086933E-16"/>
                </c:manualLayout>
              </c:layout>
              <c:showLegendKey val="0"/>
              <c:showVal val="1"/>
              <c:showCatName val="0"/>
              <c:showSerName val="0"/>
              <c:showPercent val="0"/>
              <c:showBubbleSize val="0"/>
            </c:dLbl>
            <c:dLbl>
              <c:idx val="1"/>
              <c:layout>
                <c:manualLayout>
                  <c:x val="2.8589627678790228E-2"/>
                  <c:y val="-1.4881667400086933E-16"/>
                </c:manualLayout>
              </c:layout>
              <c:showLegendKey val="0"/>
              <c:showVal val="1"/>
              <c:showCatName val="0"/>
              <c:showSerName val="0"/>
              <c:showPercent val="0"/>
              <c:showBubbleSize val="0"/>
            </c:dLbl>
            <c:dLbl>
              <c:idx val="2"/>
              <c:layout>
                <c:manualLayout>
                  <c:x val="2.8589627678790027E-2"/>
                  <c:y val="0"/>
                </c:manualLayout>
              </c:layout>
              <c:showLegendKey val="0"/>
              <c:showVal val="1"/>
              <c:showCatName val="0"/>
              <c:showSerName val="0"/>
              <c:showPercent val="0"/>
              <c:showBubbleSize val="0"/>
            </c:dLbl>
            <c:dLbl>
              <c:idx val="3"/>
              <c:layout>
                <c:manualLayout>
                  <c:x val="2.7228216836942872E-2"/>
                  <c:y val="0"/>
                </c:manualLayout>
              </c:layout>
              <c:showLegendKey val="0"/>
              <c:showVal val="1"/>
              <c:showCatName val="0"/>
              <c:showSerName val="0"/>
              <c:showPercent val="0"/>
              <c:showBubbleSize val="0"/>
            </c:dLbl>
            <c:dLbl>
              <c:idx val="4"/>
              <c:layout>
                <c:manualLayout>
                  <c:x val="3.1312449362484535E-2"/>
                  <c:y val="0"/>
                </c:manualLayout>
              </c:layout>
              <c:showLegendKey val="0"/>
              <c:showVal val="1"/>
              <c:showCatName val="0"/>
              <c:showSerName val="0"/>
              <c:showPercent val="0"/>
              <c:showBubbleSize val="0"/>
            </c:dLbl>
            <c:dLbl>
              <c:idx val="5"/>
              <c:layout>
                <c:manualLayout>
                  <c:x val="3.1312449362484535E-2"/>
                  <c:y val="2.0293417246879967E-3"/>
                </c:manualLayout>
              </c:layout>
              <c:showLegendKey val="0"/>
              <c:showVal val="1"/>
              <c:showCatName val="0"/>
              <c:showSerName val="0"/>
              <c:showPercent val="0"/>
              <c:showBubbleSize val="0"/>
            </c:dLbl>
            <c:dLbl>
              <c:idx val="6"/>
              <c:layout>
                <c:manualLayout>
                  <c:x val="3.1312449362484535E-2"/>
                  <c:y val="2.0293417246879967E-3"/>
                </c:manualLayout>
              </c:layout>
              <c:showLegendKey val="0"/>
              <c:showVal val="1"/>
              <c:showCatName val="0"/>
              <c:showSerName val="0"/>
              <c:showPercent val="0"/>
              <c:showBubbleSize val="0"/>
            </c:dLbl>
            <c:dLbl>
              <c:idx val="7"/>
              <c:layout>
                <c:manualLayout>
                  <c:x val="2.8589627678790027E-2"/>
                  <c:y val="4.0586834493759934E-3"/>
                </c:manualLayout>
              </c:layout>
              <c:showLegendKey val="0"/>
              <c:showVal val="1"/>
              <c:showCatName val="0"/>
              <c:showSerName val="0"/>
              <c:showPercent val="0"/>
              <c:showBubbleSize val="0"/>
            </c:dLbl>
            <c:txPr>
              <a:bodyPr/>
              <a:lstStyle/>
              <a:p>
                <a:pPr>
                  <a:defRPr b="1"/>
                </a:pPr>
                <a:endParaRPr lang="ja-JP"/>
              </a:p>
            </c:txPr>
            <c:showLegendKey val="0"/>
            <c:showVal val="1"/>
            <c:showCatName val="0"/>
            <c:showSerName val="0"/>
            <c:showPercent val="0"/>
            <c:showBubbleSize val="0"/>
            <c:showLeaderLines val="0"/>
          </c:dLbls>
          <c:cat>
            <c:strRef>
              <c:f>Sheet1!$A$2:$A$9</c:f>
              <c:strCache>
                <c:ptCount val="8"/>
                <c:pt idx="0">
                  <c:v>(8)差別に対して抗議や反対をする
ことによって、かえって問題が
解決しにくくなる</c:v>
                </c:pt>
                <c:pt idx="1">
                  <c:v>(7)差別を受けてきた人に対しては
、格差をなくすために行政の
支援が必要だ</c:v>
                </c:pt>
                <c:pt idx="2">
                  <c:v>(6)どのような手段を講じても、差別
を完全になくすことは無理だ</c:v>
                </c:pt>
                <c:pt idx="3">
                  <c:v>(5)差別をなくすために、行政は
努力する必要がある</c:v>
                </c:pt>
                <c:pt idx="4">
                  <c:v>(4)差別の原因には、差別される人
の側にも問題があることも多い</c:v>
                </c:pt>
                <c:pt idx="5">
                  <c:v>(3)差別問題に無関心な人にも、
差別問題についてきちんと理解
してもらうことが必要である</c:v>
                </c:pt>
                <c:pt idx="6">
                  <c:v>(2)差別されている人は、まず、
自分たちが世の中に受け入れ
られるよう努力することが必要だ</c:v>
                </c:pt>
                <c:pt idx="7">
                  <c:v>(1)差別は人間として恥ずべき行為
であり、私たち一人ひとりが差別
しない人にならなければならない</c:v>
                </c:pt>
              </c:strCache>
            </c:strRef>
          </c:cat>
          <c:val>
            <c:numRef>
              <c:f>Sheet1!$G$2:$G$9</c:f>
              <c:numCache>
                <c:formatCode>0.0_ </c:formatCode>
                <c:ptCount val="8"/>
                <c:pt idx="0">
                  <c:v>1.8</c:v>
                </c:pt>
                <c:pt idx="1">
                  <c:v>2</c:v>
                </c:pt>
                <c:pt idx="2">
                  <c:v>1.7</c:v>
                </c:pt>
                <c:pt idx="3">
                  <c:v>2</c:v>
                </c:pt>
                <c:pt idx="4">
                  <c:v>2.1</c:v>
                </c:pt>
                <c:pt idx="5">
                  <c:v>2.1</c:v>
                </c:pt>
                <c:pt idx="6">
                  <c:v>2.1</c:v>
                </c:pt>
                <c:pt idx="7">
                  <c:v>1.3</c:v>
                </c:pt>
              </c:numCache>
            </c:numRef>
          </c:val>
        </c:ser>
        <c:dLbls>
          <c:showLegendKey val="0"/>
          <c:showVal val="1"/>
          <c:showCatName val="0"/>
          <c:showSerName val="0"/>
          <c:showPercent val="0"/>
          <c:showBubbleSize val="0"/>
        </c:dLbls>
        <c:gapWidth val="75"/>
        <c:overlap val="100"/>
        <c:serLines>
          <c:spPr>
            <a:ln>
              <a:prstDash val="sysDot"/>
            </a:ln>
          </c:spPr>
        </c:serLines>
        <c:axId val="232122880"/>
        <c:axId val="225176960"/>
      </c:barChart>
      <c:catAx>
        <c:axId val="232122880"/>
        <c:scaling>
          <c:orientation val="minMax"/>
        </c:scaling>
        <c:delete val="0"/>
        <c:axPos val="l"/>
        <c:majorTickMark val="none"/>
        <c:minorTickMark val="none"/>
        <c:tickLblPos val="nextTo"/>
        <c:txPr>
          <a:bodyPr/>
          <a:lstStyle/>
          <a:p>
            <a:pPr>
              <a:defRPr sz="900" baseline="0">
                <a:ea typeface="ＭＳ Ｐゴシック" panose="020B0600070205080204" pitchFamily="50" charset="-128"/>
              </a:defRPr>
            </a:pPr>
            <a:endParaRPr lang="ja-JP"/>
          </a:p>
        </c:txPr>
        <c:crossAx val="225176960"/>
        <c:crosses val="autoZero"/>
        <c:auto val="1"/>
        <c:lblAlgn val="ctr"/>
        <c:lblOffset val="100"/>
        <c:noMultiLvlLbl val="0"/>
      </c:catAx>
      <c:valAx>
        <c:axId val="225176960"/>
        <c:scaling>
          <c:orientation val="minMax"/>
        </c:scaling>
        <c:delete val="0"/>
        <c:axPos val="b"/>
        <c:numFmt formatCode="0%" sourceLinked="1"/>
        <c:majorTickMark val="none"/>
        <c:minorTickMark val="none"/>
        <c:tickLblPos val="high"/>
        <c:crossAx val="232122880"/>
        <c:crosses val="autoZero"/>
        <c:crossBetween val="between"/>
      </c:valAx>
    </c:plotArea>
    <c:legend>
      <c:legendPos val="b"/>
      <c:layout>
        <c:manualLayout>
          <c:xMode val="edge"/>
          <c:yMode val="edge"/>
          <c:x val="0.16462883518870486"/>
          <c:y val="0.90788918252753115"/>
          <c:w val="0.70524659245180554"/>
          <c:h val="7.7045701380546477E-2"/>
        </c:manualLayout>
      </c:layout>
      <c:overlay val="0"/>
      <c:spPr>
        <a:ln>
          <a:solidFill>
            <a:schemeClr val="bg1">
              <a:lumMod val="50000"/>
            </a:schemeClr>
          </a:solidFill>
        </a:ln>
      </c:spPr>
      <c:txPr>
        <a:bodyPr/>
        <a:lstStyle/>
        <a:p>
          <a:pPr>
            <a:defRPr sz="900">
              <a:latin typeface="+mj-ea"/>
              <a:ea typeface="+mj-ea"/>
            </a:defRPr>
          </a:pPr>
          <a:endParaRPr lang="ja-JP"/>
        </a:p>
      </c:txPr>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問</a:t>
            </a:r>
            <a:r>
              <a:rPr lang="en-US" altLang="ja-JP"/>
              <a:t>11</a:t>
            </a:r>
            <a:r>
              <a:rPr lang="ja-JP" altLang="en-US"/>
              <a:t>－</a:t>
            </a:r>
            <a:r>
              <a:rPr lang="en-US" altLang="ja-JP"/>
              <a:t>3】</a:t>
            </a:r>
            <a:r>
              <a:rPr lang="ja-JP" altLang="en-US"/>
              <a:t>それはどこで見聞きしましたか？
　　　　　　　　　</a:t>
            </a:r>
            <a:r>
              <a:rPr lang="ja-JP" altLang="en-US" b="0"/>
              <a:t>（いずれか</a:t>
            </a:r>
            <a:r>
              <a:rPr lang="en-US" altLang="ja-JP" b="0"/>
              <a:t>1</a:t>
            </a:r>
            <a:r>
              <a:rPr lang="ja-JP" altLang="en-US" b="0"/>
              <a:t>つに○）</a:t>
            </a:r>
          </a:p>
        </c:rich>
      </c:tx>
      <c:overlay val="0"/>
    </c:title>
    <c:autoTitleDeleted val="0"/>
    <c:plotArea>
      <c:layout/>
      <c:barChart>
        <c:barDir val="col"/>
        <c:grouping val="stacked"/>
        <c:varyColors val="0"/>
        <c:ser>
          <c:idx val="0"/>
          <c:order val="0"/>
          <c:tx>
            <c:strRef>
              <c:f>Sheet1!$B$1</c:f>
              <c:strCache>
                <c:ptCount val="1"/>
                <c:pt idx="0">
                  <c:v>【問11－3】それはどこで見聞きしましたか？
（いずれか1つに○）</c:v>
                </c:pt>
              </c:strCache>
            </c:strRef>
          </c:tx>
          <c:spPr>
            <a:solidFill>
              <a:schemeClr val="accent3"/>
            </a:solidFill>
            <a:ln>
              <a:solidFill>
                <a:schemeClr val="tx1">
                  <a:lumMod val="85000"/>
                  <a:lumOff val="15000"/>
                </a:scheme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5"/>
              <c:layout>
                <c:manualLayout>
                  <c:x val="-2.9512830331780665E-3"/>
                  <c:y val="-6.2164523204729455E-2"/>
                </c:manualLayout>
              </c:layout>
              <c:dLblPos val="ctr"/>
              <c:showLegendKey val="0"/>
              <c:showVal val="1"/>
              <c:showCatName val="0"/>
              <c:showSerName val="0"/>
              <c:showPercent val="0"/>
              <c:showBubbleSize val="0"/>
            </c:dLbl>
            <c:spPr>
              <a:solidFill>
                <a:schemeClr val="bg1"/>
              </a:solidFill>
            </c:spPr>
            <c:txPr>
              <a:bodyPr/>
              <a:lstStyle/>
              <a:p>
                <a:pPr>
                  <a:defRPr b="1"/>
                </a:pPr>
                <a:endParaRPr lang="ja-JP"/>
              </a:p>
            </c:txPr>
            <c:dLblPos val="ctr"/>
            <c:showLegendKey val="0"/>
            <c:showVal val="1"/>
            <c:showCatName val="0"/>
            <c:showSerName val="0"/>
            <c:showPercent val="0"/>
            <c:showBubbleSize val="0"/>
            <c:showLeaderLines val="0"/>
          </c:dLbls>
          <c:cat>
            <c:strRef>
              <c:f>Sheet1!$A$2:$A$7</c:f>
              <c:strCache>
                <c:ptCount val="6"/>
                <c:pt idx="0">
                  <c:v>学校</c:v>
                </c:pt>
                <c:pt idx="1">
                  <c:v>職場</c:v>
                </c:pt>
                <c:pt idx="2">
                  <c:v>地域社会</c:v>
                </c:pt>
                <c:pt idx="3">
                  <c:v>インターネット</c:v>
                </c:pt>
                <c:pt idx="4">
                  <c:v>その他</c:v>
                </c:pt>
                <c:pt idx="5">
                  <c:v>無回答</c:v>
                </c:pt>
              </c:strCache>
            </c:strRef>
          </c:cat>
          <c:val>
            <c:numRef>
              <c:f>Sheet1!$B$2:$B$7</c:f>
              <c:numCache>
                <c:formatCode>0.0_ </c:formatCode>
                <c:ptCount val="6"/>
                <c:pt idx="0">
                  <c:v>7.1</c:v>
                </c:pt>
                <c:pt idx="1">
                  <c:v>37.799999999999997</c:v>
                </c:pt>
                <c:pt idx="2">
                  <c:v>32.799999999999997</c:v>
                </c:pt>
                <c:pt idx="3">
                  <c:v>16</c:v>
                </c:pt>
                <c:pt idx="4">
                  <c:v>13.3</c:v>
                </c:pt>
                <c:pt idx="5">
                  <c:v>3.7</c:v>
                </c:pt>
              </c:numCache>
            </c:numRef>
          </c:val>
        </c:ser>
        <c:dLbls>
          <c:dLblPos val="ctr"/>
          <c:showLegendKey val="0"/>
          <c:showVal val="1"/>
          <c:showCatName val="0"/>
          <c:showSerName val="0"/>
          <c:showPercent val="0"/>
          <c:showBubbleSize val="0"/>
        </c:dLbls>
        <c:gapWidth val="75"/>
        <c:overlap val="100"/>
        <c:serLines>
          <c:spPr>
            <a:ln>
              <a:noFill/>
              <a:prstDash val="sysDot"/>
            </a:ln>
          </c:spPr>
        </c:serLines>
        <c:axId val="248916480"/>
        <c:axId val="239205696"/>
      </c:barChart>
      <c:catAx>
        <c:axId val="248916480"/>
        <c:scaling>
          <c:orientation val="minMax"/>
        </c:scaling>
        <c:delete val="0"/>
        <c:axPos val="b"/>
        <c:majorTickMark val="none"/>
        <c:minorTickMark val="none"/>
        <c:tickLblPos val="nextTo"/>
        <c:txPr>
          <a:bodyPr rot="0" vert="eaVert"/>
          <a:lstStyle/>
          <a:p>
            <a:pPr>
              <a:defRPr sz="900"/>
            </a:pPr>
            <a:endParaRPr lang="ja-JP"/>
          </a:p>
        </c:txPr>
        <c:crossAx val="239205696"/>
        <c:crosses val="autoZero"/>
        <c:auto val="1"/>
        <c:lblAlgn val="ctr"/>
        <c:lblOffset val="100"/>
        <c:noMultiLvlLbl val="0"/>
      </c:catAx>
      <c:valAx>
        <c:axId val="239205696"/>
        <c:scaling>
          <c:orientation val="minMax"/>
        </c:scaling>
        <c:delete val="0"/>
        <c:axPos val="l"/>
        <c:majorGridlines/>
        <c:numFmt formatCode="0_ " sourceLinked="0"/>
        <c:majorTickMark val="none"/>
        <c:minorTickMark val="none"/>
        <c:tickLblPos val="nextTo"/>
        <c:crossAx val="248916480"/>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問</a:t>
            </a:r>
            <a:r>
              <a:rPr lang="en-US" altLang="ja-JP"/>
              <a:t>11</a:t>
            </a:r>
            <a:r>
              <a:rPr lang="ja-JP" altLang="en-US"/>
              <a:t>－</a:t>
            </a:r>
            <a:r>
              <a:rPr lang="en-US" altLang="ja-JP"/>
              <a:t>5a】</a:t>
            </a:r>
          </a:p>
          <a:p>
            <a:pPr>
              <a:defRPr sz="1000"/>
            </a:pPr>
            <a:r>
              <a:rPr lang="ja-JP" altLang="en-US"/>
              <a:t>どう対応しましたか？
</a:t>
            </a:r>
            <a:r>
              <a:rPr lang="ja-JP" altLang="en-US" b="0"/>
              <a:t>（いずれか</a:t>
            </a:r>
            <a:r>
              <a:rPr lang="en-US" altLang="ja-JP" b="0"/>
              <a:t>1</a:t>
            </a:r>
            <a:r>
              <a:rPr lang="ja-JP" altLang="en-US" b="0"/>
              <a:t>つに○）</a:t>
            </a:r>
          </a:p>
        </c:rich>
      </c:tx>
      <c:layout>
        <c:manualLayout>
          <c:xMode val="edge"/>
          <c:yMode val="edge"/>
          <c:x val="3.6889577579763924E-2"/>
          <c:y val="2.3812953510853021E-2"/>
        </c:manualLayout>
      </c:layout>
      <c:overlay val="0"/>
    </c:title>
    <c:autoTitleDeleted val="0"/>
    <c:plotArea>
      <c:layout>
        <c:manualLayout>
          <c:layoutTarget val="inner"/>
          <c:xMode val="edge"/>
          <c:yMode val="edge"/>
          <c:x val="0.31791091724394177"/>
          <c:y val="1.2430559411098083E-2"/>
          <c:w val="0.59910275921392175"/>
          <c:h val="0.96102443851507358"/>
        </c:manualLayout>
      </c:layout>
      <c:pieChart>
        <c:varyColors val="1"/>
        <c:ser>
          <c:idx val="0"/>
          <c:order val="0"/>
          <c:tx>
            <c:strRef>
              <c:f>Sheet1!$B$1</c:f>
              <c:strCache>
                <c:ptCount val="1"/>
                <c:pt idx="0">
                  <c:v>【問11－5a】どう対応しましたか？
（いずれか1つに○）</c:v>
                </c:pt>
              </c:strCache>
            </c:strRef>
          </c:tx>
          <c:spPr>
            <a:ln>
              <a:solidFill>
                <a:schemeClr val="tx1"/>
              </a:solidFill>
            </a:ln>
          </c:spPr>
          <c:dPt>
            <c:idx val="0"/>
            <c:bubble3D val="0"/>
            <c:spPr>
              <a:pattFill prst="pct10">
                <a:fgClr>
                  <a:schemeClr val="bg1">
                    <a:lumMod val="50000"/>
                  </a:schemeClr>
                </a:fgClr>
                <a:bgClr>
                  <a:schemeClr val="bg1"/>
                </a:bgClr>
              </a:pattFill>
              <a:ln>
                <a:solidFill>
                  <a:schemeClr val="tx1"/>
                </a:solidFill>
              </a:ln>
            </c:spPr>
          </c:dPt>
          <c:dPt>
            <c:idx val="1"/>
            <c:bubble3D val="0"/>
            <c:spPr>
              <a:pattFill prst="dashUpDiag">
                <a:fgClr>
                  <a:schemeClr val="bg1">
                    <a:lumMod val="50000"/>
                  </a:schemeClr>
                </a:fgClr>
                <a:bgClr>
                  <a:schemeClr val="bg1"/>
                </a:bgClr>
              </a:pattFill>
              <a:ln>
                <a:solidFill>
                  <a:schemeClr val="tx1"/>
                </a:solidFill>
              </a:ln>
            </c:spPr>
          </c:dPt>
          <c:dPt>
            <c:idx val="2"/>
            <c:bubble3D val="0"/>
            <c:spPr>
              <a:pattFill prst="dotGrid">
                <a:fgClr>
                  <a:schemeClr val="bg1">
                    <a:lumMod val="50000"/>
                  </a:schemeClr>
                </a:fgClr>
                <a:bgClr>
                  <a:schemeClr val="bg1"/>
                </a:bgClr>
              </a:pattFill>
              <a:ln>
                <a:solidFill>
                  <a:schemeClr val="tx1"/>
                </a:solidFill>
              </a:ln>
            </c:spPr>
          </c:dPt>
          <c:dPt>
            <c:idx val="3"/>
            <c:bubble3D val="0"/>
            <c:spPr>
              <a:pattFill prst="divot">
                <a:fgClr>
                  <a:schemeClr val="bg1">
                    <a:lumMod val="50000"/>
                  </a:schemeClr>
                </a:fgClr>
                <a:bgClr>
                  <a:schemeClr val="bg1"/>
                </a:bgClr>
              </a:pattFill>
              <a:ln>
                <a:solidFill>
                  <a:schemeClr val="tx1"/>
                </a:solidFill>
              </a:ln>
            </c:spPr>
          </c:dPt>
          <c:dPt>
            <c:idx val="4"/>
            <c:bubble3D val="0"/>
            <c:spPr>
              <a:pattFill prst="openDmnd">
                <a:fgClr>
                  <a:schemeClr val="bg1">
                    <a:lumMod val="50000"/>
                  </a:schemeClr>
                </a:fgClr>
                <a:bgClr>
                  <a:schemeClr val="bg1"/>
                </a:bgClr>
              </a:pattFill>
              <a:ln>
                <a:solidFill>
                  <a:schemeClr val="tx1"/>
                </a:solidFill>
              </a:ln>
            </c:spPr>
          </c:dPt>
          <c:dPt>
            <c:idx val="5"/>
            <c:bubble3D val="0"/>
            <c:spPr>
              <a:noFill/>
              <a:ln>
                <a:solidFill>
                  <a:schemeClr val="tx1"/>
                </a:solidFill>
              </a:ln>
            </c:spPr>
          </c:dPt>
          <c:dLbls>
            <c:dLbl>
              <c:idx val="0"/>
              <c:layout>
                <c:manualLayout>
                  <c:x val="-0.15422847606549894"/>
                  <c:y val="0.18560690428617804"/>
                </c:manualLayout>
              </c:layout>
              <c:tx>
                <c:rich>
                  <a:bodyPr/>
                  <a:lstStyle/>
                  <a:p>
                    <a:r>
                      <a:rPr lang="ja-JP" altLang="en-US"/>
                      <a:t>抗議、</a:t>
                    </a:r>
                    <a:endParaRPr lang="en-US" altLang="ja-JP"/>
                  </a:p>
                  <a:p>
                    <a:r>
                      <a:rPr lang="ja-JP" altLang="en-US"/>
                      <a:t>反論した</a:t>
                    </a:r>
                    <a:endParaRPr lang="en-US" altLang="ja-JP"/>
                  </a:p>
                  <a:p>
                    <a:r>
                      <a:rPr lang="en-US" altLang="ja-JP"/>
                      <a:t>25.4%</a:t>
                    </a:r>
                    <a:endParaRPr lang="ja-JP" altLang="en-US"/>
                  </a:p>
                </c:rich>
              </c:tx>
              <c:showLegendKey val="0"/>
              <c:showVal val="1"/>
              <c:showCatName val="1"/>
              <c:showSerName val="0"/>
              <c:showPercent val="1"/>
              <c:showBubbleSize val="0"/>
            </c:dLbl>
            <c:dLbl>
              <c:idx val="1"/>
              <c:layout>
                <c:manualLayout>
                  <c:x val="-0.13248997465135423"/>
                  <c:y val="-0.13771112958861287"/>
                </c:manualLayout>
              </c:layout>
              <c:tx>
                <c:rich>
                  <a:bodyPr/>
                  <a:lstStyle/>
                  <a:p>
                    <a:r>
                      <a:rPr lang="ja-JP" altLang="en-US"/>
                      <a:t>相談した</a:t>
                    </a:r>
                    <a:endParaRPr lang="en-US" altLang="ja-JP"/>
                  </a:p>
                  <a:p>
                    <a:r>
                      <a:rPr lang="en-US" altLang="ja-JP"/>
                      <a:t>19.4%</a:t>
                    </a:r>
                    <a:endParaRPr lang="ja-JP" altLang="en-US"/>
                  </a:p>
                </c:rich>
              </c:tx>
              <c:showLegendKey val="0"/>
              <c:showVal val="1"/>
              <c:showCatName val="1"/>
              <c:showSerName val="0"/>
              <c:showPercent val="1"/>
              <c:showBubbleSize val="0"/>
            </c:dLbl>
            <c:dLbl>
              <c:idx val="2"/>
              <c:layout>
                <c:manualLayout>
                  <c:x val="0.1511345227494609"/>
                  <c:y val="-4.792900897081869E-4"/>
                </c:manualLayout>
              </c:layout>
              <c:tx>
                <c:rich>
                  <a:bodyPr/>
                  <a:lstStyle/>
                  <a:p>
                    <a:r>
                      <a:rPr lang="ja-JP" altLang="en-US"/>
                      <a:t>訴えた</a:t>
                    </a:r>
                    <a:endParaRPr lang="en-US" altLang="ja-JP"/>
                  </a:p>
                  <a:p>
                    <a:r>
                      <a:rPr lang="en-US" altLang="ja-JP"/>
                      <a:t>7.5%</a:t>
                    </a:r>
                  </a:p>
                </c:rich>
              </c:tx>
              <c:showLegendKey val="0"/>
              <c:showVal val="1"/>
              <c:showCatName val="1"/>
              <c:showSerName val="0"/>
              <c:showPercent val="1"/>
              <c:showBubbleSize val="0"/>
            </c:dLbl>
            <c:dLbl>
              <c:idx val="3"/>
              <c:layout>
                <c:manualLayout>
                  <c:x val="0.2086142604471469"/>
                  <c:y val="-0.10528050132234612"/>
                </c:manualLayout>
              </c:layout>
              <c:tx>
                <c:rich>
                  <a:bodyPr/>
                  <a:lstStyle/>
                  <a:p>
                    <a:r>
                      <a:rPr lang="ja-JP" altLang="en-US"/>
                      <a:t>我慢した</a:t>
                    </a:r>
                    <a:endParaRPr lang="en-US" altLang="ja-JP"/>
                  </a:p>
                  <a:p>
                    <a:r>
                      <a:rPr lang="en-US" altLang="ja-JP"/>
                      <a:t>47.8%</a:t>
                    </a:r>
                    <a:endParaRPr lang="ja-JP" altLang="en-US"/>
                  </a:p>
                </c:rich>
              </c:tx>
              <c:showLegendKey val="0"/>
              <c:showVal val="1"/>
              <c:showCatName val="1"/>
              <c:showSerName val="0"/>
              <c:showPercent val="1"/>
              <c:showBubbleSize val="0"/>
            </c:dLbl>
            <c:dLbl>
              <c:idx val="4"/>
              <c:layout>
                <c:manualLayout>
                  <c:x val="6.2845229282666865E-2"/>
                  <c:y val="4.8454908165626483E-2"/>
                </c:manualLayout>
              </c:layout>
              <c:tx>
                <c:rich>
                  <a:bodyPr/>
                  <a:lstStyle/>
                  <a:p>
                    <a:r>
                      <a:rPr lang="ja-JP" altLang="en-US"/>
                      <a:t>その他</a:t>
                    </a:r>
                    <a:endParaRPr lang="en-US" altLang="ja-JP"/>
                  </a:p>
                  <a:p>
                    <a:r>
                      <a:rPr lang="en-US" altLang="ja-JP"/>
                      <a:t>7.5%</a:t>
                    </a:r>
                  </a:p>
                </c:rich>
              </c:tx>
              <c:showLegendKey val="0"/>
              <c:showVal val="1"/>
              <c:showCatName val="1"/>
              <c:showSerName val="0"/>
              <c:showPercent val="1"/>
              <c:showBubbleSize val="0"/>
            </c:dLbl>
            <c:dLbl>
              <c:idx val="5"/>
              <c:tx>
                <c:rich>
                  <a:bodyPr/>
                  <a:lstStyle/>
                  <a:p>
                    <a:r>
                      <a:rPr lang="ja-JP" altLang="en-US"/>
                      <a:t>無回答</a:t>
                    </a:r>
                    <a:endParaRPr lang="en-US" altLang="ja-JP"/>
                  </a:p>
                  <a:p>
                    <a:r>
                      <a:rPr lang="en-US" altLang="ja-JP"/>
                      <a:t>1.5%</a:t>
                    </a:r>
                    <a:endParaRPr lang="ja-JP" altLang="en-US"/>
                  </a:p>
                </c:rich>
              </c:tx>
              <c:showLegendKey val="0"/>
              <c:showVal val="1"/>
              <c:showCatName val="1"/>
              <c:showSerName val="0"/>
              <c:showPercent val="1"/>
              <c:showBubbleSize val="0"/>
            </c:dLbl>
            <c:txPr>
              <a:bodyPr/>
              <a:lstStyle/>
              <a:p>
                <a:pPr>
                  <a:defRPr sz="1000" b="1"/>
                </a:pPr>
                <a:endParaRPr lang="ja-JP"/>
              </a:p>
            </c:txPr>
            <c:showLegendKey val="0"/>
            <c:showVal val="1"/>
            <c:showCatName val="1"/>
            <c:showSerName val="0"/>
            <c:showPercent val="1"/>
            <c:showBubbleSize val="0"/>
            <c:showLeaderLines val="1"/>
          </c:dLbls>
          <c:cat>
            <c:strRef>
              <c:f>Sheet1!$A$2:$A$7</c:f>
              <c:strCache>
                <c:ptCount val="6"/>
                <c:pt idx="0">
                  <c:v>抗議、反論した</c:v>
                </c:pt>
                <c:pt idx="1">
                  <c:v>相談した</c:v>
                </c:pt>
                <c:pt idx="2">
                  <c:v>訴えた</c:v>
                </c:pt>
                <c:pt idx="3">
                  <c:v>我慢した</c:v>
                </c:pt>
                <c:pt idx="4">
                  <c:v>その他</c:v>
                </c:pt>
                <c:pt idx="5">
                  <c:v>無回答・不明</c:v>
                </c:pt>
              </c:strCache>
            </c:strRef>
          </c:cat>
          <c:val>
            <c:numRef>
              <c:f>Sheet1!$B$2:$B$7</c:f>
              <c:numCache>
                <c:formatCode>General</c:formatCode>
                <c:ptCount val="6"/>
                <c:pt idx="0">
                  <c:v>25.4</c:v>
                </c:pt>
                <c:pt idx="1">
                  <c:v>19.399999999999999</c:v>
                </c:pt>
                <c:pt idx="2">
                  <c:v>7.5</c:v>
                </c:pt>
                <c:pt idx="3">
                  <c:v>47.8</c:v>
                </c:pt>
                <c:pt idx="4">
                  <c:v>7.5</c:v>
                </c:pt>
                <c:pt idx="5">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5899372999626"/>
          <c:y val="3.3784760291039571E-2"/>
          <c:w val="0.74283083366543978"/>
          <c:h val="0.93470920960829262"/>
        </c:manualLayout>
      </c:layout>
      <c:doughnutChart>
        <c:varyColors val="1"/>
        <c:ser>
          <c:idx val="0"/>
          <c:order val="0"/>
          <c:tx>
            <c:strRef>
              <c:f>Sheet1!$B$1</c:f>
              <c:strCache>
                <c:ptCount val="1"/>
                <c:pt idx="0">
                  <c:v>(問11－4　あたなに対して）</c:v>
                </c:pt>
              </c:strCache>
            </c:strRef>
          </c:tx>
          <c:spPr>
            <a:ln>
              <a:solidFill>
                <a:schemeClr val="tx1"/>
              </a:solidFill>
            </a:ln>
          </c:spPr>
          <c:dPt>
            <c:idx val="0"/>
            <c:bubble3D val="0"/>
            <c:explosion val="4"/>
            <c:spPr>
              <a:pattFill prst="pct10">
                <a:fgClr>
                  <a:schemeClr val="bg1">
                    <a:lumMod val="50000"/>
                  </a:schemeClr>
                </a:fgClr>
                <a:bgClr>
                  <a:schemeClr val="bg1"/>
                </a:bgClr>
              </a:pattFill>
              <a:ln>
                <a:solidFill>
                  <a:schemeClr val="tx1"/>
                </a:solidFill>
              </a:ln>
            </c:spPr>
          </c:dPt>
          <c:dPt>
            <c:idx val="1"/>
            <c:bubble3D val="0"/>
            <c:explosion val="4"/>
            <c:spPr>
              <a:pattFill prst="pct25">
                <a:fgClr>
                  <a:schemeClr val="bg1">
                    <a:lumMod val="50000"/>
                  </a:schemeClr>
                </a:fgClr>
                <a:bgClr>
                  <a:schemeClr val="bg1"/>
                </a:bgClr>
              </a:pattFill>
              <a:ln>
                <a:solidFill>
                  <a:schemeClr val="tx1"/>
                </a:solidFill>
              </a:ln>
            </c:spPr>
          </c:dPt>
          <c:dPt>
            <c:idx val="2"/>
            <c:bubble3D val="0"/>
            <c:spPr>
              <a:noFill/>
              <a:ln>
                <a:solidFill>
                  <a:schemeClr val="tx1"/>
                </a:solidFill>
              </a:ln>
            </c:spPr>
          </c:dPt>
          <c:dLbls>
            <c:dLbl>
              <c:idx val="0"/>
              <c:layout>
                <c:manualLayout>
                  <c:x val="1.8303005067109621E-2"/>
                  <c:y val="-2.5731408056547632E-3"/>
                </c:manualLayout>
              </c:layout>
              <c:tx>
                <c:rich>
                  <a:bodyPr/>
                  <a:lstStyle/>
                  <a:p>
                    <a:r>
                      <a:rPr lang="ja-JP" altLang="en-US"/>
                      <a:t>はい</a:t>
                    </a:r>
                    <a:endParaRPr lang="en-US" altLang="ja-JP"/>
                  </a:p>
                  <a:p>
                    <a:r>
                      <a:rPr lang="en-US" altLang="ja-JP"/>
                      <a:t>11.4%</a:t>
                    </a:r>
                    <a:endParaRPr lang="ja-JP" altLang="en-US"/>
                  </a:p>
                </c:rich>
              </c:tx>
              <c:showLegendKey val="0"/>
              <c:showVal val="1"/>
              <c:showCatName val="1"/>
              <c:showSerName val="0"/>
              <c:showPercent val="1"/>
              <c:showBubbleSize val="0"/>
            </c:dLbl>
            <c:dLbl>
              <c:idx val="1"/>
              <c:layout>
                <c:manualLayout>
                  <c:x val="8.7693378423714496E-2"/>
                  <c:y val="2.7685803193490441E-2"/>
                </c:manualLayout>
              </c:layout>
              <c:tx>
                <c:rich>
                  <a:bodyPr/>
                  <a:lstStyle/>
                  <a:p>
                    <a:r>
                      <a:rPr lang="ja-JP" altLang="en-US"/>
                      <a:t>いいえ</a:t>
                    </a:r>
                    <a:endParaRPr lang="en-US" altLang="ja-JP"/>
                  </a:p>
                  <a:p>
                    <a:r>
                      <a:rPr lang="en-US" altLang="ja-JP"/>
                      <a:t>76.4%</a:t>
                    </a:r>
                  </a:p>
                </c:rich>
              </c:tx>
              <c:showLegendKey val="0"/>
              <c:showVal val="1"/>
              <c:showCatName val="1"/>
              <c:showSerName val="0"/>
              <c:showPercent val="1"/>
              <c:showBubbleSize val="0"/>
            </c:dLbl>
            <c:dLbl>
              <c:idx val="2"/>
              <c:layout>
                <c:manualLayout>
                  <c:x val="2.4002387648695087E-2"/>
                  <c:y val="-1.0764785212301712E-2"/>
                </c:manualLayout>
              </c:layout>
              <c:tx>
                <c:rich>
                  <a:bodyPr/>
                  <a:lstStyle/>
                  <a:p>
                    <a:r>
                      <a:rPr lang="ja-JP" altLang="en-US"/>
                      <a:t>無回答・不明</a:t>
                    </a:r>
                    <a:endParaRPr lang="en-US" altLang="ja-JP"/>
                  </a:p>
                  <a:p>
                    <a:r>
                      <a:rPr lang="en-US" altLang="ja-JP"/>
                      <a:t>12.3%</a:t>
                    </a:r>
                    <a:endParaRPr lang="ja-JP" altLang="en-US"/>
                  </a:p>
                </c:rich>
              </c:tx>
              <c:showLegendKey val="0"/>
              <c:showVal val="1"/>
              <c:showCatName val="1"/>
              <c:showSerName val="0"/>
              <c:showPercent val="1"/>
              <c:showBubbleSize val="0"/>
            </c:dLbl>
            <c:txPr>
              <a:bodyPr/>
              <a:lstStyle/>
              <a:p>
                <a:pPr>
                  <a:defRPr sz="1000" b="1"/>
                </a:pPr>
                <a:endParaRPr lang="ja-JP"/>
              </a:p>
            </c:txPr>
            <c:showLegendKey val="0"/>
            <c:showVal val="1"/>
            <c:showCatName val="1"/>
            <c:showSerName val="0"/>
            <c:showPercent val="1"/>
            <c:showBubbleSize val="0"/>
            <c:showLeaderLines val="1"/>
          </c:dLbls>
          <c:cat>
            <c:strRef>
              <c:f>Sheet1!$A$2:$A$4</c:f>
              <c:strCache>
                <c:ptCount val="3"/>
                <c:pt idx="0">
                  <c:v>はい</c:v>
                </c:pt>
                <c:pt idx="1">
                  <c:v>いいえ</c:v>
                </c:pt>
                <c:pt idx="2">
                  <c:v>無回答・不明</c:v>
                </c:pt>
              </c:strCache>
            </c:strRef>
          </c:cat>
          <c:val>
            <c:numRef>
              <c:f>Sheet1!$B$2:$B$4</c:f>
              <c:numCache>
                <c:formatCode>General</c:formatCode>
                <c:ptCount val="3"/>
                <c:pt idx="0">
                  <c:v>11.4</c:v>
                </c:pt>
                <c:pt idx="1">
                  <c:v>76.400000000000006</c:v>
                </c:pt>
                <c:pt idx="2">
                  <c:v>12.3</c:v>
                </c:pt>
              </c:numCache>
            </c:numRef>
          </c:val>
        </c:ser>
        <c:dLbls>
          <c:showLegendKey val="0"/>
          <c:showVal val="0"/>
          <c:showCatName val="1"/>
          <c:showSerName val="0"/>
          <c:showPercent val="1"/>
          <c:showBubbleSize val="0"/>
          <c:showLeaderLines val="1"/>
        </c:dLbls>
        <c:firstSliceAng val="59"/>
        <c:holeSize val="3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j-ea"/>
                <a:ea typeface="+mj-ea"/>
              </a:defRPr>
            </a:pPr>
            <a:r>
              <a:rPr lang="en-US" altLang="ja-JP"/>
              <a:t>【</a:t>
            </a:r>
            <a:r>
              <a:rPr lang="ja-JP" altLang="en-US"/>
              <a:t>問</a:t>
            </a:r>
            <a:r>
              <a:rPr lang="en-US" altLang="ja-JP"/>
              <a:t>11</a:t>
            </a:r>
            <a:r>
              <a:rPr lang="ja-JP" altLang="en-US"/>
              <a:t>－</a:t>
            </a:r>
            <a:r>
              <a:rPr lang="en-US" altLang="ja-JP"/>
              <a:t>5b】</a:t>
            </a:r>
          </a:p>
          <a:p>
            <a:pPr>
              <a:defRPr sz="900">
                <a:latin typeface="+mj-ea"/>
                <a:ea typeface="+mj-ea"/>
              </a:defRPr>
            </a:pPr>
            <a:r>
              <a:rPr lang="ja-JP" altLang="en-US"/>
              <a:t>どう対応しましたか？</a:t>
            </a:r>
            <a:endParaRPr lang="en-US" altLang="ja-JP"/>
          </a:p>
          <a:p>
            <a:pPr>
              <a:defRPr sz="900">
                <a:latin typeface="+mj-ea"/>
                <a:ea typeface="+mj-ea"/>
              </a:defRPr>
            </a:pPr>
            <a:r>
              <a:rPr lang="ja-JP" altLang="en-US" b="0"/>
              <a:t>（いずれか</a:t>
            </a:r>
            <a:r>
              <a:rPr lang="en-US" altLang="ja-JP" b="0"/>
              <a:t>1</a:t>
            </a:r>
            <a:r>
              <a:rPr lang="ja-JP" altLang="en-US" b="0"/>
              <a:t>つに○）</a:t>
            </a:r>
          </a:p>
        </c:rich>
      </c:tx>
      <c:layout>
        <c:manualLayout>
          <c:xMode val="edge"/>
          <c:yMode val="edge"/>
          <c:x val="0.32623614818814367"/>
          <c:y val="0.43062918274117029"/>
        </c:manualLayout>
      </c:layout>
      <c:overlay val="0"/>
    </c:title>
    <c:autoTitleDeleted val="0"/>
    <c:plotArea>
      <c:layout>
        <c:manualLayout>
          <c:layoutTarget val="inner"/>
          <c:xMode val="edge"/>
          <c:yMode val="edge"/>
          <c:x val="9.3957692873432475E-2"/>
          <c:y val="2.7978390593552487E-2"/>
          <c:w val="0.79390878027039058"/>
          <c:h val="0.95919874063226551"/>
        </c:manualLayout>
      </c:layout>
      <c:doughnutChart>
        <c:varyColors val="1"/>
        <c:ser>
          <c:idx val="0"/>
          <c:order val="0"/>
          <c:tx>
            <c:strRef>
              <c:f>Sheet1!$B$1</c:f>
              <c:strCache>
                <c:ptCount val="1"/>
                <c:pt idx="0">
                  <c:v>【問11－5b】どう対応しましたか？（いずれか1つに○）</c:v>
                </c:pt>
              </c:strCache>
            </c:strRef>
          </c:tx>
          <c:spPr>
            <a:ln>
              <a:solidFill>
                <a:schemeClr val="tx1"/>
              </a:solidFill>
            </a:ln>
          </c:spPr>
          <c:dPt>
            <c:idx val="0"/>
            <c:bubble3D val="0"/>
            <c:spPr>
              <a:pattFill prst="pct5">
                <a:fgClr>
                  <a:schemeClr val="bg1">
                    <a:lumMod val="50000"/>
                  </a:schemeClr>
                </a:fgClr>
                <a:bgClr>
                  <a:schemeClr val="bg1"/>
                </a:bgClr>
              </a:pattFill>
              <a:ln>
                <a:solidFill>
                  <a:schemeClr val="tx1"/>
                </a:solidFill>
              </a:ln>
            </c:spPr>
          </c:dPt>
          <c:dPt>
            <c:idx val="1"/>
            <c:bubble3D val="0"/>
            <c:spPr>
              <a:pattFill prst="ltDnDiag">
                <a:fgClr>
                  <a:schemeClr val="bg1">
                    <a:lumMod val="65000"/>
                  </a:schemeClr>
                </a:fgClr>
                <a:bgClr>
                  <a:schemeClr val="bg1"/>
                </a:bgClr>
              </a:pattFill>
              <a:ln>
                <a:solidFill>
                  <a:schemeClr val="tx1"/>
                </a:solidFill>
              </a:ln>
            </c:spPr>
          </c:dPt>
          <c:dPt>
            <c:idx val="2"/>
            <c:bubble3D val="0"/>
            <c:spPr>
              <a:pattFill prst="divot">
                <a:fgClr>
                  <a:schemeClr val="bg1">
                    <a:lumMod val="50000"/>
                  </a:schemeClr>
                </a:fgClr>
                <a:bgClr>
                  <a:schemeClr val="bg1"/>
                </a:bgClr>
              </a:pattFill>
              <a:ln>
                <a:solidFill>
                  <a:schemeClr val="tx1"/>
                </a:solidFill>
              </a:ln>
            </c:spPr>
          </c:dPt>
          <c:dPt>
            <c:idx val="3"/>
            <c:bubble3D val="0"/>
            <c:spPr>
              <a:pattFill prst="lgGrid">
                <a:fgClr>
                  <a:schemeClr val="bg1">
                    <a:lumMod val="65000"/>
                  </a:schemeClr>
                </a:fgClr>
                <a:bgClr>
                  <a:schemeClr val="bg1"/>
                </a:bgClr>
              </a:pattFill>
              <a:ln>
                <a:solidFill>
                  <a:schemeClr val="tx1"/>
                </a:solidFill>
              </a:ln>
            </c:spPr>
          </c:dPt>
          <c:dPt>
            <c:idx val="4"/>
            <c:bubble3D val="0"/>
            <c:spPr>
              <a:pattFill prst="smConfetti">
                <a:fgClr>
                  <a:schemeClr val="bg1">
                    <a:lumMod val="50000"/>
                  </a:schemeClr>
                </a:fgClr>
                <a:bgClr>
                  <a:schemeClr val="bg1"/>
                </a:bgClr>
              </a:pattFill>
              <a:ln>
                <a:solidFill>
                  <a:schemeClr val="tx1"/>
                </a:solidFill>
              </a:ln>
            </c:spPr>
          </c:dPt>
          <c:dPt>
            <c:idx val="5"/>
            <c:bubble3D val="0"/>
            <c:spPr>
              <a:pattFill prst="diagBrick">
                <a:fgClr>
                  <a:schemeClr val="bg1">
                    <a:lumMod val="65000"/>
                  </a:schemeClr>
                </a:fgClr>
                <a:bgClr>
                  <a:schemeClr val="bg1"/>
                </a:bgClr>
              </a:pattFill>
              <a:ln>
                <a:solidFill>
                  <a:schemeClr val="tx1"/>
                </a:solidFill>
              </a:ln>
            </c:spPr>
          </c:dPt>
          <c:dPt>
            <c:idx val="6"/>
            <c:bubble3D val="0"/>
            <c:spPr>
              <a:noFill/>
              <a:ln>
                <a:solidFill>
                  <a:schemeClr val="tx1"/>
                </a:solidFill>
              </a:ln>
            </c:spPr>
          </c:dPt>
          <c:dLbls>
            <c:dLbl>
              <c:idx val="0"/>
              <c:tx>
                <c:rich>
                  <a:bodyPr/>
                  <a:lstStyle/>
                  <a:p>
                    <a:r>
                      <a:rPr lang="ja-JP" altLang="en-US"/>
                      <a:t>いけないことと指摘した</a:t>
                    </a:r>
                    <a:endParaRPr lang="en-US" altLang="ja-JP"/>
                  </a:p>
                  <a:p>
                    <a:r>
                      <a:rPr lang="en-US" altLang="ja-JP"/>
                      <a:t>17.1%</a:t>
                    </a:r>
                  </a:p>
                </c:rich>
              </c:tx>
              <c:showLegendKey val="0"/>
              <c:showVal val="1"/>
              <c:showCatName val="1"/>
              <c:showSerName val="0"/>
              <c:showPercent val="0"/>
              <c:showBubbleSize val="0"/>
            </c:dLbl>
            <c:dLbl>
              <c:idx val="1"/>
              <c:layout>
                <c:manualLayout>
                  <c:x val="1.0736800991280084E-2"/>
                  <c:y val="4.465748761897528E-3"/>
                </c:manualLayout>
              </c:layout>
              <c:tx>
                <c:rich>
                  <a:bodyPr/>
                  <a:lstStyle/>
                  <a:p>
                    <a:r>
                      <a:rPr lang="ja-JP" altLang="en-US"/>
                      <a:t>いけないことと分かってもらおうとした</a:t>
                    </a:r>
                    <a:endParaRPr lang="en-US" altLang="ja-JP"/>
                  </a:p>
                  <a:p>
                    <a:r>
                      <a:rPr lang="en-US" altLang="ja-JP"/>
                      <a:t>11.6%</a:t>
                    </a:r>
                  </a:p>
                </c:rich>
              </c:tx>
              <c:showLegendKey val="0"/>
              <c:showVal val="1"/>
              <c:showCatName val="1"/>
              <c:showSerName val="0"/>
              <c:showPercent val="0"/>
              <c:showBubbleSize val="0"/>
            </c:dLbl>
            <c:dLbl>
              <c:idx val="2"/>
              <c:tx>
                <c:rich>
                  <a:bodyPr/>
                  <a:lstStyle/>
                  <a:p>
                    <a:r>
                      <a:rPr lang="ja-JP" altLang="en-US"/>
                      <a:t>相談した</a:t>
                    </a:r>
                    <a:endParaRPr lang="en-US" altLang="ja-JP"/>
                  </a:p>
                  <a:p>
                    <a:r>
                      <a:rPr lang="en-US" altLang="ja-JP"/>
                      <a:t>9.1%</a:t>
                    </a:r>
                  </a:p>
                </c:rich>
              </c:tx>
              <c:showLegendKey val="0"/>
              <c:showVal val="1"/>
              <c:showCatName val="1"/>
              <c:showSerName val="0"/>
              <c:showPercent val="0"/>
              <c:showBubbleSize val="0"/>
            </c:dLbl>
            <c:dLbl>
              <c:idx val="3"/>
              <c:tx>
                <c:rich>
                  <a:bodyPr/>
                  <a:lstStyle/>
                  <a:p>
                    <a:r>
                      <a:rPr lang="ja-JP" altLang="en-US"/>
                      <a:t>同調した</a:t>
                    </a:r>
                    <a:endParaRPr lang="en-US" altLang="ja-JP"/>
                  </a:p>
                  <a:p>
                    <a:r>
                      <a:rPr lang="en-US" altLang="ja-JP"/>
                      <a:t>7.8%</a:t>
                    </a:r>
                  </a:p>
                </c:rich>
              </c:tx>
              <c:showLegendKey val="0"/>
              <c:showVal val="1"/>
              <c:showCatName val="1"/>
              <c:showSerName val="0"/>
              <c:showPercent val="0"/>
              <c:showBubbleSize val="0"/>
            </c:dLbl>
            <c:dLbl>
              <c:idx val="4"/>
              <c:layout>
                <c:manualLayout>
                  <c:x val="7.1578673275200554E-3"/>
                  <c:y val="6.6986231428462925E-2"/>
                </c:manualLayout>
              </c:layout>
              <c:tx>
                <c:rich>
                  <a:bodyPr/>
                  <a:lstStyle/>
                  <a:p>
                    <a:r>
                      <a:rPr lang="ja-JP" altLang="en-US"/>
                      <a:t>話をそらした</a:t>
                    </a:r>
                    <a:endParaRPr lang="en-US" altLang="ja-JP"/>
                  </a:p>
                  <a:p>
                    <a:r>
                      <a:rPr lang="en-US" altLang="ja-JP"/>
                      <a:t>7.1%</a:t>
                    </a:r>
                  </a:p>
                </c:rich>
              </c:tx>
              <c:showLegendKey val="0"/>
              <c:showVal val="1"/>
              <c:showCatName val="1"/>
              <c:showSerName val="0"/>
              <c:showPercent val="0"/>
              <c:showBubbleSize val="0"/>
            </c:dLbl>
            <c:dLbl>
              <c:idx val="5"/>
              <c:tx>
                <c:rich>
                  <a:bodyPr/>
                  <a:lstStyle/>
                  <a:p>
                    <a:r>
                      <a:rPr lang="ja-JP" altLang="en-US"/>
                      <a:t>何もしなかった</a:t>
                    </a:r>
                    <a:endParaRPr lang="en-US" altLang="ja-JP"/>
                  </a:p>
                  <a:p>
                    <a:r>
                      <a:rPr lang="en-US" altLang="ja-JP"/>
                      <a:t>42.3%</a:t>
                    </a:r>
                  </a:p>
                </c:rich>
              </c:tx>
              <c:showLegendKey val="0"/>
              <c:showVal val="1"/>
              <c:showCatName val="1"/>
              <c:showSerName val="0"/>
              <c:showPercent val="0"/>
              <c:showBubbleSize val="0"/>
            </c:dLbl>
            <c:dLbl>
              <c:idx val="6"/>
              <c:layout>
                <c:manualLayout>
                  <c:x val="-3.5789336637600277E-3"/>
                  <c:y val="-6.6986231428462939E-2"/>
                </c:manualLayout>
              </c:layout>
              <c:tx>
                <c:rich>
                  <a:bodyPr/>
                  <a:lstStyle/>
                  <a:p>
                    <a:r>
                      <a:rPr lang="ja-JP" altLang="en-US"/>
                      <a:t>無回答</a:t>
                    </a:r>
                    <a:endParaRPr lang="en-US" altLang="ja-JP"/>
                  </a:p>
                  <a:p>
                    <a:r>
                      <a:rPr lang="en-US" altLang="ja-JP"/>
                      <a:t>6.5%</a:t>
                    </a:r>
                  </a:p>
                </c:rich>
              </c:tx>
              <c:showLegendKey val="0"/>
              <c:showVal val="1"/>
              <c:showCatName val="1"/>
              <c:showSerName val="0"/>
              <c:showPercent val="0"/>
              <c:showBubbleSize val="0"/>
            </c:dLbl>
            <c:txPr>
              <a:bodyPr/>
              <a:lstStyle/>
              <a:p>
                <a:pPr>
                  <a:defRPr sz="800" b="1"/>
                </a:pPr>
                <a:endParaRPr lang="ja-JP"/>
              </a:p>
            </c:txPr>
            <c:showLegendKey val="0"/>
            <c:showVal val="1"/>
            <c:showCatName val="1"/>
            <c:showSerName val="0"/>
            <c:showPercent val="0"/>
            <c:showBubbleSize val="0"/>
            <c:showLeaderLines val="1"/>
          </c:dLbls>
          <c:cat>
            <c:strRef>
              <c:f>Sheet1!$A$2:$A$8</c:f>
              <c:strCache>
                <c:ptCount val="7"/>
                <c:pt idx="0">
                  <c:v>いけないことと指摘した</c:v>
                </c:pt>
                <c:pt idx="1">
                  <c:v>いけないことと分かって
もらおうとした</c:v>
                </c:pt>
                <c:pt idx="2">
                  <c:v>相談した</c:v>
                </c:pt>
                <c:pt idx="3">
                  <c:v>同調した</c:v>
                </c:pt>
                <c:pt idx="4">
                  <c:v>話をそらした</c:v>
                </c:pt>
                <c:pt idx="5">
                  <c:v>何もしなかった</c:v>
                </c:pt>
                <c:pt idx="6">
                  <c:v>無回答</c:v>
                </c:pt>
              </c:strCache>
            </c:strRef>
          </c:cat>
          <c:val>
            <c:numRef>
              <c:f>Sheet1!$B$2:$B$8</c:f>
              <c:numCache>
                <c:formatCode>General</c:formatCode>
                <c:ptCount val="7"/>
                <c:pt idx="0">
                  <c:v>17.100000000000001</c:v>
                </c:pt>
                <c:pt idx="1">
                  <c:v>11.6</c:v>
                </c:pt>
                <c:pt idx="2">
                  <c:v>9.1</c:v>
                </c:pt>
                <c:pt idx="3">
                  <c:v>7.8</c:v>
                </c:pt>
                <c:pt idx="4">
                  <c:v>7.1</c:v>
                </c:pt>
                <c:pt idx="5">
                  <c:v>42.3</c:v>
                </c:pt>
                <c:pt idx="6">
                  <c:v>6.5</c:v>
                </c:pt>
              </c:numCache>
            </c:numRef>
          </c:val>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j-ea"/>
                <a:ea typeface="+mj-ea"/>
              </a:defRPr>
            </a:pPr>
            <a:r>
              <a:rPr lang="en-US" altLang="ja-JP"/>
              <a:t>【</a:t>
            </a:r>
            <a:r>
              <a:rPr lang="ja-JP" altLang="en-US"/>
              <a:t>問</a:t>
            </a:r>
            <a:r>
              <a:rPr lang="en-US" altLang="ja-JP"/>
              <a:t>11</a:t>
            </a:r>
            <a:r>
              <a:rPr lang="ja-JP" altLang="en-US"/>
              <a:t>－</a:t>
            </a:r>
            <a:r>
              <a:rPr lang="en-US" altLang="ja-JP"/>
              <a:t>6a】</a:t>
            </a:r>
          </a:p>
          <a:p>
            <a:pPr>
              <a:defRPr sz="900">
                <a:latin typeface="+mj-ea"/>
                <a:ea typeface="+mj-ea"/>
              </a:defRPr>
            </a:pPr>
            <a:r>
              <a:rPr lang="ja-JP" altLang="en-US"/>
              <a:t>最終的に解決しましたか？
</a:t>
            </a:r>
            <a:r>
              <a:rPr lang="ja-JP" altLang="en-US" b="0"/>
              <a:t>（いずれか</a:t>
            </a:r>
            <a:r>
              <a:rPr lang="en-US" altLang="ja-JP" b="0"/>
              <a:t>1</a:t>
            </a:r>
            <a:r>
              <a:rPr lang="ja-JP" altLang="en-US" b="0"/>
              <a:t>つに○）</a:t>
            </a:r>
          </a:p>
        </c:rich>
      </c:tx>
      <c:layout>
        <c:manualLayout>
          <c:xMode val="edge"/>
          <c:yMode val="edge"/>
          <c:x val="2.6581294792005689E-3"/>
          <c:y val="5.1552042616746473E-2"/>
        </c:manualLayout>
      </c:layout>
      <c:overlay val="0"/>
    </c:title>
    <c:autoTitleDeleted val="0"/>
    <c:plotArea>
      <c:layout>
        <c:manualLayout>
          <c:layoutTarget val="inner"/>
          <c:xMode val="edge"/>
          <c:yMode val="edge"/>
          <c:x val="0.28990508578146484"/>
          <c:y val="4.4270176930224857E-2"/>
          <c:w val="0.67499325786571251"/>
          <c:h val="0.95572982306977494"/>
        </c:manualLayout>
      </c:layout>
      <c:pieChart>
        <c:varyColors val="1"/>
        <c:ser>
          <c:idx val="0"/>
          <c:order val="0"/>
          <c:tx>
            <c:strRef>
              <c:f>Sheet1!$B$1</c:f>
              <c:strCache>
                <c:ptCount val="1"/>
                <c:pt idx="0">
                  <c:v>【問11－6a】最終的に解決しましたか？
（いずれか1つに○）</c:v>
                </c:pt>
              </c:strCache>
            </c:strRef>
          </c:tx>
          <c:spPr>
            <a:ln>
              <a:solidFill>
                <a:schemeClr val="tx1"/>
              </a:solidFill>
            </a:ln>
          </c:spPr>
          <c:dPt>
            <c:idx val="0"/>
            <c:bubble3D val="0"/>
            <c:spPr>
              <a:pattFill prst="pct5">
                <a:fgClr>
                  <a:schemeClr val="bg1">
                    <a:lumMod val="50000"/>
                  </a:schemeClr>
                </a:fgClr>
                <a:bgClr>
                  <a:schemeClr val="bg1"/>
                </a:bgClr>
              </a:pattFill>
              <a:ln>
                <a:solidFill>
                  <a:schemeClr val="tx1"/>
                </a:solidFill>
              </a:ln>
            </c:spPr>
          </c:dPt>
          <c:dPt>
            <c:idx val="1"/>
            <c:bubble3D val="0"/>
            <c:spPr>
              <a:pattFill prst="dashHorz">
                <a:fgClr>
                  <a:schemeClr val="bg1">
                    <a:lumMod val="50000"/>
                  </a:schemeClr>
                </a:fgClr>
                <a:bgClr>
                  <a:schemeClr val="bg1"/>
                </a:bgClr>
              </a:pattFill>
              <a:ln>
                <a:solidFill>
                  <a:schemeClr val="tx1"/>
                </a:solidFill>
              </a:ln>
            </c:spPr>
          </c:dPt>
          <c:dPt>
            <c:idx val="2"/>
            <c:bubble3D val="0"/>
            <c:spPr>
              <a:pattFill prst="smConfetti">
                <a:fgClr>
                  <a:schemeClr val="bg1">
                    <a:lumMod val="50000"/>
                  </a:schemeClr>
                </a:fgClr>
                <a:bgClr>
                  <a:schemeClr val="bg1"/>
                </a:bgClr>
              </a:pattFill>
              <a:ln>
                <a:solidFill>
                  <a:schemeClr val="tx1"/>
                </a:solidFill>
              </a:ln>
            </c:spPr>
          </c:dPt>
          <c:dPt>
            <c:idx val="3"/>
            <c:bubble3D val="0"/>
            <c:spPr>
              <a:noFill/>
              <a:ln>
                <a:solidFill>
                  <a:schemeClr val="tx1"/>
                </a:solidFill>
              </a:ln>
            </c:spPr>
          </c:dPt>
          <c:dLbls>
            <c:dLbl>
              <c:idx val="0"/>
              <c:tx>
                <c:rich>
                  <a:bodyPr/>
                  <a:lstStyle/>
                  <a:p>
                    <a:r>
                      <a:rPr lang="ja-JP" altLang="en-US"/>
                      <a:t>解決した</a:t>
                    </a:r>
                    <a:endParaRPr lang="en-US" altLang="ja-JP"/>
                  </a:p>
                  <a:p>
                    <a:r>
                      <a:rPr lang="en-US" altLang="ja-JP"/>
                      <a:t>19.4%</a:t>
                    </a:r>
                  </a:p>
                </c:rich>
              </c:tx>
              <c:showLegendKey val="0"/>
              <c:showVal val="1"/>
              <c:showCatName val="1"/>
              <c:showSerName val="0"/>
              <c:showPercent val="1"/>
              <c:showBubbleSize val="0"/>
            </c:dLbl>
            <c:dLbl>
              <c:idx val="1"/>
              <c:layout>
                <c:manualLayout>
                  <c:x val="-6.8446635836499053E-3"/>
                  <c:y val="-0.12502744587094536"/>
                </c:manualLayout>
              </c:layout>
              <c:tx>
                <c:rich>
                  <a:bodyPr/>
                  <a:lstStyle/>
                  <a:p>
                    <a:r>
                      <a:rPr lang="ja-JP" altLang="en-US"/>
                      <a:t>解決しなかった</a:t>
                    </a:r>
                    <a:endParaRPr lang="en-US" altLang="ja-JP"/>
                  </a:p>
                  <a:p>
                    <a:r>
                      <a:rPr lang="en-US" altLang="ja-JP"/>
                      <a:t>59.7%</a:t>
                    </a:r>
                  </a:p>
                </c:rich>
              </c:tx>
              <c:showLegendKey val="0"/>
              <c:showVal val="1"/>
              <c:showCatName val="1"/>
              <c:showSerName val="0"/>
              <c:showPercent val="1"/>
              <c:showBubbleSize val="0"/>
            </c:dLbl>
            <c:dLbl>
              <c:idx val="2"/>
              <c:tx>
                <c:rich>
                  <a:bodyPr/>
                  <a:lstStyle/>
                  <a:p>
                    <a:r>
                      <a:rPr lang="ja-JP" altLang="en-US"/>
                      <a:t>その他</a:t>
                    </a:r>
                    <a:endParaRPr lang="en-US" altLang="ja-JP"/>
                  </a:p>
                  <a:p>
                    <a:r>
                      <a:rPr lang="en-US" altLang="ja-JP"/>
                      <a:t>14.9%</a:t>
                    </a:r>
                  </a:p>
                </c:rich>
              </c:tx>
              <c:showLegendKey val="0"/>
              <c:showVal val="1"/>
              <c:showCatName val="1"/>
              <c:showSerName val="0"/>
              <c:showPercent val="1"/>
              <c:showBubbleSize val="0"/>
            </c:dLbl>
            <c:dLbl>
              <c:idx val="3"/>
              <c:tx>
                <c:rich>
                  <a:bodyPr/>
                  <a:lstStyle/>
                  <a:p>
                    <a:r>
                      <a:rPr lang="ja-JP" altLang="en-US"/>
                      <a:t>無回答・不明</a:t>
                    </a:r>
                    <a:endParaRPr lang="en-US" altLang="ja-JP"/>
                  </a:p>
                  <a:p>
                    <a:r>
                      <a:rPr lang="en-US" altLang="ja-JP"/>
                      <a:t>6.0%</a:t>
                    </a:r>
                  </a:p>
                </c:rich>
              </c:tx>
              <c:showLegendKey val="0"/>
              <c:showVal val="1"/>
              <c:showCatName val="1"/>
              <c:showSerName val="0"/>
              <c:showPercent val="1"/>
              <c:showBubbleSize val="0"/>
            </c:dLbl>
            <c:txPr>
              <a:bodyPr/>
              <a:lstStyle/>
              <a:p>
                <a:pPr>
                  <a:defRPr sz="1100" b="1"/>
                </a:pPr>
                <a:endParaRPr lang="ja-JP"/>
              </a:p>
            </c:txPr>
            <c:showLegendKey val="0"/>
            <c:showVal val="1"/>
            <c:showCatName val="1"/>
            <c:showSerName val="0"/>
            <c:showPercent val="1"/>
            <c:showBubbleSize val="0"/>
            <c:showLeaderLines val="1"/>
          </c:dLbls>
          <c:cat>
            <c:strRef>
              <c:f>Sheet1!$A$2:$A$5</c:f>
              <c:strCache>
                <c:ptCount val="4"/>
                <c:pt idx="0">
                  <c:v>解決した</c:v>
                </c:pt>
                <c:pt idx="1">
                  <c:v>解決しなかった</c:v>
                </c:pt>
                <c:pt idx="2">
                  <c:v>その他</c:v>
                </c:pt>
                <c:pt idx="3">
                  <c:v>無回答・不明</c:v>
                </c:pt>
              </c:strCache>
            </c:strRef>
          </c:cat>
          <c:val>
            <c:numRef>
              <c:f>Sheet1!$B$2:$B$5</c:f>
              <c:numCache>
                <c:formatCode>0.0_ </c:formatCode>
                <c:ptCount val="4"/>
                <c:pt idx="0">
                  <c:v>19.399999999999999</c:v>
                </c:pt>
                <c:pt idx="1">
                  <c:v>59.7</c:v>
                </c:pt>
                <c:pt idx="2">
                  <c:v>14.9</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900">
                <a:latin typeface="+mj-ea"/>
                <a:ea typeface="+mj-ea"/>
              </a:defRPr>
            </a:pPr>
            <a:r>
              <a:rPr lang="en-US" altLang="ja-JP"/>
              <a:t>【</a:t>
            </a:r>
            <a:r>
              <a:rPr lang="ja-JP" altLang="en-US"/>
              <a:t>問</a:t>
            </a:r>
            <a:r>
              <a:rPr lang="en-US" altLang="ja-JP"/>
              <a:t>11</a:t>
            </a:r>
            <a:r>
              <a:rPr lang="ja-JP" altLang="en-US"/>
              <a:t>－</a:t>
            </a:r>
            <a:r>
              <a:rPr lang="en-US" altLang="ja-JP"/>
              <a:t>6b】</a:t>
            </a:r>
            <a:r>
              <a:rPr lang="ja-JP" altLang="en-US"/>
              <a:t>そのような問題（事案）についてどうしたらよいと考えますか？　　　　　　　　　　　　　　　　　　　　　　</a:t>
            </a:r>
            <a:r>
              <a:rPr lang="ja-JP" altLang="en-US" b="0"/>
              <a:t>（○はいくつでも）</a:t>
            </a:r>
          </a:p>
        </c:rich>
      </c:tx>
      <c:layout>
        <c:manualLayout>
          <c:xMode val="edge"/>
          <c:yMode val="edge"/>
          <c:x val="3.0701020818347653E-2"/>
          <c:y val="2.8728989779194098E-2"/>
        </c:manualLayout>
      </c:layout>
      <c:overlay val="0"/>
    </c:title>
    <c:autoTitleDeleted val="0"/>
    <c:plotArea>
      <c:layout/>
      <c:barChart>
        <c:barDir val="bar"/>
        <c:grouping val="stacked"/>
        <c:varyColors val="0"/>
        <c:ser>
          <c:idx val="0"/>
          <c:order val="0"/>
          <c:tx>
            <c:strRef>
              <c:f>Sheet1!$B$1</c:f>
              <c:strCache>
                <c:ptCount val="1"/>
                <c:pt idx="0">
                  <c:v>【問11－6b】そのような問題（事案）についてどうしたらよいと考えますか？
（○はいくつでも）</c:v>
                </c:pt>
              </c:strCache>
            </c:strRef>
          </c:tx>
          <c:spPr>
            <a:solidFill>
              <a:schemeClr val="accent3"/>
            </a:solidFill>
            <a:ln>
              <a:solidFill>
                <a:srgbClr val="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layout>
                <c:manualLayout>
                  <c:x val="6.7705123638714532E-2"/>
                  <c:y val="0"/>
                </c:manualLayout>
              </c:layout>
              <c:dLblPos val="ctr"/>
              <c:showLegendKey val="0"/>
              <c:showVal val="1"/>
              <c:showCatName val="0"/>
              <c:showSerName val="0"/>
              <c:showPercent val="0"/>
              <c:showBubbleSize val="0"/>
            </c:dLbl>
            <c:dLbl>
              <c:idx val="1"/>
              <c:layout>
                <c:manualLayout>
                  <c:x val="8.5364467277421072E-2"/>
                  <c:y val="0"/>
                </c:manualLayout>
              </c:layout>
              <c:dLblPos val="ctr"/>
              <c:showLegendKey val="0"/>
              <c:showVal val="1"/>
              <c:showCatName val="0"/>
              <c:showSerName val="0"/>
              <c:showPercent val="0"/>
              <c:showBubbleSize val="0"/>
            </c:dLbl>
            <c:dLbl>
              <c:idx val="2"/>
              <c:layout>
                <c:manualLayout>
                  <c:x val="6.0776579287320512E-2"/>
                  <c:y val="0"/>
                </c:manualLayout>
              </c:layout>
              <c:dLblPos val="ctr"/>
              <c:showLegendKey val="0"/>
              <c:showVal val="1"/>
              <c:showCatName val="0"/>
              <c:showSerName val="0"/>
              <c:showPercent val="0"/>
              <c:showBubbleSize val="0"/>
            </c:dLbl>
            <c:dLbl>
              <c:idx val="3"/>
              <c:layout>
                <c:manualLayout>
                  <c:x val="0.29095919630030537"/>
                  <c:y val="-7.342411022947995E-17"/>
                </c:manualLayout>
              </c:layout>
              <c:dLblPos val="ctr"/>
              <c:showLegendKey val="0"/>
              <c:showVal val="1"/>
              <c:showCatName val="0"/>
              <c:showSerName val="0"/>
              <c:showPercent val="0"/>
              <c:showBubbleSize val="0"/>
            </c:dLbl>
            <c:dLbl>
              <c:idx val="4"/>
              <c:layout>
                <c:manualLayout>
                  <c:x val="0.1761413614428122"/>
                  <c:y val="0"/>
                </c:manualLayout>
              </c:layout>
              <c:dLblPos val="ctr"/>
              <c:showLegendKey val="0"/>
              <c:showVal val="1"/>
              <c:showCatName val="0"/>
              <c:showSerName val="0"/>
              <c:showPercent val="0"/>
              <c:showBubbleSize val="0"/>
            </c:dLbl>
            <c:dLbl>
              <c:idx val="5"/>
              <c:layout>
                <c:manualLayout>
                  <c:x val="0.30279799835690896"/>
                  <c:y val="-3.6712055114739975E-17"/>
                </c:manualLayout>
              </c:layout>
              <c:dLblPos val="ctr"/>
              <c:showLegendKey val="0"/>
              <c:showVal val="1"/>
              <c:showCatName val="0"/>
              <c:showSerName val="0"/>
              <c:showPercent val="0"/>
              <c:showBubbleSize val="0"/>
            </c:dLbl>
            <c:dLbl>
              <c:idx val="6"/>
              <c:layout>
                <c:manualLayout>
                  <c:x val="0.2599845995998184"/>
                  <c:y val="0"/>
                </c:manualLayout>
              </c:layout>
              <c:dLblPos val="ctr"/>
              <c:showLegendKey val="0"/>
              <c:showVal val="1"/>
              <c:showCatName val="0"/>
              <c:showSerName val="0"/>
              <c:showPercent val="0"/>
              <c:showBubbleSize val="0"/>
            </c:dLbl>
            <c:spPr>
              <a:solidFill>
                <a:schemeClr val="bg1"/>
              </a:solidFill>
            </c:spPr>
            <c:txPr>
              <a:bodyPr/>
              <a:lstStyle/>
              <a:p>
                <a:pPr>
                  <a:defRPr b="1"/>
                </a:pPr>
                <a:endParaRPr lang="ja-JP"/>
              </a:p>
            </c:txPr>
            <c:dLblPos val="inEnd"/>
            <c:showLegendKey val="0"/>
            <c:showVal val="1"/>
            <c:showCatName val="0"/>
            <c:showSerName val="0"/>
            <c:showPercent val="0"/>
            <c:showBubbleSize val="0"/>
            <c:showLeaderLines val="0"/>
          </c:dLbls>
          <c:cat>
            <c:strRef>
              <c:f>Sheet1!$A$2:$A$8</c:f>
              <c:strCache>
                <c:ptCount val="7"/>
                <c:pt idx="0">
                  <c:v>無回答</c:v>
                </c:pt>
                <c:pt idx="1">
                  <c:v>その他</c:v>
                </c:pt>
                <c:pt idx="2">
                  <c:v>特に何もしなくてよい</c:v>
                </c:pt>
                <c:pt idx="3">
                  <c:v>学校教育・社会教育を充実する</c:v>
                </c:pt>
                <c:pt idx="4">
                  <c:v>当事者自らが解決策を講じる</c:v>
                </c:pt>
                <c:pt idx="5">
                  <c:v>相談窓口を拡充する</c:v>
                </c:pt>
                <c:pt idx="6">
                  <c:v>行政が啓発に努める</c:v>
                </c:pt>
              </c:strCache>
            </c:strRef>
          </c:cat>
          <c:val>
            <c:numRef>
              <c:f>Sheet1!$B$2:$B$8</c:f>
              <c:numCache>
                <c:formatCode>0.0_ </c:formatCode>
                <c:ptCount val="7"/>
                <c:pt idx="0">
                  <c:v>4.5</c:v>
                </c:pt>
                <c:pt idx="1">
                  <c:v>8.9</c:v>
                </c:pt>
                <c:pt idx="2">
                  <c:v>4.2</c:v>
                </c:pt>
                <c:pt idx="3">
                  <c:v>43</c:v>
                </c:pt>
                <c:pt idx="4">
                  <c:v>22.7</c:v>
                </c:pt>
                <c:pt idx="5">
                  <c:v>43.7</c:v>
                </c:pt>
                <c:pt idx="6">
                  <c:v>35.4</c:v>
                </c:pt>
              </c:numCache>
            </c:numRef>
          </c:val>
        </c:ser>
        <c:dLbls>
          <c:showLegendKey val="0"/>
          <c:showVal val="0"/>
          <c:showCatName val="0"/>
          <c:showSerName val="0"/>
          <c:showPercent val="0"/>
          <c:showBubbleSize val="0"/>
        </c:dLbls>
        <c:gapWidth val="75"/>
        <c:overlap val="100"/>
        <c:axId val="248538624"/>
        <c:axId val="248744768"/>
      </c:barChart>
      <c:valAx>
        <c:axId val="248744768"/>
        <c:scaling>
          <c:orientation val="minMax"/>
        </c:scaling>
        <c:delete val="0"/>
        <c:axPos val="b"/>
        <c:majorGridlines/>
        <c:numFmt formatCode="0_ " sourceLinked="0"/>
        <c:majorTickMark val="none"/>
        <c:minorTickMark val="none"/>
        <c:tickLblPos val="nextTo"/>
        <c:crossAx val="248538624"/>
        <c:crosses val="autoZero"/>
        <c:crossBetween val="between"/>
      </c:valAx>
      <c:catAx>
        <c:axId val="248538624"/>
        <c:scaling>
          <c:orientation val="minMax"/>
        </c:scaling>
        <c:delete val="0"/>
        <c:axPos val="l"/>
        <c:majorTickMark val="none"/>
        <c:minorTickMark val="none"/>
        <c:tickLblPos val="nextTo"/>
        <c:txPr>
          <a:bodyPr/>
          <a:lstStyle/>
          <a:p>
            <a:pPr>
              <a:defRPr sz="900"/>
            </a:pPr>
            <a:endParaRPr lang="ja-JP"/>
          </a:p>
        </c:txPr>
        <c:crossAx val="248744768"/>
        <c:crosses val="autoZero"/>
        <c:auto val="1"/>
        <c:lblAlgn val="ctr"/>
        <c:lblOffset val="100"/>
        <c:noMultiLvlLbl val="0"/>
      </c:cat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ja-JP" altLang="en-US" sz="1100" b="1"/>
              <a:t>外円→今回調査</a:t>
            </a:r>
            <a:endParaRPr lang="en-US" altLang="ja-JP" sz="1100" b="1"/>
          </a:p>
          <a:p>
            <a:pPr>
              <a:defRPr sz="900" b="0"/>
            </a:pPr>
            <a:r>
              <a:rPr lang="ja-JP" altLang="en-US" sz="900" b="1"/>
              <a:t>内円→前回調査</a:t>
            </a:r>
          </a:p>
        </c:rich>
      </c:tx>
      <c:layout>
        <c:manualLayout>
          <c:xMode val="edge"/>
          <c:yMode val="edge"/>
          <c:x val="0.44096197504356838"/>
          <c:y val="0.46018570962260719"/>
        </c:manualLayout>
      </c:layout>
      <c:overlay val="0"/>
    </c:title>
    <c:autoTitleDeleted val="0"/>
    <c:plotArea>
      <c:layout>
        <c:manualLayout>
          <c:layoutTarget val="inner"/>
          <c:xMode val="edge"/>
          <c:yMode val="edge"/>
          <c:x val="0.19366557591880845"/>
          <c:y val="4.5003427564684936E-2"/>
          <c:w val="0.68072532209271219"/>
          <c:h val="0.91558653303763915"/>
        </c:manualLayout>
      </c:layout>
      <c:doughnutChart>
        <c:varyColors val="1"/>
        <c:ser>
          <c:idx val="0"/>
          <c:order val="0"/>
          <c:tx>
            <c:strRef>
              <c:f>Sheet1!$B$1</c:f>
              <c:strCache>
                <c:ptCount val="1"/>
                <c:pt idx="0">
                  <c:v>列2</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dotGrid">
                <a:fgClr>
                  <a:schemeClr val="bg1">
                    <a:lumMod val="50000"/>
                  </a:schemeClr>
                </a:fgClr>
                <a:bgClr>
                  <a:schemeClr val="bg1"/>
                </a:bgClr>
              </a:pattFill>
              <a:ln>
                <a:solidFill>
                  <a:srgbClr val="000000"/>
                </a:solidFill>
              </a:ln>
            </c:spPr>
          </c:dPt>
          <c:dPt>
            <c:idx val="2"/>
            <c:bubble3D val="0"/>
            <c:spPr>
              <a:pattFill prst="zigZag">
                <a:fgClr>
                  <a:schemeClr val="bg1">
                    <a:lumMod val="65000"/>
                  </a:schemeClr>
                </a:fgClr>
                <a:bgClr>
                  <a:schemeClr val="bg1"/>
                </a:bgClr>
              </a:pattFill>
              <a:ln>
                <a:solidFill>
                  <a:srgbClr val="000000"/>
                </a:solidFill>
              </a:ln>
            </c:spPr>
          </c:dPt>
          <c:dPt>
            <c:idx val="3"/>
            <c:bubble3D val="0"/>
            <c:spPr>
              <a:noFill/>
              <a:ln>
                <a:solidFill>
                  <a:srgbClr val="000000"/>
                </a:solidFill>
              </a:ln>
            </c:spPr>
          </c:dPt>
          <c:dLbls>
            <c:dLbl>
              <c:idx val="2"/>
              <c:layout>
                <c:manualLayout>
                  <c:x val="-1.2442129402848372E-2"/>
                  <c:y val="0"/>
                </c:manualLayout>
              </c:layout>
              <c:showLegendKey val="0"/>
              <c:showVal val="0"/>
              <c:showCatName val="1"/>
              <c:showSerName val="0"/>
              <c:showPercent val="1"/>
              <c:showBubbleSize val="0"/>
            </c:dLbl>
            <c:numFmt formatCode="0.0%" sourceLinked="0"/>
            <c:txPr>
              <a:bodyPr/>
              <a:lstStyle/>
              <a:p>
                <a:pPr>
                  <a:defRPr sz="1050" b="1"/>
                </a:pPr>
                <a:endParaRPr lang="ja-JP"/>
              </a:p>
            </c:txPr>
            <c:showLegendKey val="0"/>
            <c:showVal val="0"/>
            <c:showCatName val="1"/>
            <c:showSerName val="0"/>
            <c:showPercent val="1"/>
            <c:showBubbleSize val="0"/>
            <c:showLeaderLines val="1"/>
          </c:dLbls>
          <c:cat>
            <c:strRef>
              <c:f>Sheet1!$A$2:$A$5</c:f>
              <c:strCache>
                <c:ptCount val="4"/>
                <c:pt idx="0">
                  <c:v>男性</c:v>
                </c:pt>
                <c:pt idx="1">
                  <c:v>女性</c:v>
                </c:pt>
                <c:pt idx="2">
                  <c:v>男性・女性と答えることに
抵抗を感じる</c:v>
                </c:pt>
                <c:pt idx="3">
                  <c:v>無回答・不明</c:v>
                </c:pt>
              </c:strCache>
            </c:strRef>
          </c:cat>
          <c:val>
            <c:numRef>
              <c:f>Sheet1!$B$2:$B$5</c:f>
              <c:numCache>
                <c:formatCode>General</c:formatCode>
                <c:ptCount val="4"/>
                <c:pt idx="0">
                  <c:v>394</c:v>
                </c:pt>
                <c:pt idx="1">
                  <c:v>418</c:v>
                </c:pt>
                <c:pt idx="3">
                  <c:v>91</c:v>
                </c:pt>
              </c:numCache>
            </c:numRef>
          </c:val>
        </c:ser>
        <c:ser>
          <c:idx val="1"/>
          <c:order val="1"/>
          <c:tx>
            <c:strRef>
              <c:f>Sheet1!$C$1</c:f>
              <c:strCache>
                <c:ptCount val="1"/>
                <c:pt idx="0">
                  <c:v>列1</c:v>
                </c:pt>
              </c:strCache>
            </c:strRef>
          </c:tx>
          <c:dPt>
            <c:idx val="0"/>
            <c:bubble3D val="0"/>
            <c:spPr>
              <a:pattFill prst="pct5">
                <a:fgClr>
                  <a:schemeClr val="bg1">
                    <a:lumMod val="50000"/>
                  </a:schemeClr>
                </a:fgClr>
                <a:bgClr>
                  <a:schemeClr val="bg1"/>
                </a:bgClr>
              </a:pattFill>
              <a:ln>
                <a:solidFill>
                  <a:schemeClr val="tx1"/>
                </a:solidFill>
              </a:ln>
            </c:spPr>
          </c:dPt>
          <c:dPt>
            <c:idx val="1"/>
            <c:bubble3D val="0"/>
            <c:spPr>
              <a:pattFill prst="dotGrid">
                <a:fgClr>
                  <a:schemeClr val="bg1">
                    <a:lumMod val="50000"/>
                  </a:schemeClr>
                </a:fgClr>
                <a:bgClr>
                  <a:schemeClr val="bg1"/>
                </a:bgClr>
              </a:pattFill>
              <a:ln>
                <a:solidFill>
                  <a:schemeClr val="tx1"/>
                </a:solidFill>
              </a:ln>
            </c:spPr>
          </c:dPt>
          <c:dPt>
            <c:idx val="2"/>
            <c:bubble3D val="0"/>
            <c:spPr>
              <a:pattFill prst="pct60">
                <a:fgClr>
                  <a:schemeClr val="bg1">
                    <a:lumMod val="65000"/>
                  </a:schemeClr>
                </a:fgClr>
                <a:bgClr>
                  <a:schemeClr val="bg1"/>
                </a:bgClr>
              </a:pattFill>
              <a:ln>
                <a:solidFill>
                  <a:schemeClr val="tx1"/>
                </a:solidFill>
              </a:ln>
            </c:spPr>
          </c:dPt>
          <c:dPt>
            <c:idx val="3"/>
            <c:bubble3D val="0"/>
            <c:spPr>
              <a:noFill/>
              <a:ln>
                <a:solidFill>
                  <a:schemeClr val="tx1"/>
                </a:solidFill>
              </a:ln>
            </c:spPr>
          </c:dPt>
          <c:dLbls>
            <c:dLbl>
              <c:idx val="0"/>
              <c:tx>
                <c:rich>
                  <a:bodyPr/>
                  <a:lstStyle/>
                  <a:p>
                    <a:pPr>
                      <a:defRPr sz="1200" b="1" baseline="0"/>
                    </a:pPr>
                    <a:r>
                      <a:rPr lang="ja-JP" altLang="en-US" sz="1200" baseline="0"/>
                      <a:t>男性
</a:t>
                    </a:r>
                    <a:r>
                      <a:rPr lang="en-US" altLang="ja-JP" sz="1200" baseline="0"/>
                      <a:t>41.9%</a:t>
                    </a:r>
                    <a:endParaRPr lang="en-US" altLang="ja-JP"/>
                  </a:p>
                </c:rich>
              </c:tx>
              <c:spPr/>
              <c:showLegendKey val="0"/>
              <c:showVal val="0"/>
              <c:showCatName val="1"/>
              <c:showSerName val="0"/>
              <c:showPercent val="1"/>
              <c:showBubbleSize val="0"/>
            </c:dLbl>
            <c:dLbl>
              <c:idx val="1"/>
              <c:tx>
                <c:rich>
                  <a:bodyPr/>
                  <a:lstStyle/>
                  <a:p>
                    <a:pPr>
                      <a:defRPr sz="1200" b="1" baseline="0"/>
                    </a:pPr>
                    <a:r>
                      <a:rPr lang="ja-JP" altLang="en-US" sz="1200" baseline="0"/>
                      <a:t>女性
</a:t>
                    </a:r>
                    <a:r>
                      <a:rPr lang="en-US" altLang="ja-JP" sz="1200" baseline="0"/>
                      <a:t>55.8%</a:t>
                    </a:r>
                    <a:endParaRPr lang="en-US" altLang="ja-JP"/>
                  </a:p>
                </c:rich>
              </c:tx>
              <c:spPr/>
              <c:showLegendKey val="0"/>
              <c:showVal val="0"/>
              <c:showCatName val="1"/>
              <c:showSerName val="0"/>
              <c:showPercent val="1"/>
              <c:showBubbleSize val="0"/>
            </c:dLbl>
            <c:dLbl>
              <c:idx val="2"/>
              <c:layout>
                <c:manualLayout>
                  <c:x val="-0.28766740375310057"/>
                  <c:y val="-3.3646320651202016E-2"/>
                </c:manualLayout>
              </c:layout>
              <c:tx>
                <c:rich>
                  <a:bodyPr/>
                  <a:lstStyle/>
                  <a:p>
                    <a:pPr>
                      <a:defRPr sz="1200" b="1" baseline="0"/>
                    </a:pPr>
                    <a:r>
                      <a:rPr lang="ja-JP" altLang="en-US" sz="1200" baseline="0"/>
                      <a:t>男性・女性と答えることに
抵抗を感じる
</a:t>
                    </a:r>
                    <a:r>
                      <a:rPr lang="en-US" altLang="ja-JP" sz="1200" baseline="0"/>
                      <a:t>1.3%</a:t>
                    </a:r>
                    <a:endParaRPr lang="ja-JP" altLang="en-US"/>
                  </a:p>
                </c:rich>
              </c:tx>
              <c:spPr/>
              <c:showLegendKey val="0"/>
              <c:showVal val="0"/>
              <c:showCatName val="1"/>
              <c:showSerName val="0"/>
              <c:showPercent val="1"/>
              <c:showBubbleSize val="0"/>
            </c:dLbl>
            <c:dLbl>
              <c:idx val="3"/>
              <c:layout>
                <c:manualLayout>
                  <c:x val="0.21887724753367116"/>
                  <c:y val="-6.44887812481372E-2"/>
                </c:manualLayout>
              </c:layout>
              <c:tx>
                <c:rich>
                  <a:bodyPr/>
                  <a:lstStyle/>
                  <a:p>
                    <a:pPr>
                      <a:defRPr sz="1200" b="1" baseline="0"/>
                    </a:pPr>
                    <a:r>
                      <a:rPr lang="ja-JP" altLang="en-US" sz="1200" baseline="0"/>
                      <a:t>不明
</a:t>
                    </a:r>
                    <a:r>
                      <a:rPr lang="en-US" altLang="ja-JP" sz="1200" baseline="0"/>
                      <a:t>1.0%</a:t>
                    </a:r>
                    <a:endParaRPr lang="en-US" altLang="ja-JP"/>
                  </a:p>
                </c:rich>
              </c:tx>
              <c:spPr/>
              <c:showLegendKey val="0"/>
              <c:showVal val="0"/>
              <c:showCatName val="1"/>
              <c:showSerName val="0"/>
              <c:showPercent val="1"/>
              <c:showBubbleSize val="0"/>
            </c:dLbl>
            <c:txPr>
              <a:bodyPr/>
              <a:lstStyle/>
              <a:p>
                <a:pPr>
                  <a:defRPr sz="1200" baseline="0"/>
                </a:pPr>
                <a:endParaRPr lang="ja-JP"/>
              </a:p>
            </c:txPr>
            <c:showLegendKey val="0"/>
            <c:showVal val="0"/>
            <c:showCatName val="1"/>
            <c:showSerName val="0"/>
            <c:showPercent val="1"/>
            <c:showBubbleSize val="0"/>
            <c:showLeaderLines val="1"/>
          </c:dLbls>
          <c:cat>
            <c:strRef>
              <c:f>Sheet1!$A$2:$A$5</c:f>
              <c:strCache>
                <c:ptCount val="4"/>
                <c:pt idx="0">
                  <c:v>男性</c:v>
                </c:pt>
                <c:pt idx="1">
                  <c:v>女性</c:v>
                </c:pt>
                <c:pt idx="2">
                  <c:v>男性・女性と答えることに
抵抗を感じる</c:v>
                </c:pt>
                <c:pt idx="3">
                  <c:v>無回答・不明</c:v>
                </c:pt>
              </c:strCache>
            </c:strRef>
          </c:cat>
          <c:val>
            <c:numRef>
              <c:f>Sheet1!$C$2:$C$5</c:f>
              <c:numCache>
                <c:formatCode>General</c:formatCode>
                <c:ptCount val="4"/>
                <c:pt idx="0">
                  <c:v>569</c:v>
                </c:pt>
                <c:pt idx="1">
                  <c:v>758</c:v>
                </c:pt>
                <c:pt idx="2">
                  <c:v>18</c:v>
                </c:pt>
                <c:pt idx="3">
                  <c:v>13</c:v>
                </c:pt>
              </c:numCache>
            </c:numRef>
          </c:val>
        </c:ser>
        <c:dLbls>
          <c:showLegendKey val="0"/>
          <c:showVal val="0"/>
          <c:showCatName val="1"/>
          <c:showSerName val="0"/>
          <c:showPercent val="1"/>
          <c:showBubbleSize val="0"/>
          <c:showLeaderLines val="1"/>
        </c:dLbls>
        <c:firstSliceAng val="0"/>
        <c:holeSize val="31"/>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ja-JP" altLang="en-US" sz="1200" b="1">
                <a:latin typeface="+mj-ea"/>
                <a:ea typeface="+mj-ea"/>
              </a:rPr>
              <a:t>外円</a:t>
            </a:r>
            <a:r>
              <a:rPr lang="en-US" altLang="ja-JP" sz="1200" b="1">
                <a:latin typeface="+mj-ea"/>
                <a:ea typeface="+mj-ea"/>
              </a:rPr>
              <a:t>:</a:t>
            </a:r>
            <a:r>
              <a:rPr lang="ja-JP" altLang="en-US" sz="1200" b="1">
                <a:latin typeface="+mj-ea"/>
                <a:ea typeface="+mj-ea"/>
              </a:rPr>
              <a:t>府調査</a:t>
            </a:r>
            <a:endParaRPr lang="en-US" altLang="ja-JP" sz="1200" b="1">
              <a:latin typeface="+mj-ea"/>
              <a:ea typeface="+mj-ea"/>
            </a:endParaRPr>
          </a:p>
          <a:p>
            <a:pPr>
              <a:defRPr b="1"/>
            </a:pPr>
            <a:r>
              <a:rPr lang="ja-JP" altLang="en-US" sz="1000" b="1">
                <a:latin typeface="+mj-ea"/>
                <a:ea typeface="+mj-ea"/>
              </a:rPr>
              <a:t>内円</a:t>
            </a:r>
            <a:r>
              <a:rPr lang="en-US" altLang="ja-JP" sz="1000" b="1">
                <a:latin typeface="+mj-ea"/>
                <a:ea typeface="+mj-ea"/>
              </a:rPr>
              <a:t>:</a:t>
            </a:r>
            <a:r>
              <a:rPr lang="ja-JP" altLang="en-US" sz="1000" b="1">
                <a:latin typeface="+mj-ea"/>
                <a:ea typeface="+mj-ea"/>
              </a:rPr>
              <a:t>国勢調査</a:t>
            </a:r>
          </a:p>
        </c:rich>
      </c:tx>
      <c:layout>
        <c:manualLayout>
          <c:xMode val="edge"/>
          <c:yMode val="edge"/>
          <c:x val="0.41841549284233542"/>
          <c:y val="0.44076729573345397"/>
        </c:manualLayout>
      </c:layout>
      <c:overlay val="0"/>
    </c:title>
    <c:autoTitleDeleted val="0"/>
    <c:plotArea>
      <c:layout>
        <c:manualLayout>
          <c:layoutTarget val="inner"/>
          <c:xMode val="edge"/>
          <c:yMode val="edge"/>
          <c:x val="0.21621095591403283"/>
          <c:y val="4.7529329611603256E-2"/>
          <c:w val="0.55743735328588073"/>
          <c:h val="0.92834187766752074"/>
        </c:manualLayout>
      </c:layout>
      <c:doughnutChart>
        <c:varyColors val="1"/>
        <c:ser>
          <c:idx val="1"/>
          <c:order val="0"/>
          <c:tx>
            <c:strRef>
              <c:f>Sheet1!$B$1</c:f>
              <c:strCache>
                <c:ptCount val="1"/>
                <c:pt idx="0">
                  <c:v>内円：国勢調査</c:v>
                </c:pt>
              </c:strCache>
            </c:strRef>
          </c:tx>
          <c:spPr>
            <a:noFill/>
            <a:ln>
              <a:solidFill>
                <a:schemeClr val="tx1">
                  <a:lumMod val="50000"/>
                  <a:lumOff val="50000"/>
                </a:schemeClr>
              </a:solidFill>
            </a:ln>
          </c:spPr>
          <c:dPt>
            <c:idx val="0"/>
            <c:bubble3D val="0"/>
            <c:spPr>
              <a:pattFill prst="pct5">
                <a:fgClr>
                  <a:schemeClr val="bg1">
                    <a:lumMod val="50000"/>
                  </a:schemeClr>
                </a:fgClr>
                <a:bgClr>
                  <a:schemeClr val="bg1"/>
                </a:bgClr>
              </a:pattFill>
              <a:ln>
                <a:solidFill>
                  <a:schemeClr val="tx1">
                    <a:lumMod val="50000"/>
                    <a:lumOff val="50000"/>
                  </a:schemeClr>
                </a:solidFill>
              </a:ln>
            </c:spPr>
          </c:dPt>
          <c:dPt>
            <c:idx val="1"/>
            <c:bubble3D val="0"/>
            <c:spPr>
              <a:pattFill prst="ltDnDiag">
                <a:fgClr>
                  <a:schemeClr val="bg1">
                    <a:lumMod val="50000"/>
                  </a:schemeClr>
                </a:fgClr>
                <a:bgClr>
                  <a:schemeClr val="bg1"/>
                </a:bgClr>
              </a:pattFill>
              <a:ln>
                <a:solidFill>
                  <a:schemeClr val="tx1">
                    <a:lumMod val="50000"/>
                    <a:lumOff val="50000"/>
                  </a:schemeClr>
                </a:solidFill>
              </a:ln>
            </c:spPr>
          </c:dPt>
          <c:dPt>
            <c:idx val="2"/>
            <c:bubble3D val="0"/>
            <c:spPr>
              <a:pattFill prst="dashDnDiag">
                <a:fgClr>
                  <a:schemeClr val="bg1">
                    <a:lumMod val="50000"/>
                  </a:schemeClr>
                </a:fgClr>
                <a:bgClr>
                  <a:schemeClr val="bg1"/>
                </a:bgClr>
              </a:pattFill>
              <a:ln>
                <a:solidFill>
                  <a:schemeClr val="tx1">
                    <a:lumMod val="50000"/>
                    <a:lumOff val="50000"/>
                  </a:schemeClr>
                </a:solidFill>
              </a:ln>
            </c:spPr>
          </c:dPt>
          <c:dPt>
            <c:idx val="3"/>
            <c:bubble3D val="0"/>
            <c:spPr>
              <a:pattFill prst="zigZag">
                <a:fgClr>
                  <a:schemeClr val="bg1">
                    <a:lumMod val="50000"/>
                  </a:schemeClr>
                </a:fgClr>
                <a:bgClr>
                  <a:schemeClr val="bg1"/>
                </a:bgClr>
              </a:pattFill>
              <a:ln>
                <a:solidFill>
                  <a:schemeClr val="tx1">
                    <a:lumMod val="50000"/>
                    <a:lumOff val="50000"/>
                  </a:schemeClr>
                </a:solidFill>
              </a:ln>
            </c:spPr>
          </c:dPt>
          <c:dPt>
            <c:idx val="4"/>
            <c:bubble3D val="0"/>
            <c:spPr>
              <a:pattFill prst="divot">
                <a:fgClr>
                  <a:schemeClr val="bg1">
                    <a:lumMod val="50000"/>
                  </a:schemeClr>
                </a:fgClr>
                <a:bgClr>
                  <a:schemeClr val="bg1"/>
                </a:bgClr>
              </a:pattFill>
              <a:ln>
                <a:solidFill>
                  <a:schemeClr val="tx1">
                    <a:lumMod val="50000"/>
                    <a:lumOff val="50000"/>
                  </a:schemeClr>
                </a:solidFill>
              </a:ln>
            </c:spPr>
          </c:dPt>
          <c:dPt>
            <c:idx val="5"/>
            <c:bubble3D val="0"/>
            <c:spPr>
              <a:pattFill prst="dotGrid">
                <a:fgClr>
                  <a:schemeClr val="bg1">
                    <a:lumMod val="50000"/>
                  </a:schemeClr>
                </a:fgClr>
                <a:bgClr>
                  <a:schemeClr val="bg1"/>
                </a:bgClr>
              </a:pattFill>
              <a:ln>
                <a:solidFill>
                  <a:schemeClr val="tx1">
                    <a:lumMod val="50000"/>
                    <a:lumOff val="50000"/>
                  </a:schemeClr>
                </a:solidFill>
              </a:ln>
            </c:spPr>
          </c:dPt>
          <c:dPt>
            <c:idx val="6"/>
            <c:bubble3D val="0"/>
            <c:spPr>
              <a:pattFill prst="diagBrick">
                <a:fgClr>
                  <a:schemeClr val="bg1">
                    <a:lumMod val="65000"/>
                  </a:schemeClr>
                </a:fgClr>
                <a:bgClr>
                  <a:schemeClr val="bg1"/>
                </a:bgClr>
              </a:pattFill>
              <a:ln>
                <a:solidFill>
                  <a:schemeClr val="tx1">
                    <a:lumMod val="50000"/>
                    <a:lumOff val="50000"/>
                  </a:schemeClr>
                </a:solidFill>
              </a:ln>
            </c:spPr>
          </c:dPt>
          <c:dPt>
            <c:idx val="7"/>
            <c:bubble3D val="0"/>
            <c:spPr>
              <a:pattFill prst="shingle">
                <a:fgClr>
                  <a:schemeClr val="bg1">
                    <a:lumMod val="65000"/>
                  </a:schemeClr>
                </a:fgClr>
                <a:bgClr>
                  <a:schemeClr val="bg1"/>
                </a:bgClr>
              </a:pattFill>
              <a:ln>
                <a:solidFill>
                  <a:schemeClr val="tx1">
                    <a:lumMod val="50000"/>
                    <a:lumOff val="50000"/>
                  </a:schemeClr>
                </a:solidFill>
              </a:ln>
            </c:spPr>
          </c:dPt>
          <c:dPt>
            <c:idx val="8"/>
            <c:bubble3D val="0"/>
            <c:spPr>
              <a:pattFill prst="dotDmnd">
                <a:fgClr>
                  <a:schemeClr val="bg1">
                    <a:lumMod val="50000"/>
                  </a:schemeClr>
                </a:fgClr>
                <a:bgClr>
                  <a:schemeClr val="bg1"/>
                </a:bgClr>
              </a:pattFill>
              <a:ln>
                <a:solidFill>
                  <a:schemeClr val="tx1">
                    <a:lumMod val="50000"/>
                    <a:lumOff val="50000"/>
                  </a:schemeClr>
                </a:solidFill>
              </a:ln>
            </c:spPr>
          </c:dPt>
          <c:dPt>
            <c:idx val="9"/>
            <c:bubble3D val="0"/>
            <c:spPr>
              <a:pattFill prst="pct25">
                <a:fgClr>
                  <a:schemeClr val="bg1">
                    <a:lumMod val="50000"/>
                  </a:schemeClr>
                </a:fgClr>
                <a:bgClr>
                  <a:schemeClr val="bg1"/>
                </a:bgClr>
              </a:pattFill>
              <a:ln>
                <a:solidFill>
                  <a:schemeClr val="tx1">
                    <a:lumMod val="50000"/>
                    <a:lumOff val="50000"/>
                  </a:schemeClr>
                </a:solidFill>
              </a:ln>
            </c:spPr>
          </c:dPt>
          <c:dPt>
            <c:idx val="10"/>
            <c:bubble3D val="0"/>
            <c:spPr>
              <a:pattFill prst="solidDmnd">
                <a:fgClr>
                  <a:schemeClr val="bg1">
                    <a:lumMod val="75000"/>
                  </a:schemeClr>
                </a:fgClr>
                <a:bgClr>
                  <a:schemeClr val="bg1"/>
                </a:bgClr>
              </a:pattFill>
              <a:ln>
                <a:solidFill>
                  <a:schemeClr val="tx1">
                    <a:lumMod val="50000"/>
                    <a:lumOff val="50000"/>
                  </a:schemeClr>
                </a:solidFill>
              </a:ln>
            </c:spPr>
          </c:dPt>
          <c:dLbls>
            <c:dLbl>
              <c:idx val="0"/>
              <c:tx>
                <c:rich>
                  <a:bodyPr/>
                  <a:lstStyle/>
                  <a:p>
                    <a:r>
                      <a:rPr lang="en-US" altLang="ja-JP" sz="1100" b="1"/>
                      <a:t>13.6%</a:t>
                    </a:r>
                    <a:endParaRPr lang="en-US" altLang="ja-JP"/>
                  </a:p>
                </c:rich>
              </c:tx>
              <c:showLegendKey val="0"/>
              <c:showVal val="1"/>
              <c:showCatName val="1"/>
              <c:showSerName val="0"/>
              <c:showPercent val="1"/>
              <c:showBubbleSize val="0"/>
            </c:dLbl>
            <c:dLbl>
              <c:idx val="1"/>
              <c:tx>
                <c:rich>
                  <a:bodyPr/>
                  <a:lstStyle/>
                  <a:p>
                    <a:r>
                      <a:rPr lang="en-US" altLang="ja-JP" sz="1100" b="1"/>
                      <a:t>17.9%</a:t>
                    </a:r>
                    <a:endParaRPr lang="en-US" altLang="ja-JP"/>
                  </a:p>
                </c:rich>
              </c:tx>
              <c:showLegendKey val="0"/>
              <c:showVal val="1"/>
              <c:showCatName val="1"/>
              <c:showSerName val="0"/>
              <c:showPercent val="1"/>
              <c:showBubbleSize val="0"/>
            </c:dLbl>
            <c:dLbl>
              <c:idx val="2"/>
              <c:tx>
                <c:rich>
                  <a:bodyPr/>
                  <a:lstStyle/>
                  <a:p>
                    <a:r>
                      <a:rPr lang="en-US" altLang="ja-JP" sz="1100" b="1"/>
                      <a:t>16.5%</a:t>
                    </a:r>
                    <a:endParaRPr lang="en-US" altLang="ja-JP"/>
                  </a:p>
                </c:rich>
              </c:tx>
              <c:showLegendKey val="0"/>
              <c:showVal val="1"/>
              <c:showCatName val="1"/>
              <c:showSerName val="0"/>
              <c:showPercent val="1"/>
              <c:showBubbleSize val="0"/>
            </c:dLbl>
            <c:dLbl>
              <c:idx val="3"/>
              <c:tx>
                <c:rich>
                  <a:bodyPr/>
                  <a:lstStyle/>
                  <a:p>
                    <a:r>
                      <a:rPr lang="en-US" altLang="ja-JP" sz="1100" b="1"/>
                      <a:t>14.1%</a:t>
                    </a:r>
                    <a:endParaRPr lang="en-US" altLang="ja-JP"/>
                  </a:p>
                </c:rich>
              </c:tx>
              <c:showLegendKey val="0"/>
              <c:showVal val="1"/>
              <c:showCatName val="1"/>
              <c:showSerName val="0"/>
              <c:showPercent val="1"/>
              <c:showBubbleSize val="0"/>
            </c:dLbl>
            <c:dLbl>
              <c:idx val="4"/>
              <c:tx>
                <c:rich>
                  <a:bodyPr/>
                  <a:lstStyle/>
                  <a:p>
                    <a:r>
                      <a:rPr lang="en-US" altLang="ja-JP" sz="1100" b="1"/>
                      <a:t>18.2%</a:t>
                    </a:r>
                    <a:endParaRPr lang="en-US" altLang="ja-JP"/>
                  </a:p>
                </c:rich>
              </c:tx>
              <c:showLegendKey val="0"/>
              <c:showVal val="1"/>
              <c:showCatName val="1"/>
              <c:showSerName val="0"/>
              <c:showPercent val="1"/>
              <c:showBubbleSize val="0"/>
            </c:dLbl>
            <c:dLbl>
              <c:idx val="5"/>
              <c:tx>
                <c:rich>
                  <a:bodyPr/>
                  <a:lstStyle/>
                  <a:p>
                    <a:r>
                      <a:rPr lang="en-US" altLang="ja-JP" sz="1100" b="1"/>
                      <a:t>18.4%</a:t>
                    </a:r>
                    <a:endParaRPr lang="en-US" altLang="ja-JP"/>
                  </a:p>
                </c:rich>
              </c:tx>
              <c:showLegendKey val="0"/>
              <c:showVal val="1"/>
              <c:showCatName val="1"/>
              <c:showSerName val="0"/>
              <c:showPercent val="1"/>
              <c:showBubbleSize val="0"/>
            </c:dLbl>
            <c:dLbl>
              <c:idx val="6"/>
              <c:tx>
                <c:rich>
                  <a:bodyPr/>
                  <a:lstStyle/>
                  <a:p>
                    <a:r>
                      <a:rPr lang="en-US" altLang="ja-JP" sz="1100" b="1"/>
                      <a:t>1.2%</a:t>
                    </a:r>
                    <a:endParaRPr lang="en-US" altLang="ja-JP"/>
                  </a:p>
                </c:rich>
              </c:tx>
              <c:showLegendKey val="0"/>
              <c:showVal val="1"/>
              <c:showCatName val="1"/>
              <c:showSerName val="0"/>
              <c:showPercent val="1"/>
              <c:showBubbleSize val="0"/>
            </c:dLbl>
            <c:dLbl>
              <c:idx val="7"/>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8"/>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9"/>
              <c:layout>
                <c:manualLayout>
                  <c:x val="-5.3344441550874775E-17"/>
                  <c:y val="1.9382466231871058E-2"/>
                </c:manualLayout>
              </c:layout>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10"/>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dLbl>
              <c:idx val="11"/>
              <c:tx>
                <c:rich>
                  <a:bodyPr/>
                  <a:lstStyle/>
                  <a:p>
                    <a:r>
                      <a:rPr lang="ja-JP" altLang="en-US" sz="1100" b="1"/>
                      <a:t>（</a:t>
                    </a:r>
                    <a:r>
                      <a:rPr lang="en-US" altLang="ja-JP" sz="1100" b="1"/>
                      <a:t>2</a:t>
                    </a:r>
                    <a:r>
                      <a:rPr lang="ja-JP" altLang="en-US" sz="1100" b="1"/>
                      <a:t>）</a:t>
                    </a:r>
                    <a:r>
                      <a:rPr lang="en-US" altLang="ja-JP" sz="1100" b="1"/>
                      <a:t>8%</a:t>
                    </a:r>
                    <a:endParaRPr lang="en-US" altLang="ja-JP"/>
                  </a:p>
                </c:rich>
              </c:tx>
              <c:showLegendKey val="0"/>
              <c:showVal val="1"/>
              <c:showCatName val="1"/>
              <c:showSerName val="0"/>
              <c:showPercent val="1"/>
              <c:showBubbleSize val="0"/>
            </c:dLbl>
            <c:txPr>
              <a:bodyPr/>
              <a:lstStyle/>
              <a:p>
                <a:pPr>
                  <a:defRPr sz="1100" b="1">
                    <a:latin typeface="+mj-ea"/>
                    <a:ea typeface="+mj-ea"/>
                  </a:defRPr>
                </a:pPr>
                <a:endParaRPr lang="ja-JP"/>
              </a:p>
            </c:txPr>
            <c:showLegendKey val="0"/>
            <c:showVal val="1"/>
            <c:showCatName val="1"/>
            <c:showSerName val="0"/>
            <c:showPercent val="1"/>
            <c:showBubbleSize val="0"/>
            <c:showLeaderLines val="1"/>
          </c:dLbls>
          <c:cat>
            <c:strRef>
              <c:f>Sheet1!$A$2:$A$8</c:f>
              <c:strCache>
                <c:ptCount val="7"/>
                <c:pt idx="0">
                  <c:v>20～29歳</c:v>
                </c:pt>
                <c:pt idx="1">
                  <c:v>30～39歳</c:v>
                </c:pt>
                <c:pt idx="2">
                  <c:v>40～49歳</c:v>
                </c:pt>
                <c:pt idx="3">
                  <c:v>50～59歳</c:v>
                </c:pt>
                <c:pt idx="4">
                  <c:v>60～69歳</c:v>
                </c:pt>
                <c:pt idx="5">
                  <c:v>70歳～</c:v>
                </c:pt>
                <c:pt idx="6">
                  <c:v>不明</c:v>
                </c:pt>
              </c:strCache>
            </c:strRef>
          </c:cat>
          <c:val>
            <c:numRef>
              <c:f>Sheet1!$B$2:$B$8</c:f>
              <c:numCache>
                <c:formatCode>0.0_ </c:formatCode>
                <c:ptCount val="7"/>
                <c:pt idx="0">
                  <c:v>13.6</c:v>
                </c:pt>
                <c:pt idx="1">
                  <c:v>17.899999999999999</c:v>
                </c:pt>
                <c:pt idx="2">
                  <c:v>16.5</c:v>
                </c:pt>
                <c:pt idx="3">
                  <c:v>14.1</c:v>
                </c:pt>
                <c:pt idx="4">
                  <c:v>18.2</c:v>
                </c:pt>
                <c:pt idx="5">
                  <c:v>18.399999999999999</c:v>
                </c:pt>
                <c:pt idx="6">
                  <c:v>1.2</c:v>
                </c:pt>
              </c:numCache>
            </c:numRef>
          </c:val>
        </c:ser>
        <c:ser>
          <c:idx val="2"/>
          <c:order val="1"/>
          <c:tx>
            <c:strRef>
              <c:f>Sheet1!$C$1</c:f>
              <c:strCache>
                <c:ptCount val="1"/>
                <c:pt idx="0">
                  <c:v>外円：府27年調査</c:v>
                </c:pt>
              </c:strCache>
            </c:strRef>
          </c:tx>
          <c:spPr>
            <a:ln>
              <a:solidFill>
                <a:schemeClr val="tx1">
                  <a:lumMod val="50000"/>
                  <a:lumOff val="50000"/>
                </a:schemeClr>
              </a:solidFill>
            </a:ln>
          </c:spPr>
          <c:dPt>
            <c:idx val="0"/>
            <c:bubble3D val="0"/>
            <c:spPr>
              <a:pattFill prst="pct5">
                <a:fgClr>
                  <a:schemeClr val="bg1">
                    <a:lumMod val="50000"/>
                  </a:schemeClr>
                </a:fgClr>
                <a:bgClr>
                  <a:schemeClr val="bg1"/>
                </a:bgClr>
              </a:pattFill>
              <a:ln>
                <a:solidFill>
                  <a:schemeClr val="tx1">
                    <a:lumMod val="50000"/>
                    <a:lumOff val="50000"/>
                  </a:schemeClr>
                </a:solidFill>
              </a:ln>
            </c:spPr>
          </c:dPt>
          <c:dPt>
            <c:idx val="1"/>
            <c:bubble3D val="0"/>
            <c:spPr>
              <a:pattFill prst="ltDnDiag">
                <a:fgClr>
                  <a:schemeClr val="bg1">
                    <a:lumMod val="50000"/>
                  </a:schemeClr>
                </a:fgClr>
                <a:bgClr>
                  <a:schemeClr val="bg1"/>
                </a:bgClr>
              </a:pattFill>
              <a:ln>
                <a:solidFill>
                  <a:schemeClr val="tx1">
                    <a:lumMod val="50000"/>
                    <a:lumOff val="50000"/>
                  </a:schemeClr>
                </a:solidFill>
              </a:ln>
            </c:spPr>
          </c:dPt>
          <c:dPt>
            <c:idx val="2"/>
            <c:bubble3D val="0"/>
            <c:spPr>
              <a:pattFill prst="dashDnDiag">
                <a:fgClr>
                  <a:schemeClr val="bg1">
                    <a:lumMod val="50000"/>
                  </a:schemeClr>
                </a:fgClr>
                <a:bgClr>
                  <a:schemeClr val="bg1"/>
                </a:bgClr>
              </a:pattFill>
              <a:ln>
                <a:solidFill>
                  <a:schemeClr val="tx1">
                    <a:lumMod val="50000"/>
                    <a:lumOff val="50000"/>
                  </a:schemeClr>
                </a:solidFill>
              </a:ln>
            </c:spPr>
          </c:dPt>
          <c:dPt>
            <c:idx val="3"/>
            <c:bubble3D val="0"/>
            <c:spPr>
              <a:pattFill prst="zigZag">
                <a:fgClr>
                  <a:schemeClr val="bg1">
                    <a:lumMod val="50000"/>
                  </a:schemeClr>
                </a:fgClr>
                <a:bgClr>
                  <a:schemeClr val="bg1"/>
                </a:bgClr>
              </a:pattFill>
              <a:ln>
                <a:solidFill>
                  <a:schemeClr val="tx1">
                    <a:lumMod val="50000"/>
                    <a:lumOff val="50000"/>
                  </a:schemeClr>
                </a:solidFill>
              </a:ln>
            </c:spPr>
          </c:dPt>
          <c:dPt>
            <c:idx val="4"/>
            <c:bubble3D val="0"/>
            <c:spPr>
              <a:pattFill prst="divot">
                <a:fgClr>
                  <a:schemeClr val="bg1">
                    <a:lumMod val="50000"/>
                  </a:schemeClr>
                </a:fgClr>
                <a:bgClr>
                  <a:schemeClr val="bg1"/>
                </a:bgClr>
              </a:pattFill>
              <a:ln>
                <a:solidFill>
                  <a:schemeClr val="tx1">
                    <a:lumMod val="50000"/>
                    <a:lumOff val="50000"/>
                  </a:schemeClr>
                </a:solidFill>
              </a:ln>
            </c:spPr>
          </c:dPt>
          <c:dPt>
            <c:idx val="5"/>
            <c:bubble3D val="0"/>
            <c:spPr>
              <a:pattFill prst="dotGrid">
                <a:fgClr>
                  <a:schemeClr val="bg1">
                    <a:lumMod val="50000"/>
                  </a:schemeClr>
                </a:fgClr>
                <a:bgClr>
                  <a:schemeClr val="bg1"/>
                </a:bgClr>
              </a:pattFill>
              <a:ln>
                <a:solidFill>
                  <a:schemeClr val="tx1">
                    <a:lumMod val="50000"/>
                    <a:lumOff val="50000"/>
                  </a:schemeClr>
                </a:solidFill>
              </a:ln>
            </c:spPr>
          </c:dPt>
          <c:dPt>
            <c:idx val="6"/>
            <c:bubble3D val="0"/>
            <c:spPr>
              <a:pattFill prst="diagBrick">
                <a:fgClr>
                  <a:schemeClr val="bg1">
                    <a:lumMod val="65000"/>
                  </a:schemeClr>
                </a:fgClr>
                <a:bgClr>
                  <a:schemeClr val="bg1"/>
                </a:bgClr>
              </a:pattFill>
              <a:ln>
                <a:solidFill>
                  <a:schemeClr val="tx1">
                    <a:lumMod val="50000"/>
                    <a:lumOff val="50000"/>
                  </a:schemeClr>
                </a:solidFill>
              </a:ln>
            </c:spPr>
          </c:dPt>
          <c:dPt>
            <c:idx val="7"/>
            <c:bubble3D val="0"/>
            <c:spPr>
              <a:pattFill prst="shingle">
                <a:fgClr>
                  <a:schemeClr val="bg1">
                    <a:lumMod val="65000"/>
                  </a:schemeClr>
                </a:fgClr>
                <a:bgClr>
                  <a:schemeClr val="bg1"/>
                </a:bgClr>
              </a:pattFill>
              <a:ln>
                <a:solidFill>
                  <a:schemeClr val="tx1">
                    <a:lumMod val="50000"/>
                    <a:lumOff val="50000"/>
                  </a:schemeClr>
                </a:solidFill>
              </a:ln>
            </c:spPr>
          </c:dPt>
          <c:dPt>
            <c:idx val="8"/>
            <c:bubble3D val="0"/>
            <c:spPr>
              <a:pattFill prst="dotDmnd">
                <a:fgClr>
                  <a:schemeClr val="bg1">
                    <a:lumMod val="50000"/>
                  </a:schemeClr>
                </a:fgClr>
                <a:bgClr>
                  <a:schemeClr val="bg1"/>
                </a:bgClr>
              </a:pattFill>
              <a:ln>
                <a:solidFill>
                  <a:schemeClr val="tx1">
                    <a:lumMod val="50000"/>
                    <a:lumOff val="50000"/>
                  </a:schemeClr>
                </a:solidFill>
              </a:ln>
            </c:spPr>
          </c:dPt>
          <c:dPt>
            <c:idx val="9"/>
            <c:bubble3D val="0"/>
            <c:spPr>
              <a:pattFill prst="pct25">
                <a:fgClr>
                  <a:schemeClr val="bg1">
                    <a:lumMod val="50000"/>
                  </a:schemeClr>
                </a:fgClr>
                <a:bgClr>
                  <a:schemeClr val="bg1"/>
                </a:bgClr>
              </a:pattFill>
              <a:ln>
                <a:solidFill>
                  <a:schemeClr val="tx1">
                    <a:lumMod val="50000"/>
                    <a:lumOff val="50000"/>
                  </a:schemeClr>
                </a:solidFill>
              </a:ln>
            </c:spPr>
          </c:dPt>
          <c:dPt>
            <c:idx val="10"/>
            <c:bubble3D val="0"/>
            <c:spPr>
              <a:pattFill prst="solidDmnd">
                <a:fgClr>
                  <a:schemeClr val="bg1">
                    <a:lumMod val="75000"/>
                  </a:schemeClr>
                </a:fgClr>
                <a:bgClr>
                  <a:schemeClr val="bg1"/>
                </a:bgClr>
              </a:pattFill>
              <a:ln>
                <a:solidFill>
                  <a:schemeClr val="tx1">
                    <a:lumMod val="50000"/>
                    <a:lumOff val="50000"/>
                  </a:schemeClr>
                </a:solidFill>
              </a:ln>
            </c:spPr>
          </c:dPt>
          <c:dPt>
            <c:idx val="11"/>
            <c:bubble3D val="0"/>
            <c:spPr>
              <a:noFill/>
              <a:ln>
                <a:solidFill>
                  <a:schemeClr val="tx1">
                    <a:lumMod val="50000"/>
                    <a:lumOff val="50000"/>
                  </a:schemeClr>
                </a:solidFill>
              </a:ln>
            </c:spPr>
          </c:dPt>
          <c:dLbls>
            <c:dLbl>
              <c:idx val="0"/>
              <c:layout>
                <c:manualLayout>
                  <c:x val="1.9907407044557322E-2"/>
                  <c:y val="-8.9643906322404057E-2"/>
                </c:manualLayout>
              </c:layout>
              <c:tx>
                <c:rich>
                  <a:bodyPr/>
                  <a:lstStyle/>
                  <a:p>
                    <a:r>
                      <a:rPr lang="en-US" altLang="ja-JP" sz="1200" b="1" baseline="0"/>
                      <a:t>20</a:t>
                    </a:r>
                    <a:r>
                      <a:rPr lang="ja-JP" altLang="en-US" sz="1200" b="1" baseline="0"/>
                      <a:t>～</a:t>
                    </a:r>
                    <a:r>
                      <a:rPr lang="en-US" altLang="ja-JP" sz="1200" b="1" baseline="0"/>
                      <a:t>29</a:t>
                    </a:r>
                    <a:r>
                      <a:rPr lang="ja-JP" altLang="en-US" sz="1200" b="1" baseline="0"/>
                      <a:t>歳</a:t>
                    </a:r>
                    <a:endParaRPr lang="en-US" altLang="ja-JP" sz="1200" b="1" baseline="0"/>
                  </a:p>
                  <a:p>
                    <a:r>
                      <a:rPr lang="en-US" altLang="ja-JP" sz="1200" b="1" baseline="0"/>
                      <a:t>7.8%</a:t>
                    </a:r>
                    <a:endParaRPr lang="en-US" altLang="ja-JP"/>
                  </a:p>
                </c:rich>
              </c:tx>
              <c:showLegendKey val="0"/>
              <c:showVal val="1"/>
              <c:showCatName val="1"/>
              <c:showSerName val="0"/>
              <c:showPercent val="1"/>
              <c:showBubbleSize val="0"/>
            </c:dLbl>
            <c:dLbl>
              <c:idx val="1"/>
              <c:tx>
                <c:rich>
                  <a:bodyPr/>
                  <a:lstStyle/>
                  <a:p>
                    <a:r>
                      <a:rPr lang="en-US" altLang="ja-JP" sz="1200" b="1" baseline="0"/>
                      <a:t>30</a:t>
                    </a:r>
                    <a:r>
                      <a:rPr lang="ja-JP" altLang="en-US" sz="1200" b="1" baseline="0"/>
                      <a:t>～</a:t>
                    </a:r>
                    <a:r>
                      <a:rPr lang="en-US" altLang="ja-JP" sz="1200" b="1" baseline="0"/>
                      <a:t>39</a:t>
                    </a:r>
                    <a:r>
                      <a:rPr lang="ja-JP" altLang="en-US" sz="1200" b="1" baseline="0"/>
                      <a:t>歳</a:t>
                    </a:r>
                    <a:endParaRPr lang="en-US" altLang="ja-JP" sz="1200" b="1" baseline="0"/>
                  </a:p>
                  <a:p>
                    <a:r>
                      <a:rPr lang="en-US" altLang="ja-JP" sz="1200" b="1" baseline="0"/>
                      <a:t>11.6%</a:t>
                    </a:r>
                    <a:endParaRPr lang="en-US" altLang="ja-JP"/>
                  </a:p>
                </c:rich>
              </c:tx>
              <c:showLegendKey val="0"/>
              <c:showVal val="1"/>
              <c:showCatName val="1"/>
              <c:showSerName val="0"/>
              <c:showPercent val="1"/>
              <c:showBubbleSize val="0"/>
            </c:dLbl>
            <c:dLbl>
              <c:idx val="2"/>
              <c:layout>
                <c:manualLayout>
                  <c:x val="2.7017195274756368E-2"/>
                  <c:y val="-3.8764932463742317E-2"/>
                </c:manualLayout>
              </c:layout>
              <c:tx>
                <c:rich>
                  <a:bodyPr/>
                  <a:lstStyle/>
                  <a:p>
                    <a:r>
                      <a:rPr lang="en-US" altLang="ja-JP" sz="1200" b="1" baseline="0"/>
                      <a:t>40</a:t>
                    </a:r>
                    <a:r>
                      <a:rPr lang="ja-JP" altLang="en-US" sz="1200" b="1" baseline="0"/>
                      <a:t>～</a:t>
                    </a:r>
                    <a:r>
                      <a:rPr lang="en-US" altLang="ja-JP" sz="1200" b="1" baseline="0"/>
                      <a:t>49</a:t>
                    </a:r>
                    <a:r>
                      <a:rPr lang="ja-JP" altLang="en-US" sz="1200" b="1" baseline="0"/>
                      <a:t>歳</a:t>
                    </a:r>
                    <a:endParaRPr lang="en-US" altLang="ja-JP" sz="1200" b="1" baseline="0"/>
                  </a:p>
                  <a:p>
                    <a:r>
                      <a:rPr lang="en-US" altLang="ja-JP" sz="1200" b="1" baseline="0"/>
                      <a:t>17.0%</a:t>
                    </a:r>
                    <a:endParaRPr lang="en-US" altLang="ja-JP"/>
                  </a:p>
                </c:rich>
              </c:tx>
              <c:showLegendKey val="0"/>
              <c:showVal val="1"/>
              <c:showCatName val="1"/>
              <c:showSerName val="0"/>
              <c:showPercent val="1"/>
              <c:showBubbleSize val="0"/>
            </c:dLbl>
            <c:dLbl>
              <c:idx val="3"/>
              <c:tx>
                <c:rich>
                  <a:bodyPr/>
                  <a:lstStyle/>
                  <a:p>
                    <a:r>
                      <a:rPr lang="en-US" altLang="ja-JP" sz="1200" b="1" baseline="0"/>
                      <a:t>50</a:t>
                    </a:r>
                    <a:r>
                      <a:rPr lang="ja-JP" altLang="en-US" sz="1200" b="1" baseline="0"/>
                      <a:t>～</a:t>
                    </a:r>
                    <a:r>
                      <a:rPr lang="en-US" altLang="ja-JP" sz="1200" b="1" baseline="0"/>
                      <a:t>59</a:t>
                    </a:r>
                    <a:r>
                      <a:rPr lang="ja-JP" altLang="en-US" sz="1200" b="1" baseline="0"/>
                      <a:t>歳</a:t>
                    </a:r>
                    <a:endParaRPr lang="en-US" altLang="ja-JP" sz="1200" b="1" baseline="0"/>
                  </a:p>
                  <a:p>
                    <a:r>
                      <a:rPr lang="en-US" altLang="ja-JP" sz="1200" b="1" baseline="0"/>
                      <a:t>14.9%</a:t>
                    </a:r>
                    <a:endParaRPr lang="en-US" altLang="ja-JP"/>
                  </a:p>
                </c:rich>
              </c:tx>
              <c:showLegendKey val="0"/>
              <c:showVal val="1"/>
              <c:showCatName val="1"/>
              <c:showSerName val="0"/>
              <c:showPercent val="1"/>
              <c:showBubbleSize val="0"/>
            </c:dLbl>
            <c:dLbl>
              <c:idx val="4"/>
              <c:tx>
                <c:rich>
                  <a:bodyPr/>
                  <a:lstStyle/>
                  <a:p>
                    <a:r>
                      <a:rPr lang="en-US" altLang="ja-JP" sz="1200" b="1" baseline="0"/>
                      <a:t>60</a:t>
                    </a:r>
                    <a:r>
                      <a:rPr lang="ja-JP" altLang="en-US" sz="1200" b="1" baseline="0"/>
                      <a:t>～</a:t>
                    </a:r>
                    <a:r>
                      <a:rPr lang="en-US" altLang="ja-JP" sz="1200" b="1" baseline="0"/>
                      <a:t>69</a:t>
                    </a:r>
                    <a:r>
                      <a:rPr lang="ja-JP" altLang="en-US" sz="1200" b="1" baseline="0"/>
                      <a:t>歳</a:t>
                    </a:r>
                    <a:endParaRPr lang="en-US" altLang="ja-JP" sz="1200" b="1" baseline="0"/>
                  </a:p>
                  <a:p>
                    <a:r>
                      <a:rPr lang="en-US" altLang="ja-JP" sz="1200" b="1" baseline="0"/>
                      <a:t>25.3%</a:t>
                    </a:r>
                    <a:endParaRPr lang="en-US" altLang="ja-JP"/>
                  </a:p>
                </c:rich>
              </c:tx>
              <c:showLegendKey val="0"/>
              <c:showVal val="1"/>
              <c:showCatName val="1"/>
              <c:showSerName val="0"/>
              <c:showPercent val="1"/>
              <c:showBubbleSize val="0"/>
            </c:dLbl>
            <c:dLbl>
              <c:idx val="5"/>
              <c:tx>
                <c:rich>
                  <a:bodyPr/>
                  <a:lstStyle/>
                  <a:p>
                    <a:r>
                      <a:rPr lang="en-US" altLang="ja-JP" sz="1200" b="1" baseline="0"/>
                      <a:t>70</a:t>
                    </a:r>
                    <a:r>
                      <a:rPr lang="ja-JP" altLang="en-US" sz="1200" b="1" baseline="0"/>
                      <a:t>～歳</a:t>
                    </a:r>
                    <a:endParaRPr lang="en-US" altLang="ja-JP" sz="1200" b="1" baseline="0"/>
                  </a:p>
                  <a:p>
                    <a:r>
                      <a:rPr lang="en-US" altLang="ja-JP" sz="1200" b="1" baseline="0"/>
                      <a:t>22.5%</a:t>
                    </a:r>
                    <a:endParaRPr lang="en-US" altLang="ja-JP"/>
                  </a:p>
                </c:rich>
              </c:tx>
              <c:showLegendKey val="0"/>
              <c:showVal val="1"/>
              <c:showCatName val="1"/>
              <c:showSerName val="0"/>
              <c:showPercent val="1"/>
              <c:showBubbleSize val="0"/>
            </c:dLbl>
            <c:dLbl>
              <c:idx val="6"/>
              <c:layout>
                <c:manualLayout>
                  <c:x val="-7.8871196539189864E-2"/>
                  <c:y val="-4.706389541438926E-2"/>
                </c:manualLayout>
              </c:layout>
              <c:tx>
                <c:rich>
                  <a:bodyPr/>
                  <a:lstStyle/>
                  <a:p>
                    <a:r>
                      <a:rPr lang="ja-JP" altLang="en-US" sz="1200" b="1" baseline="0"/>
                      <a:t>不明</a:t>
                    </a:r>
                    <a:endParaRPr lang="en-US" altLang="ja-JP" sz="1200" b="1" baseline="0"/>
                  </a:p>
                  <a:p>
                    <a:r>
                      <a:rPr lang="en-US" altLang="ja-JP" sz="1200" b="1" baseline="0"/>
                      <a:t>0.9%</a:t>
                    </a:r>
                    <a:endParaRPr lang="en-US" altLang="ja-JP"/>
                  </a:p>
                </c:rich>
              </c:tx>
              <c:showLegendKey val="0"/>
              <c:showVal val="1"/>
              <c:showCatName val="1"/>
              <c:showSerName val="0"/>
              <c:showPercent val="1"/>
              <c:showBubbleSize val="0"/>
            </c:dLbl>
            <c:dLbl>
              <c:idx val="7"/>
              <c:tx>
                <c:rich>
                  <a:bodyPr/>
                  <a:lstStyle/>
                  <a:p>
                    <a:r>
                      <a:rPr lang="en-US" altLang="ja-JP" sz="1200" b="1" baseline="0"/>
                      <a:t>55</a:t>
                    </a:r>
                    <a:r>
                      <a:rPr lang="ja-JP" altLang="en-US" sz="1200" b="1" baseline="0"/>
                      <a:t>～</a:t>
                    </a:r>
                    <a:r>
                      <a:rPr lang="en-US" altLang="ja-JP" sz="1200" b="1" baseline="0"/>
                      <a:t>59</a:t>
                    </a:r>
                    <a:r>
                      <a:rPr lang="ja-JP" altLang="en-US" sz="1200" b="1" baseline="0"/>
                      <a:t>歳</a:t>
                    </a:r>
                    <a:r>
                      <a:rPr lang="en-US" altLang="ja-JP" sz="1200" b="1" baseline="0"/>
                      <a:t>,</a:t>
                    </a:r>
                  </a:p>
                  <a:p>
                    <a:r>
                      <a:rPr lang="en-US" altLang="ja-JP" sz="1200" b="1" baseline="0"/>
                      <a:t> </a:t>
                    </a:r>
                    <a:r>
                      <a:rPr lang="ja-JP" altLang="en-US" sz="1200" b="1" baseline="0"/>
                      <a:t>（</a:t>
                    </a:r>
                    <a:r>
                      <a:rPr lang="en-US" altLang="ja-JP" sz="1200" b="1" baseline="0"/>
                      <a:t>97</a:t>
                    </a:r>
                    <a:r>
                      <a:rPr lang="ja-JP" altLang="en-US" sz="1200" b="1" baseline="0"/>
                      <a:t>）</a:t>
                    </a:r>
                    <a:r>
                      <a:rPr lang="en-US" altLang="ja-JP" sz="1200" b="1" baseline="0"/>
                      <a:t>7.1%</a:t>
                    </a:r>
                    <a:endParaRPr lang="en-US" altLang="ja-JP"/>
                  </a:p>
                </c:rich>
              </c:tx>
              <c:showLegendKey val="0"/>
              <c:showVal val="1"/>
              <c:showCatName val="1"/>
              <c:showSerName val="0"/>
              <c:showPercent val="1"/>
              <c:showBubbleSize val="0"/>
            </c:dLbl>
            <c:dLbl>
              <c:idx val="8"/>
              <c:tx>
                <c:rich>
                  <a:bodyPr/>
                  <a:lstStyle/>
                  <a:p>
                    <a:r>
                      <a:rPr lang="en-US" altLang="ja-JP" sz="1200" b="1" baseline="0"/>
                      <a:t>60</a:t>
                    </a:r>
                    <a:r>
                      <a:rPr lang="ja-JP" altLang="en-US" sz="1200" b="1" baseline="0"/>
                      <a:t>～</a:t>
                    </a:r>
                    <a:r>
                      <a:rPr lang="en-US" altLang="ja-JP" sz="1200" b="1" baseline="0"/>
                      <a:t>64</a:t>
                    </a:r>
                    <a:r>
                      <a:rPr lang="ja-JP" altLang="en-US" sz="1200" b="1" baseline="0"/>
                      <a:t>歳</a:t>
                    </a:r>
                    <a:r>
                      <a:rPr lang="en-US" altLang="ja-JP" sz="1200" b="1" baseline="0"/>
                      <a:t>,</a:t>
                    </a:r>
                  </a:p>
                  <a:p>
                    <a:r>
                      <a:rPr lang="en-US" altLang="ja-JP" sz="1200" b="1" baseline="0"/>
                      <a:t> </a:t>
                    </a:r>
                    <a:r>
                      <a:rPr lang="ja-JP" altLang="en-US" sz="1200" b="1" baseline="0"/>
                      <a:t>（</a:t>
                    </a:r>
                    <a:r>
                      <a:rPr lang="en-US" altLang="ja-JP" sz="1200" b="1" baseline="0"/>
                      <a:t>146</a:t>
                    </a:r>
                    <a:r>
                      <a:rPr lang="ja-JP" altLang="en-US" sz="1200" b="1" baseline="0"/>
                      <a:t>）</a:t>
                    </a:r>
                    <a:r>
                      <a:rPr lang="en-US" altLang="ja-JP" sz="1200" b="1" baseline="0"/>
                      <a:t>10.8%</a:t>
                    </a:r>
                    <a:endParaRPr lang="en-US" altLang="ja-JP"/>
                  </a:p>
                </c:rich>
              </c:tx>
              <c:showLegendKey val="0"/>
              <c:showVal val="1"/>
              <c:showCatName val="1"/>
              <c:showSerName val="0"/>
              <c:showPercent val="1"/>
              <c:showBubbleSize val="0"/>
            </c:dLbl>
            <c:dLbl>
              <c:idx val="9"/>
              <c:layout>
                <c:manualLayout>
                  <c:x val="-4.364595637397696E-3"/>
                  <c:y val="-4.8458073302732182E-3"/>
                </c:manualLayout>
              </c:layout>
              <c:tx>
                <c:rich>
                  <a:bodyPr/>
                  <a:lstStyle/>
                  <a:p>
                    <a:r>
                      <a:rPr lang="en-US" altLang="ja-JP" sz="1200" b="1" baseline="0"/>
                      <a:t>65</a:t>
                    </a:r>
                    <a:r>
                      <a:rPr lang="ja-JP" altLang="en-US" sz="1200" b="1" baseline="0"/>
                      <a:t>～</a:t>
                    </a:r>
                    <a:r>
                      <a:rPr lang="en-US" altLang="ja-JP" sz="1200" b="1" baseline="0"/>
                      <a:t>69</a:t>
                    </a:r>
                    <a:r>
                      <a:rPr lang="ja-JP" altLang="en-US" sz="1200" b="1" baseline="0"/>
                      <a:t>歳</a:t>
                    </a:r>
                    <a:r>
                      <a:rPr lang="en-US" altLang="ja-JP" sz="1200" b="1" baseline="0"/>
                      <a:t>,</a:t>
                    </a:r>
                  </a:p>
                  <a:p>
                    <a:r>
                      <a:rPr lang="en-US" altLang="ja-JP" sz="1200" b="1" baseline="0"/>
                      <a:t> </a:t>
                    </a:r>
                    <a:r>
                      <a:rPr lang="ja-JP" altLang="en-US" sz="1200" b="1" baseline="0"/>
                      <a:t>（</a:t>
                    </a:r>
                    <a:r>
                      <a:rPr lang="en-US" altLang="ja-JP" sz="1200" b="1" baseline="0"/>
                      <a:t>197</a:t>
                    </a:r>
                    <a:r>
                      <a:rPr lang="ja-JP" altLang="en-US" sz="1200" b="1" baseline="0"/>
                      <a:t>）</a:t>
                    </a:r>
                    <a:r>
                      <a:rPr lang="en-US" altLang="ja-JP" sz="1200" b="1" baseline="0"/>
                      <a:t>14.5%</a:t>
                    </a:r>
                    <a:endParaRPr lang="en-US" altLang="ja-JP"/>
                  </a:p>
                </c:rich>
              </c:tx>
              <c:showLegendKey val="0"/>
              <c:showVal val="1"/>
              <c:showCatName val="1"/>
              <c:showSerName val="0"/>
              <c:showPercent val="1"/>
              <c:showBubbleSize val="0"/>
            </c:dLbl>
            <c:dLbl>
              <c:idx val="10"/>
              <c:tx>
                <c:rich>
                  <a:bodyPr/>
                  <a:lstStyle/>
                  <a:p>
                    <a:r>
                      <a:rPr lang="en-US" altLang="ja-JP" sz="1200" b="1" baseline="0"/>
                      <a:t>70</a:t>
                    </a:r>
                    <a:r>
                      <a:rPr lang="ja-JP" altLang="en-US" sz="1200" b="1" baseline="0"/>
                      <a:t>歳～</a:t>
                    </a:r>
                    <a:r>
                      <a:rPr lang="en-US" altLang="ja-JP" sz="1200" b="1" baseline="0"/>
                      <a:t>, </a:t>
                    </a:r>
                  </a:p>
                  <a:p>
                    <a:r>
                      <a:rPr lang="ja-JP" altLang="en-US" sz="1200" b="1" baseline="0"/>
                      <a:t>（</a:t>
                    </a:r>
                    <a:r>
                      <a:rPr lang="en-US" altLang="ja-JP" sz="1200" b="1" baseline="0"/>
                      <a:t>305</a:t>
                    </a:r>
                    <a:r>
                      <a:rPr lang="ja-JP" altLang="en-US" sz="1200" b="1" baseline="0"/>
                      <a:t>）</a:t>
                    </a:r>
                    <a:r>
                      <a:rPr lang="en-US" altLang="ja-JP" sz="1200" b="1" baseline="0"/>
                      <a:t>22.5%</a:t>
                    </a:r>
                    <a:endParaRPr lang="en-US" altLang="ja-JP"/>
                  </a:p>
                </c:rich>
              </c:tx>
              <c:showLegendKey val="0"/>
              <c:showVal val="1"/>
              <c:showCatName val="1"/>
              <c:showSerName val="0"/>
              <c:showPercent val="1"/>
              <c:showBubbleSize val="0"/>
            </c:dLbl>
            <c:dLbl>
              <c:idx val="11"/>
              <c:layout>
                <c:manualLayout>
                  <c:x val="-9.2427452967241516E-2"/>
                  <c:y val="-7.752995922759473E-2"/>
                </c:manualLayout>
              </c:layout>
              <c:tx>
                <c:rich>
                  <a:bodyPr/>
                  <a:lstStyle/>
                  <a:p>
                    <a:r>
                      <a:rPr lang="ja-JP" altLang="en-US" sz="1200" b="1" baseline="0"/>
                      <a:t>無回答・不明</a:t>
                    </a:r>
                    <a:r>
                      <a:rPr lang="en-US" altLang="ja-JP" sz="1200" b="1" baseline="0"/>
                      <a:t>, </a:t>
                    </a:r>
                  </a:p>
                  <a:p>
                    <a:r>
                      <a:rPr lang="ja-JP" altLang="en-US" sz="1200" b="1" baseline="0"/>
                      <a:t>（</a:t>
                    </a:r>
                    <a:r>
                      <a:rPr lang="en-US" altLang="ja-JP" sz="1200" b="1" baseline="0"/>
                      <a:t>12</a:t>
                    </a:r>
                    <a:r>
                      <a:rPr lang="ja-JP" altLang="en-US" sz="1200" b="1" baseline="0"/>
                      <a:t>）</a:t>
                    </a:r>
                    <a:r>
                      <a:rPr lang="en-US" altLang="ja-JP" sz="1200" b="1" baseline="0"/>
                      <a:t>0.9%</a:t>
                    </a:r>
                    <a:endParaRPr lang="en-US" altLang="ja-JP"/>
                  </a:p>
                </c:rich>
              </c:tx>
              <c:showLegendKey val="0"/>
              <c:showVal val="1"/>
              <c:showCatName val="1"/>
              <c:showSerName val="0"/>
              <c:showPercent val="1"/>
              <c:showBubbleSize val="0"/>
            </c:dLbl>
            <c:txPr>
              <a:bodyPr/>
              <a:lstStyle/>
              <a:p>
                <a:pPr>
                  <a:defRPr sz="1200" b="1" baseline="0">
                    <a:latin typeface="+mj-ea"/>
                    <a:ea typeface="+mj-ea"/>
                  </a:defRPr>
                </a:pPr>
                <a:endParaRPr lang="ja-JP"/>
              </a:p>
            </c:txPr>
            <c:showLegendKey val="0"/>
            <c:showVal val="1"/>
            <c:showCatName val="1"/>
            <c:showSerName val="0"/>
            <c:showPercent val="1"/>
            <c:showBubbleSize val="0"/>
            <c:showLeaderLines val="1"/>
          </c:dLbls>
          <c:cat>
            <c:strRef>
              <c:f>Sheet1!$A$2:$A$8</c:f>
              <c:strCache>
                <c:ptCount val="7"/>
                <c:pt idx="0">
                  <c:v>20～29歳</c:v>
                </c:pt>
                <c:pt idx="1">
                  <c:v>30～39歳</c:v>
                </c:pt>
                <c:pt idx="2">
                  <c:v>40～49歳</c:v>
                </c:pt>
                <c:pt idx="3">
                  <c:v>50～59歳</c:v>
                </c:pt>
                <c:pt idx="4">
                  <c:v>60～69歳</c:v>
                </c:pt>
                <c:pt idx="5">
                  <c:v>70歳～</c:v>
                </c:pt>
                <c:pt idx="6">
                  <c:v>不明</c:v>
                </c:pt>
              </c:strCache>
            </c:strRef>
          </c:cat>
          <c:val>
            <c:numRef>
              <c:f>Sheet1!$C$2:$C$8</c:f>
              <c:numCache>
                <c:formatCode>0.0_ </c:formatCode>
                <c:ptCount val="7"/>
                <c:pt idx="0">
                  <c:v>7.8</c:v>
                </c:pt>
                <c:pt idx="1">
                  <c:v>11.6</c:v>
                </c:pt>
                <c:pt idx="2">
                  <c:v>17</c:v>
                </c:pt>
                <c:pt idx="3">
                  <c:v>14.9</c:v>
                </c:pt>
                <c:pt idx="4">
                  <c:v>25.3</c:v>
                </c:pt>
                <c:pt idx="5">
                  <c:v>22.5</c:v>
                </c:pt>
                <c:pt idx="6">
                  <c:v>0.9</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ja-JP"/>
              <a:t>(</a:t>
            </a:r>
            <a:r>
              <a:rPr lang="ja-JP" altLang="en-US"/>
              <a:t>年齢別・男性）</a:t>
            </a:r>
            <a:endParaRPr lang="en-US" altLang="ja-JP"/>
          </a:p>
          <a:p>
            <a:pPr>
              <a:defRPr sz="1000"/>
            </a:pPr>
            <a:r>
              <a:rPr lang="en-US" altLang="ja-JP"/>
              <a:t>(569)</a:t>
            </a:r>
            <a:endParaRPr lang="ja-JP" altLang="en-US"/>
          </a:p>
        </c:rich>
      </c:tx>
      <c:layout>
        <c:manualLayout>
          <c:xMode val="edge"/>
          <c:yMode val="edge"/>
          <c:x val="0.40148138096158714"/>
          <c:y val="0.46380290715126887"/>
        </c:manualLayout>
      </c:layout>
      <c:overlay val="0"/>
    </c:title>
    <c:autoTitleDeleted val="0"/>
    <c:plotArea>
      <c:layout>
        <c:manualLayout>
          <c:layoutTarget val="inner"/>
          <c:xMode val="edge"/>
          <c:yMode val="edge"/>
          <c:x val="0.10251111043075455"/>
          <c:y val="4.9481922000813146E-2"/>
          <c:w val="0.82607577955399292"/>
          <c:h val="0.90217166942124893"/>
        </c:manualLayout>
      </c:layout>
      <c:doughnutChart>
        <c:varyColors val="1"/>
        <c:ser>
          <c:idx val="0"/>
          <c:order val="0"/>
          <c:tx>
            <c:strRef>
              <c:f>Sheet1!$B$1</c:f>
              <c:strCache>
                <c:ptCount val="1"/>
                <c:pt idx="0">
                  <c:v>(年齢別・男性）</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ltDnDiag">
                <a:fgClr>
                  <a:schemeClr val="bg1">
                    <a:lumMod val="65000"/>
                  </a:schemeClr>
                </a:fgClr>
                <a:bgClr>
                  <a:schemeClr val="bg1"/>
                </a:bgClr>
              </a:pattFill>
              <a:ln>
                <a:solidFill>
                  <a:srgbClr val="000000"/>
                </a:solidFill>
              </a:ln>
            </c:spPr>
          </c:dPt>
          <c:dPt>
            <c:idx val="2"/>
            <c:bubble3D val="0"/>
            <c:spPr>
              <a:pattFill prst="dashDnDiag">
                <a:fgClr>
                  <a:schemeClr val="bg1">
                    <a:lumMod val="50000"/>
                  </a:schemeClr>
                </a:fgClr>
                <a:bgClr>
                  <a:schemeClr val="bg1"/>
                </a:bgClr>
              </a:pattFill>
              <a:ln>
                <a:solidFill>
                  <a:srgbClr val="000000"/>
                </a:solidFill>
              </a:ln>
            </c:spPr>
          </c:dPt>
          <c:dPt>
            <c:idx val="3"/>
            <c:bubble3D val="0"/>
            <c:spPr>
              <a:pattFill prst="zigZag">
                <a:fgClr>
                  <a:schemeClr val="bg1">
                    <a:lumMod val="50000"/>
                  </a:schemeClr>
                </a:fgClr>
                <a:bgClr>
                  <a:schemeClr val="bg1"/>
                </a:bgClr>
              </a:pattFill>
              <a:ln>
                <a:solidFill>
                  <a:srgbClr val="000000"/>
                </a:solidFill>
              </a:ln>
            </c:spPr>
          </c:dPt>
          <c:dPt>
            <c:idx val="4"/>
            <c:bubble3D val="0"/>
            <c:spPr>
              <a:pattFill prst="divot">
                <a:fgClr>
                  <a:schemeClr val="bg1">
                    <a:lumMod val="50000"/>
                  </a:schemeClr>
                </a:fgClr>
                <a:bgClr>
                  <a:schemeClr val="bg1"/>
                </a:bgClr>
              </a:pattFill>
              <a:ln>
                <a:solidFill>
                  <a:srgbClr val="000000"/>
                </a:solidFill>
              </a:ln>
            </c:spPr>
          </c:dPt>
          <c:dPt>
            <c:idx val="5"/>
            <c:bubble3D val="0"/>
            <c:spPr>
              <a:pattFill prst="dotGrid">
                <a:fgClr>
                  <a:schemeClr val="bg1">
                    <a:lumMod val="50000"/>
                  </a:schemeClr>
                </a:fgClr>
                <a:bgClr>
                  <a:schemeClr val="bg1"/>
                </a:bgClr>
              </a:pattFill>
              <a:ln>
                <a:solidFill>
                  <a:srgbClr val="000000"/>
                </a:solidFill>
              </a:ln>
            </c:spPr>
          </c:dPt>
          <c:dPt>
            <c:idx val="6"/>
            <c:bubble3D val="0"/>
            <c:spPr>
              <a:pattFill prst="diagBrick">
                <a:fgClr>
                  <a:schemeClr val="bg1">
                    <a:lumMod val="65000"/>
                  </a:schemeClr>
                </a:fgClr>
                <a:bgClr>
                  <a:schemeClr val="bg1"/>
                </a:bgClr>
              </a:pattFill>
              <a:ln>
                <a:solidFill>
                  <a:srgbClr val="000000"/>
                </a:solidFill>
              </a:ln>
            </c:spPr>
          </c:dPt>
          <c:dPt>
            <c:idx val="7"/>
            <c:bubble3D val="0"/>
            <c:spPr>
              <a:pattFill prst="shingle">
                <a:fgClr>
                  <a:schemeClr val="bg1">
                    <a:lumMod val="65000"/>
                  </a:schemeClr>
                </a:fgClr>
                <a:bgClr>
                  <a:schemeClr val="bg1"/>
                </a:bgClr>
              </a:pattFill>
              <a:ln>
                <a:solidFill>
                  <a:srgbClr val="000000"/>
                </a:solidFill>
              </a:ln>
            </c:spPr>
          </c:dPt>
          <c:dPt>
            <c:idx val="8"/>
            <c:bubble3D val="0"/>
            <c:spPr>
              <a:pattFill prst="dotDmnd">
                <a:fgClr>
                  <a:schemeClr val="bg1">
                    <a:lumMod val="50000"/>
                  </a:schemeClr>
                </a:fgClr>
                <a:bgClr>
                  <a:schemeClr val="bg1"/>
                </a:bgClr>
              </a:pattFill>
              <a:ln>
                <a:solidFill>
                  <a:srgbClr val="000000"/>
                </a:solidFill>
              </a:ln>
            </c:spPr>
          </c:dPt>
          <c:dPt>
            <c:idx val="9"/>
            <c:bubble3D val="0"/>
            <c:spPr>
              <a:pattFill prst="pct25">
                <a:fgClr>
                  <a:schemeClr val="bg1">
                    <a:lumMod val="50000"/>
                  </a:schemeClr>
                </a:fgClr>
                <a:bgClr>
                  <a:schemeClr val="bg1"/>
                </a:bgClr>
              </a:pattFill>
              <a:ln>
                <a:solidFill>
                  <a:srgbClr val="000000"/>
                </a:solidFill>
              </a:ln>
            </c:spPr>
          </c:dPt>
          <c:dPt>
            <c:idx val="10"/>
            <c:bubble3D val="0"/>
            <c:spPr>
              <a:pattFill prst="solidDmnd">
                <a:fgClr>
                  <a:schemeClr val="bg1">
                    <a:lumMod val="75000"/>
                  </a:schemeClr>
                </a:fgClr>
                <a:bgClr>
                  <a:schemeClr val="bg1"/>
                </a:bgClr>
              </a:pattFill>
              <a:ln>
                <a:solidFill>
                  <a:srgbClr val="000000"/>
                </a:solidFill>
              </a:ln>
            </c:spPr>
          </c:dPt>
          <c:dPt>
            <c:idx val="11"/>
            <c:bubble3D val="0"/>
            <c:spPr>
              <a:noFill/>
              <a:ln>
                <a:solidFill>
                  <a:srgbClr val="000000"/>
                </a:solidFill>
              </a:ln>
            </c:spPr>
          </c:dPt>
          <c:dLbls>
            <c:dLbl>
              <c:idx val="0"/>
              <c:layout>
                <c:manualLayout>
                  <c:x val="-0.18022717048614725"/>
                  <c:y val="-0.16251757390999907"/>
                </c:manualLayout>
              </c:layout>
              <c:tx>
                <c:rich>
                  <a:bodyPr/>
                  <a:lstStyle/>
                  <a:p>
                    <a:r>
                      <a:rPr lang="en-US" altLang="ja-JP" sz="1000"/>
                      <a:t>20</a:t>
                    </a:r>
                    <a:r>
                      <a:rPr lang="ja-JP" altLang="en-US" sz="1000"/>
                      <a:t>～</a:t>
                    </a:r>
                    <a:r>
                      <a:rPr lang="en-US" altLang="ja-JP" sz="1000"/>
                      <a:t>24</a:t>
                    </a:r>
                    <a:r>
                      <a:rPr lang="ja-JP" altLang="en-US" sz="1000"/>
                      <a:t>歳</a:t>
                    </a:r>
                    <a:endParaRPr lang="en-US" altLang="ja-JP"/>
                  </a:p>
                </c:rich>
              </c:tx>
              <c:showLegendKey val="0"/>
              <c:showVal val="1"/>
              <c:showCatName val="1"/>
              <c:showSerName val="0"/>
              <c:showPercent val="1"/>
              <c:showBubbleSize val="0"/>
            </c:dLbl>
            <c:dLbl>
              <c:idx val="1"/>
              <c:layout>
                <c:manualLayout>
                  <c:x val="5.6867324574118958E-2"/>
                  <c:y val="-0.18266359941810792"/>
                </c:manualLayout>
              </c:layout>
              <c:tx>
                <c:rich>
                  <a:bodyPr/>
                  <a:lstStyle/>
                  <a:p>
                    <a:r>
                      <a:rPr lang="en-US" altLang="ja-JP" sz="1000"/>
                      <a:t>25</a:t>
                    </a:r>
                    <a:r>
                      <a:rPr lang="ja-JP" altLang="en-US" sz="1000"/>
                      <a:t>～</a:t>
                    </a:r>
                    <a:r>
                      <a:rPr lang="en-US" altLang="ja-JP" sz="1000"/>
                      <a:t>29</a:t>
                    </a:r>
                    <a:r>
                      <a:rPr lang="ja-JP" altLang="en-US" sz="1000"/>
                      <a:t>歳</a:t>
                    </a:r>
                    <a:endParaRPr lang="en-US" altLang="ja-JP"/>
                  </a:p>
                </c:rich>
              </c:tx>
              <c:showLegendKey val="0"/>
              <c:showVal val="1"/>
              <c:showCatName val="1"/>
              <c:showSerName val="0"/>
              <c:showPercent val="1"/>
              <c:showBubbleSize val="0"/>
            </c:dLbl>
            <c:dLbl>
              <c:idx val="2"/>
              <c:layout>
                <c:manualLayout>
                  <c:x val="0.14308791297994977"/>
                  <c:y val="-0.17351525157595771"/>
                </c:manualLayout>
              </c:layout>
              <c:tx>
                <c:rich>
                  <a:bodyPr/>
                  <a:lstStyle/>
                  <a:p>
                    <a:r>
                      <a:rPr lang="en-US" altLang="ja-JP" sz="1000"/>
                      <a:t>30</a:t>
                    </a:r>
                    <a:r>
                      <a:rPr lang="ja-JP" altLang="en-US" sz="1000"/>
                      <a:t>～</a:t>
                    </a:r>
                    <a:r>
                      <a:rPr lang="en-US" altLang="ja-JP" sz="1000"/>
                      <a:t>34</a:t>
                    </a:r>
                    <a:r>
                      <a:rPr lang="ja-JP" altLang="en-US" sz="1000"/>
                      <a:t>歳</a:t>
                    </a:r>
                    <a:endParaRPr lang="en-US" altLang="ja-JP"/>
                  </a:p>
                </c:rich>
              </c:tx>
              <c:showLegendKey val="0"/>
              <c:showVal val="1"/>
              <c:showCatName val="1"/>
              <c:showSerName val="0"/>
              <c:showPercent val="1"/>
              <c:showBubbleSize val="0"/>
            </c:dLbl>
            <c:dLbl>
              <c:idx val="3"/>
              <c:layout>
                <c:manualLayout>
                  <c:x val="0.17822812411700847"/>
                  <c:y val="-0.12891305420773741"/>
                </c:manualLayout>
              </c:layout>
              <c:tx>
                <c:rich>
                  <a:bodyPr/>
                  <a:lstStyle/>
                  <a:p>
                    <a:r>
                      <a:rPr lang="en-US" altLang="ja-JP" sz="1000"/>
                      <a:t>35</a:t>
                    </a:r>
                    <a:r>
                      <a:rPr lang="ja-JP" altLang="en-US" sz="1000"/>
                      <a:t>～</a:t>
                    </a:r>
                    <a:r>
                      <a:rPr lang="en-US" altLang="ja-JP" sz="1000"/>
                      <a:t>39</a:t>
                    </a:r>
                    <a:r>
                      <a:rPr lang="ja-JP" altLang="en-US" sz="1000"/>
                      <a:t>歳</a:t>
                    </a:r>
                    <a:endParaRPr lang="en-US" altLang="ja-JP"/>
                  </a:p>
                </c:rich>
              </c:tx>
              <c:showLegendKey val="0"/>
              <c:showVal val="1"/>
              <c:showCatName val="1"/>
              <c:showSerName val="0"/>
              <c:showPercent val="1"/>
              <c:showBubbleSize val="0"/>
            </c:dLbl>
            <c:dLbl>
              <c:idx val="4"/>
              <c:layout>
                <c:manualLayout>
                  <c:x val="4.4265760004758861E-2"/>
                  <c:y val="-3.6655907532442641E-3"/>
                </c:manualLayout>
              </c:layout>
              <c:tx>
                <c:rich>
                  <a:bodyPr/>
                  <a:lstStyle/>
                  <a:p>
                    <a:r>
                      <a:rPr lang="en-US" altLang="ja-JP" sz="1000"/>
                      <a:t>40</a:t>
                    </a:r>
                    <a:r>
                      <a:rPr lang="ja-JP" altLang="en-US" sz="1000"/>
                      <a:t>～</a:t>
                    </a:r>
                    <a:r>
                      <a:rPr lang="en-US" altLang="ja-JP" sz="1000"/>
                      <a:t>44</a:t>
                    </a:r>
                    <a:r>
                      <a:rPr lang="ja-JP" altLang="en-US" sz="1000"/>
                      <a:t>歳</a:t>
                    </a:r>
                    <a:endParaRPr lang="en-US" altLang="ja-JP"/>
                  </a:p>
                </c:rich>
              </c:tx>
              <c:showLegendKey val="0"/>
              <c:showVal val="1"/>
              <c:showCatName val="1"/>
              <c:showSerName val="0"/>
              <c:showPercent val="1"/>
              <c:showBubbleSize val="0"/>
            </c:dLbl>
            <c:dLbl>
              <c:idx val="5"/>
              <c:layout>
                <c:manualLayout>
                  <c:x val="3.8291605301914583E-2"/>
                  <c:y val="3.6656891495601175E-3"/>
                </c:manualLayout>
              </c:layout>
              <c:tx>
                <c:rich>
                  <a:bodyPr/>
                  <a:lstStyle/>
                  <a:p>
                    <a:r>
                      <a:rPr lang="en-US" altLang="ja-JP" sz="1000"/>
                      <a:t>45</a:t>
                    </a:r>
                    <a:r>
                      <a:rPr lang="ja-JP" altLang="en-US" sz="1000"/>
                      <a:t>～</a:t>
                    </a:r>
                    <a:r>
                      <a:rPr lang="en-US" altLang="ja-JP" sz="1000"/>
                      <a:t>49</a:t>
                    </a:r>
                    <a:r>
                      <a:rPr lang="ja-JP" altLang="en-US" sz="1000"/>
                      <a:t>歳</a:t>
                    </a:r>
                    <a:endParaRPr lang="en-US" altLang="ja-JP"/>
                  </a:p>
                </c:rich>
              </c:tx>
              <c:showLegendKey val="0"/>
              <c:showVal val="1"/>
              <c:showCatName val="1"/>
              <c:showSerName val="0"/>
              <c:showPercent val="1"/>
              <c:showBubbleSize val="0"/>
            </c:dLbl>
            <c:dLbl>
              <c:idx val="6"/>
              <c:layout>
                <c:manualLayout>
                  <c:x val="3.8363658670791015E-2"/>
                  <c:y val="2.5659135272709851E-2"/>
                </c:manualLayout>
              </c:layout>
              <c:tx>
                <c:rich>
                  <a:bodyPr/>
                  <a:lstStyle/>
                  <a:p>
                    <a:r>
                      <a:rPr lang="en-US" altLang="ja-JP" sz="1000"/>
                      <a:t>50</a:t>
                    </a:r>
                    <a:r>
                      <a:rPr lang="ja-JP" altLang="en-US" sz="1000"/>
                      <a:t>～</a:t>
                    </a:r>
                    <a:r>
                      <a:rPr lang="en-US" altLang="ja-JP" sz="1000"/>
                      <a:t>54</a:t>
                    </a:r>
                    <a:r>
                      <a:rPr lang="ja-JP" altLang="en-US" sz="1000"/>
                      <a:t>歳</a:t>
                    </a:r>
                    <a:endParaRPr lang="en-US" altLang="ja-JP"/>
                  </a:p>
                </c:rich>
              </c:tx>
              <c:showLegendKey val="0"/>
              <c:showVal val="1"/>
              <c:showCatName val="1"/>
              <c:showSerName val="0"/>
              <c:showPercent val="1"/>
              <c:showBubbleSize val="0"/>
            </c:dLbl>
            <c:dLbl>
              <c:idx val="7"/>
              <c:layout>
                <c:manualLayout>
                  <c:x val="3.9166251505732941E-2"/>
                  <c:y val="5.3160302056223234E-2"/>
                </c:manualLayout>
              </c:layout>
              <c:tx>
                <c:rich>
                  <a:bodyPr/>
                  <a:lstStyle/>
                  <a:p>
                    <a:r>
                      <a:rPr lang="en-US" altLang="ja-JP" sz="1000"/>
                      <a:t>55</a:t>
                    </a:r>
                    <a:r>
                      <a:rPr lang="ja-JP" altLang="en-US" sz="1000"/>
                      <a:t>～</a:t>
                    </a:r>
                    <a:r>
                      <a:rPr lang="en-US" altLang="ja-JP" sz="1000"/>
                      <a:t>59</a:t>
                    </a:r>
                    <a:r>
                      <a:rPr lang="ja-JP" altLang="en-US" sz="1000"/>
                      <a:t>歳</a:t>
                    </a:r>
                    <a:endParaRPr lang="en-US" altLang="ja-JP"/>
                  </a:p>
                </c:rich>
              </c:tx>
              <c:showLegendKey val="0"/>
              <c:showVal val="1"/>
              <c:showCatName val="1"/>
              <c:showSerName val="0"/>
              <c:showPercent val="1"/>
              <c:showBubbleSize val="0"/>
            </c:dLbl>
            <c:dLbl>
              <c:idx val="8"/>
              <c:layout>
                <c:manualLayout>
                  <c:x val="5.9021013339677943E-3"/>
                  <c:y val="5.4983861298663964E-2"/>
                </c:manualLayout>
              </c:layout>
              <c:tx>
                <c:rich>
                  <a:bodyPr/>
                  <a:lstStyle/>
                  <a:p>
                    <a:r>
                      <a:rPr lang="en-US" altLang="ja-JP" sz="1000"/>
                      <a:t>60</a:t>
                    </a:r>
                    <a:r>
                      <a:rPr lang="ja-JP" altLang="en-US" sz="1000"/>
                      <a:t>～</a:t>
                    </a:r>
                    <a:r>
                      <a:rPr lang="en-US" altLang="ja-JP" sz="1000"/>
                      <a:t>64</a:t>
                    </a:r>
                    <a:r>
                      <a:rPr lang="ja-JP" altLang="en-US" sz="1000"/>
                      <a:t>歳</a:t>
                    </a:r>
                    <a:endParaRPr lang="en-US" altLang="ja-JP"/>
                  </a:p>
                </c:rich>
              </c:tx>
              <c:showLegendKey val="0"/>
              <c:showVal val="1"/>
              <c:showCatName val="1"/>
              <c:showSerName val="0"/>
              <c:showPercent val="1"/>
              <c:showBubbleSize val="0"/>
            </c:dLbl>
            <c:dLbl>
              <c:idx val="9"/>
              <c:tx>
                <c:rich>
                  <a:bodyPr/>
                  <a:lstStyle/>
                  <a:p>
                    <a:r>
                      <a:rPr lang="en-US" altLang="ja-JP" sz="1000"/>
                      <a:t>65</a:t>
                    </a:r>
                    <a:r>
                      <a:rPr lang="ja-JP" altLang="en-US" sz="1000"/>
                      <a:t>～</a:t>
                    </a:r>
                    <a:r>
                      <a:rPr lang="en-US" altLang="ja-JP" sz="1000"/>
                      <a:t>69</a:t>
                    </a:r>
                    <a:r>
                      <a:rPr lang="ja-JP" altLang="en-US" sz="1000"/>
                      <a:t>歳</a:t>
                    </a:r>
                    <a:endParaRPr lang="en-US" altLang="ja-JP"/>
                  </a:p>
                </c:rich>
              </c:tx>
              <c:showLegendKey val="0"/>
              <c:showVal val="1"/>
              <c:showCatName val="1"/>
              <c:showSerName val="0"/>
              <c:showPercent val="1"/>
              <c:showBubbleSize val="0"/>
            </c:dLbl>
            <c:dLbl>
              <c:idx val="10"/>
              <c:tx>
                <c:rich>
                  <a:bodyPr/>
                  <a:lstStyle/>
                  <a:p>
                    <a:r>
                      <a:rPr lang="en-US" altLang="ja-JP" sz="1000"/>
                      <a:t>70</a:t>
                    </a:r>
                    <a:r>
                      <a:rPr lang="ja-JP" altLang="en-US" sz="1000"/>
                      <a:t>歳～</a:t>
                    </a:r>
                    <a:endParaRPr lang="en-US" altLang="ja-JP"/>
                  </a:p>
                </c:rich>
              </c:tx>
              <c:showLegendKey val="0"/>
              <c:showVal val="1"/>
              <c:showCatName val="1"/>
              <c:showSerName val="0"/>
              <c:showPercent val="1"/>
              <c:showBubbleSize val="0"/>
              <c:separator> </c:separator>
            </c:dLbl>
            <c:dLbl>
              <c:idx val="11"/>
              <c:layout>
                <c:manualLayout>
                  <c:x val="-0.32729207212505906"/>
                  <c:y val="-0.12219640051867944"/>
                </c:manualLayout>
              </c:layout>
              <c:tx>
                <c:rich>
                  <a:bodyPr/>
                  <a:lstStyle/>
                  <a:p>
                    <a:r>
                      <a:rPr lang="ja-JP" altLang="en-US" sz="1000"/>
                      <a:t>不明</a:t>
                    </a:r>
                    <a:endParaRPr lang="en-US" altLang="ja-JP"/>
                  </a:p>
                </c:rich>
              </c:tx>
              <c:showLegendKey val="0"/>
              <c:showVal val="1"/>
              <c:showCatName val="1"/>
              <c:showSerName val="0"/>
              <c:showPercent val="1"/>
              <c:showBubbleSize val="0"/>
            </c:dLbl>
            <c:txPr>
              <a:bodyPr/>
              <a:lstStyle/>
              <a:p>
                <a:pPr>
                  <a:defRPr sz="1000" b="1"/>
                </a:pPr>
                <a:endParaRPr lang="ja-JP"/>
              </a:p>
            </c:txPr>
            <c:showLegendKey val="0"/>
            <c:showVal val="1"/>
            <c:showCatName val="1"/>
            <c:showSerName val="0"/>
            <c:showPercent val="1"/>
            <c:showBubbleSize val="0"/>
            <c:showLeaderLines val="1"/>
          </c:dLbls>
          <c:cat>
            <c:strRef>
              <c:f>Sheet1!$A$2:$A$13</c:f>
              <c:strCache>
                <c:ptCount val="12"/>
                <c:pt idx="0">
                  <c:v>20～24歳</c:v>
                </c:pt>
                <c:pt idx="1">
                  <c:v>25～29歳</c:v>
                </c:pt>
                <c:pt idx="2">
                  <c:v>30～34歳</c:v>
                </c:pt>
                <c:pt idx="3">
                  <c:v>35～39歳</c:v>
                </c:pt>
                <c:pt idx="4">
                  <c:v>40～44歳</c:v>
                </c:pt>
                <c:pt idx="5">
                  <c:v>45～49歳</c:v>
                </c:pt>
                <c:pt idx="6">
                  <c:v>50～54歳</c:v>
                </c:pt>
                <c:pt idx="7">
                  <c:v>55～59歳</c:v>
                </c:pt>
                <c:pt idx="8">
                  <c:v>60～64歳</c:v>
                </c:pt>
                <c:pt idx="9">
                  <c:v>65～69歳</c:v>
                </c:pt>
                <c:pt idx="10">
                  <c:v>70歳～</c:v>
                </c:pt>
                <c:pt idx="11">
                  <c:v>不明</c:v>
                </c:pt>
              </c:strCache>
            </c:strRef>
          </c:cat>
          <c:val>
            <c:numRef>
              <c:f>Sheet1!$B$2:$B$13</c:f>
              <c:numCache>
                <c:formatCode>0.0_ </c:formatCode>
                <c:ptCount val="12"/>
                <c:pt idx="0">
                  <c:v>1.2</c:v>
                </c:pt>
                <c:pt idx="1">
                  <c:v>4.7</c:v>
                </c:pt>
                <c:pt idx="2">
                  <c:v>4.7</c:v>
                </c:pt>
                <c:pt idx="3">
                  <c:v>4.4000000000000004</c:v>
                </c:pt>
                <c:pt idx="4">
                  <c:v>8.4</c:v>
                </c:pt>
                <c:pt idx="5">
                  <c:v>6.7</c:v>
                </c:pt>
                <c:pt idx="6">
                  <c:v>7.9</c:v>
                </c:pt>
                <c:pt idx="7">
                  <c:v>7</c:v>
                </c:pt>
                <c:pt idx="8">
                  <c:v>11.4</c:v>
                </c:pt>
                <c:pt idx="9">
                  <c:v>18.100000000000001</c:v>
                </c:pt>
                <c:pt idx="10">
                  <c:v>25.1</c:v>
                </c:pt>
                <c:pt idx="11">
                  <c:v>0.2</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mj-ea"/>
                <a:ea typeface="+mj-ea"/>
              </a:defRPr>
            </a:pPr>
            <a:r>
              <a:rPr lang="en-US" altLang="ja-JP"/>
              <a:t>(</a:t>
            </a:r>
            <a:r>
              <a:rPr lang="ja-JP" altLang="en-US"/>
              <a:t>年齢別・女性）</a:t>
            </a:r>
            <a:endParaRPr lang="en-US" altLang="ja-JP"/>
          </a:p>
          <a:p>
            <a:pPr>
              <a:defRPr sz="1000">
                <a:latin typeface="+mj-ea"/>
                <a:ea typeface="+mj-ea"/>
              </a:defRPr>
            </a:pPr>
            <a:r>
              <a:rPr lang="en-US" altLang="ja-JP"/>
              <a:t>(758)</a:t>
            </a:r>
            <a:endParaRPr lang="ja-JP" altLang="en-US"/>
          </a:p>
        </c:rich>
      </c:tx>
      <c:layout>
        <c:manualLayout>
          <c:xMode val="edge"/>
          <c:yMode val="edge"/>
          <c:x val="0.38920156917373738"/>
          <c:y val="0.45188941741519845"/>
        </c:manualLayout>
      </c:layout>
      <c:overlay val="0"/>
    </c:title>
    <c:autoTitleDeleted val="0"/>
    <c:plotArea>
      <c:layout>
        <c:manualLayout>
          <c:layoutTarget val="inner"/>
          <c:xMode val="edge"/>
          <c:yMode val="edge"/>
          <c:x val="8.3607291768151848E-2"/>
          <c:y val="4.0680324607203576E-2"/>
          <c:w val="0.8461762254000289"/>
          <c:h val="0.90695059748465578"/>
        </c:manualLayout>
      </c:layout>
      <c:doughnutChart>
        <c:varyColors val="1"/>
        <c:ser>
          <c:idx val="0"/>
          <c:order val="0"/>
          <c:tx>
            <c:strRef>
              <c:f>Sheet1!$B$1</c:f>
              <c:strCache>
                <c:ptCount val="1"/>
                <c:pt idx="0">
                  <c:v>(年齢別・女性）</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ltDnDiag">
                <a:fgClr>
                  <a:schemeClr val="bg1">
                    <a:lumMod val="50000"/>
                  </a:schemeClr>
                </a:fgClr>
                <a:bgClr>
                  <a:schemeClr val="bg1"/>
                </a:bgClr>
              </a:pattFill>
              <a:ln>
                <a:solidFill>
                  <a:srgbClr val="000000"/>
                </a:solidFill>
              </a:ln>
            </c:spPr>
          </c:dPt>
          <c:dPt>
            <c:idx val="2"/>
            <c:bubble3D val="0"/>
            <c:spPr>
              <a:pattFill prst="dashDnDiag">
                <a:fgClr>
                  <a:schemeClr val="bg1">
                    <a:lumMod val="50000"/>
                  </a:schemeClr>
                </a:fgClr>
                <a:bgClr>
                  <a:schemeClr val="bg1"/>
                </a:bgClr>
              </a:pattFill>
              <a:ln>
                <a:solidFill>
                  <a:srgbClr val="000000"/>
                </a:solidFill>
              </a:ln>
            </c:spPr>
          </c:dPt>
          <c:dPt>
            <c:idx val="3"/>
            <c:bubble3D val="0"/>
            <c:spPr>
              <a:pattFill prst="zigZag">
                <a:fgClr>
                  <a:schemeClr val="bg1">
                    <a:lumMod val="50000"/>
                  </a:schemeClr>
                </a:fgClr>
                <a:bgClr>
                  <a:schemeClr val="bg1"/>
                </a:bgClr>
              </a:pattFill>
              <a:ln>
                <a:solidFill>
                  <a:srgbClr val="000000"/>
                </a:solidFill>
              </a:ln>
            </c:spPr>
          </c:dPt>
          <c:dPt>
            <c:idx val="4"/>
            <c:bubble3D val="0"/>
            <c:spPr>
              <a:pattFill prst="divot">
                <a:fgClr>
                  <a:schemeClr val="bg1">
                    <a:lumMod val="50000"/>
                  </a:schemeClr>
                </a:fgClr>
                <a:bgClr>
                  <a:schemeClr val="bg1"/>
                </a:bgClr>
              </a:pattFill>
              <a:ln>
                <a:solidFill>
                  <a:srgbClr val="000000"/>
                </a:solidFill>
              </a:ln>
            </c:spPr>
          </c:dPt>
          <c:dPt>
            <c:idx val="5"/>
            <c:bubble3D val="0"/>
            <c:spPr>
              <a:pattFill prst="dotGrid">
                <a:fgClr>
                  <a:schemeClr val="bg1">
                    <a:lumMod val="50000"/>
                  </a:schemeClr>
                </a:fgClr>
                <a:bgClr>
                  <a:schemeClr val="bg1"/>
                </a:bgClr>
              </a:pattFill>
              <a:ln>
                <a:solidFill>
                  <a:srgbClr val="000000"/>
                </a:solidFill>
              </a:ln>
            </c:spPr>
          </c:dPt>
          <c:dPt>
            <c:idx val="6"/>
            <c:bubble3D val="0"/>
            <c:spPr>
              <a:pattFill prst="diagBrick">
                <a:fgClr>
                  <a:schemeClr val="bg1">
                    <a:lumMod val="65000"/>
                  </a:schemeClr>
                </a:fgClr>
                <a:bgClr>
                  <a:schemeClr val="bg1"/>
                </a:bgClr>
              </a:pattFill>
              <a:ln>
                <a:solidFill>
                  <a:srgbClr val="000000"/>
                </a:solidFill>
              </a:ln>
            </c:spPr>
          </c:dPt>
          <c:dPt>
            <c:idx val="7"/>
            <c:bubble3D val="0"/>
            <c:spPr>
              <a:pattFill prst="shingle">
                <a:fgClr>
                  <a:schemeClr val="bg1">
                    <a:lumMod val="65000"/>
                  </a:schemeClr>
                </a:fgClr>
                <a:bgClr>
                  <a:schemeClr val="bg1"/>
                </a:bgClr>
              </a:pattFill>
              <a:ln>
                <a:solidFill>
                  <a:srgbClr val="000000"/>
                </a:solidFill>
              </a:ln>
            </c:spPr>
          </c:dPt>
          <c:dPt>
            <c:idx val="8"/>
            <c:bubble3D val="0"/>
            <c:spPr>
              <a:pattFill prst="dotDmnd">
                <a:fgClr>
                  <a:schemeClr val="bg1">
                    <a:lumMod val="50000"/>
                  </a:schemeClr>
                </a:fgClr>
                <a:bgClr>
                  <a:schemeClr val="bg1"/>
                </a:bgClr>
              </a:pattFill>
              <a:ln>
                <a:solidFill>
                  <a:srgbClr val="000000"/>
                </a:solidFill>
              </a:ln>
            </c:spPr>
          </c:dPt>
          <c:dPt>
            <c:idx val="9"/>
            <c:bubble3D val="0"/>
            <c:spPr>
              <a:pattFill prst="pct25">
                <a:fgClr>
                  <a:schemeClr val="bg1">
                    <a:lumMod val="50000"/>
                  </a:schemeClr>
                </a:fgClr>
                <a:bgClr>
                  <a:schemeClr val="bg1"/>
                </a:bgClr>
              </a:pattFill>
              <a:ln>
                <a:solidFill>
                  <a:srgbClr val="000000"/>
                </a:solidFill>
              </a:ln>
            </c:spPr>
          </c:dPt>
          <c:dPt>
            <c:idx val="10"/>
            <c:bubble3D val="0"/>
            <c:spPr>
              <a:pattFill prst="solidDmnd">
                <a:fgClr>
                  <a:schemeClr val="bg1">
                    <a:lumMod val="75000"/>
                  </a:schemeClr>
                </a:fgClr>
                <a:bgClr>
                  <a:schemeClr val="bg1"/>
                </a:bgClr>
              </a:pattFill>
              <a:ln>
                <a:solidFill>
                  <a:srgbClr val="000000"/>
                </a:solidFill>
              </a:ln>
            </c:spPr>
          </c:dPt>
          <c:dPt>
            <c:idx val="11"/>
            <c:bubble3D val="0"/>
            <c:spPr>
              <a:noFill/>
              <a:ln>
                <a:solidFill>
                  <a:srgbClr val="000000"/>
                </a:solidFill>
              </a:ln>
            </c:spPr>
          </c:dPt>
          <c:dLbls>
            <c:dLbl>
              <c:idx val="0"/>
              <c:layout>
                <c:manualLayout>
                  <c:x val="7.1219390750739575E-2"/>
                  <c:y val="-0.1708592462217717"/>
                </c:manualLayout>
              </c:layout>
              <c:tx>
                <c:rich>
                  <a:bodyPr/>
                  <a:lstStyle/>
                  <a:p>
                    <a:r>
                      <a:rPr lang="en-US" altLang="ja-JP" sz="1000">
                        <a:latin typeface="+mj-ea"/>
                        <a:ea typeface="+mj-ea"/>
                      </a:rPr>
                      <a:t>20</a:t>
                    </a:r>
                    <a:r>
                      <a:rPr lang="ja-JP" altLang="en-US" sz="1000">
                        <a:latin typeface="+mj-ea"/>
                        <a:ea typeface="+mj-ea"/>
                      </a:rPr>
                      <a:t>～</a:t>
                    </a:r>
                    <a:r>
                      <a:rPr lang="en-US" altLang="ja-JP" sz="1000">
                        <a:latin typeface="+mj-ea"/>
                        <a:ea typeface="+mj-ea"/>
                      </a:rPr>
                      <a:t>24</a:t>
                    </a:r>
                    <a:r>
                      <a:rPr lang="ja-JP" altLang="en-US" sz="1000">
                        <a:latin typeface="+mj-ea"/>
                        <a:ea typeface="+mj-ea"/>
                      </a:rPr>
                      <a:t>歳</a:t>
                    </a:r>
                    <a:endParaRPr lang="en-US" altLang="ja-JP"/>
                  </a:p>
                </c:rich>
              </c:tx>
              <c:showLegendKey val="0"/>
              <c:showVal val="1"/>
              <c:showCatName val="1"/>
              <c:showSerName val="0"/>
              <c:showPercent val="1"/>
              <c:showBubbleSize val="0"/>
            </c:dLbl>
            <c:dLbl>
              <c:idx val="1"/>
              <c:layout>
                <c:manualLayout>
                  <c:x val="0.14262850032427288"/>
                  <c:y val="-0.15846377689194271"/>
                </c:manualLayout>
              </c:layout>
              <c:tx>
                <c:rich>
                  <a:bodyPr/>
                  <a:lstStyle/>
                  <a:p>
                    <a:r>
                      <a:rPr lang="en-US" altLang="ja-JP" sz="1000">
                        <a:latin typeface="+mj-ea"/>
                        <a:ea typeface="+mj-ea"/>
                      </a:rPr>
                      <a:t>25</a:t>
                    </a:r>
                    <a:r>
                      <a:rPr lang="ja-JP" altLang="en-US" sz="1000">
                        <a:latin typeface="+mj-ea"/>
                        <a:ea typeface="+mj-ea"/>
                      </a:rPr>
                      <a:t>～</a:t>
                    </a:r>
                    <a:r>
                      <a:rPr lang="en-US" altLang="ja-JP" sz="1000">
                        <a:latin typeface="+mj-ea"/>
                        <a:ea typeface="+mj-ea"/>
                      </a:rPr>
                      <a:t>29</a:t>
                    </a:r>
                    <a:r>
                      <a:rPr lang="ja-JP" altLang="en-US" sz="1000">
                        <a:latin typeface="+mj-ea"/>
                        <a:ea typeface="+mj-ea"/>
                      </a:rPr>
                      <a:t>歳</a:t>
                    </a:r>
                    <a:endParaRPr lang="en-US" altLang="ja-JP"/>
                  </a:p>
                </c:rich>
              </c:tx>
              <c:showLegendKey val="0"/>
              <c:showVal val="1"/>
              <c:showCatName val="1"/>
              <c:showSerName val="0"/>
              <c:showPercent val="1"/>
              <c:showBubbleSize val="0"/>
            </c:dLbl>
            <c:dLbl>
              <c:idx val="2"/>
              <c:layout>
                <c:manualLayout>
                  <c:x val="5.6366877348100218E-2"/>
                  <c:y val="-5.8649452051908198E-2"/>
                </c:manualLayout>
              </c:layout>
              <c:tx>
                <c:rich>
                  <a:bodyPr/>
                  <a:lstStyle/>
                  <a:p>
                    <a:r>
                      <a:rPr lang="en-US" altLang="ja-JP" sz="1000">
                        <a:latin typeface="+mj-ea"/>
                        <a:ea typeface="+mj-ea"/>
                      </a:rPr>
                      <a:t>30</a:t>
                    </a:r>
                    <a:r>
                      <a:rPr lang="ja-JP" altLang="en-US" sz="1000">
                        <a:latin typeface="+mj-ea"/>
                        <a:ea typeface="+mj-ea"/>
                      </a:rPr>
                      <a:t>～</a:t>
                    </a:r>
                    <a:r>
                      <a:rPr lang="en-US" altLang="ja-JP" sz="1000">
                        <a:latin typeface="+mj-ea"/>
                        <a:ea typeface="+mj-ea"/>
                      </a:rPr>
                      <a:t>34</a:t>
                    </a:r>
                    <a:r>
                      <a:rPr lang="ja-JP" altLang="en-US" sz="1000">
                        <a:latin typeface="+mj-ea"/>
                        <a:ea typeface="+mj-ea"/>
                      </a:rPr>
                      <a:t>歳</a:t>
                    </a:r>
                    <a:endParaRPr lang="en-US" altLang="ja-JP"/>
                  </a:p>
                </c:rich>
              </c:tx>
              <c:showLegendKey val="0"/>
              <c:showVal val="1"/>
              <c:showCatName val="1"/>
              <c:showSerName val="0"/>
              <c:showPercent val="1"/>
              <c:showBubbleSize val="0"/>
            </c:dLbl>
            <c:dLbl>
              <c:idx val="3"/>
              <c:layout>
                <c:manualLayout>
                  <c:x val="4.933193070921741E-2"/>
                  <c:y val="-1.4662363012977056E-2"/>
                </c:manualLayout>
              </c:layout>
              <c:tx>
                <c:rich>
                  <a:bodyPr/>
                  <a:lstStyle/>
                  <a:p>
                    <a:r>
                      <a:rPr lang="en-US" altLang="ja-JP" sz="1000">
                        <a:latin typeface="+mj-ea"/>
                        <a:ea typeface="+mj-ea"/>
                      </a:rPr>
                      <a:t>35</a:t>
                    </a:r>
                    <a:r>
                      <a:rPr lang="ja-JP" altLang="en-US" sz="1000">
                        <a:latin typeface="+mj-ea"/>
                        <a:ea typeface="+mj-ea"/>
                      </a:rPr>
                      <a:t>～</a:t>
                    </a:r>
                    <a:r>
                      <a:rPr lang="en-US" altLang="ja-JP" sz="1000">
                        <a:latin typeface="+mj-ea"/>
                        <a:ea typeface="+mj-ea"/>
                      </a:rPr>
                      <a:t>39</a:t>
                    </a:r>
                    <a:r>
                      <a:rPr lang="ja-JP" altLang="en-US" sz="1000">
                        <a:latin typeface="+mj-ea"/>
                        <a:ea typeface="+mj-ea"/>
                      </a:rPr>
                      <a:t>歳</a:t>
                    </a:r>
                    <a:endParaRPr lang="en-US" altLang="ja-JP"/>
                  </a:p>
                </c:rich>
              </c:tx>
              <c:showLegendKey val="0"/>
              <c:showVal val="1"/>
              <c:showCatName val="1"/>
              <c:showSerName val="0"/>
              <c:showPercent val="1"/>
              <c:showBubbleSize val="0"/>
            </c:dLbl>
            <c:dLbl>
              <c:idx val="4"/>
              <c:layout>
                <c:manualLayout>
                  <c:x val="3.7147796253675126E-2"/>
                  <c:y val="1.2250711288837415E-2"/>
                </c:manualLayout>
              </c:layout>
              <c:tx>
                <c:rich>
                  <a:bodyPr/>
                  <a:lstStyle/>
                  <a:p>
                    <a:r>
                      <a:rPr lang="en-US" altLang="ja-JP" sz="1000">
                        <a:latin typeface="+mj-ea"/>
                        <a:ea typeface="+mj-ea"/>
                      </a:rPr>
                      <a:t>40</a:t>
                    </a:r>
                    <a:r>
                      <a:rPr lang="ja-JP" altLang="en-US" sz="1000">
                        <a:latin typeface="+mj-ea"/>
                        <a:ea typeface="+mj-ea"/>
                      </a:rPr>
                      <a:t>～</a:t>
                    </a:r>
                    <a:r>
                      <a:rPr lang="en-US" altLang="ja-JP" sz="1000">
                        <a:latin typeface="+mj-ea"/>
                        <a:ea typeface="+mj-ea"/>
                      </a:rPr>
                      <a:t>44</a:t>
                    </a:r>
                    <a:r>
                      <a:rPr lang="ja-JP" altLang="en-US" sz="1000">
                        <a:latin typeface="+mj-ea"/>
                        <a:ea typeface="+mj-ea"/>
                      </a:rPr>
                      <a:t>歳</a:t>
                    </a:r>
                    <a:endParaRPr lang="en-US" altLang="ja-JP"/>
                  </a:p>
                </c:rich>
              </c:tx>
              <c:showLegendKey val="0"/>
              <c:showVal val="1"/>
              <c:showCatName val="1"/>
              <c:showSerName val="0"/>
              <c:showPercent val="1"/>
              <c:showBubbleSize val="0"/>
            </c:dLbl>
            <c:dLbl>
              <c:idx val="5"/>
              <c:layout>
                <c:manualLayout>
                  <c:x val="4.0193767436862725E-2"/>
                  <c:y val="4.041761180701213E-2"/>
                </c:manualLayout>
              </c:layout>
              <c:tx>
                <c:rich>
                  <a:bodyPr/>
                  <a:lstStyle/>
                  <a:p>
                    <a:r>
                      <a:rPr lang="en-US" altLang="ja-JP" sz="1000">
                        <a:latin typeface="+mj-ea"/>
                        <a:ea typeface="+mj-ea"/>
                      </a:rPr>
                      <a:t>45</a:t>
                    </a:r>
                    <a:r>
                      <a:rPr lang="ja-JP" altLang="en-US" sz="1000">
                        <a:latin typeface="+mj-ea"/>
                        <a:ea typeface="+mj-ea"/>
                      </a:rPr>
                      <a:t>～</a:t>
                    </a:r>
                    <a:r>
                      <a:rPr lang="en-US" altLang="ja-JP" sz="1000">
                        <a:latin typeface="+mj-ea"/>
                        <a:ea typeface="+mj-ea"/>
                      </a:rPr>
                      <a:t>49</a:t>
                    </a:r>
                    <a:r>
                      <a:rPr lang="ja-JP" altLang="en-US" sz="1000">
                        <a:latin typeface="+mj-ea"/>
                        <a:ea typeface="+mj-ea"/>
                      </a:rPr>
                      <a:t>歳</a:t>
                    </a:r>
                    <a:endParaRPr lang="en-US" altLang="ja-JP"/>
                  </a:p>
                </c:rich>
              </c:tx>
              <c:showLegendKey val="0"/>
              <c:showVal val="1"/>
              <c:showCatName val="1"/>
              <c:showSerName val="0"/>
              <c:showPercent val="1"/>
              <c:showBubbleSize val="0"/>
            </c:dLbl>
            <c:dLbl>
              <c:idx val="6"/>
              <c:layout>
                <c:manualLayout>
                  <c:x val="3.0867084575739785E-2"/>
                  <c:y val="9.0674304179956838E-2"/>
                </c:manualLayout>
              </c:layout>
              <c:tx>
                <c:rich>
                  <a:bodyPr/>
                  <a:lstStyle/>
                  <a:p>
                    <a:r>
                      <a:rPr lang="en-US" altLang="ja-JP" sz="1000">
                        <a:latin typeface="+mj-ea"/>
                        <a:ea typeface="+mj-ea"/>
                      </a:rPr>
                      <a:t>50</a:t>
                    </a:r>
                    <a:r>
                      <a:rPr lang="ja-JP" altLang="en-US" sz="1000">
                        <a:latin typeface="+mj-ea"/>
                        <a:ea typeface="+mj-ea"/>
                      </a:rPr>
                      <a:t>～</a:t>
                    </a:r>
                    <a:r>
                      <a:rPr lang="en-US" altLang="ja-JP" sz="1000">
                        <a:latin typeface="+mj-ea"/>
                        <a:ea typeface="+mj-ea"/>
                      </a:rPr>
                      <a:t>54</a:t>
                    </a:r>
                    <a:r>
                      <a:rPr lang="ja-JP" altLang="en-US" sz="1000">
                        <a:latin typeface="+mj-ea"/>
                        <a:ea typeface="+mj-ea"/>
                      </a:rPr>
                      <a:t>歳</a:t>
                    </a:r>
                    <a:endParaRPr lang="en-US" altLang="ja-JP"/>
                  </a:p>
                </c:rich>
              </c:tx>
              <c:showLegendKey val="0"/>
              <c:showVal val="1"/>
              <c:showCatName val="1"/>
              <c:showSerName val="0"/>
              <c:showPercent val="1"/>
              <c:showBubbleSize val="0"/>
            </c:dLbl>
            <c:dLbl>
              <c:idx val="7"/>
              <c:layout>
                <c:manualLayout>
                  <c:x val="-8.7611240948181571E-3"/>
                  <c:y val="9.4798815350339558E-2"/>
                </c:manualLayout>
              </c:layout>
              <c:tx>
                <c:rich>
                  <a:bodyPr/>
                  <a:lstStyle/>
                  <a:p>
                    <a:r>
                      <a:rPr lang="en-US" altLang="ja-JP" sz="1000">
                        <a:latin typeface="+mj-ea"/>
                        <a:ea typeface="+mj-ea"/>
                      </a:rPr>
                      <a:t>55</a:t>
                    </a:r>
                    <a:r>
                      <a:rPr lang="ja-JP" altLang="en-US" sz="1000">
                        <a:latin typeface="+mj-ea"/>
                        <a:ea typeface="+mj-ea"/>
                      </a:rPr>
                      <a:t>～</a:t>
                    </a:r>
                    <a:r>
                      <a:rPr lang="en-US" altLang="ja-JP" sz="1000">
                        <a:latin typeface="+mj-ea"/>
                        <a:ea typeface="+mj-ea"/>
                      </a:rPr>
                      <a:t>59</a:t>
                    </a:r>
                    <a:r>
                      <a:rPr lang="ja-JP" altLang="en-US" sz="1000">
                        <a:latin typeface="+mj-ea"/>
                        <a:ea typeface="+mj-ea"/>
                      </a:rPr>
                      <a:t>歳</a:t>
                    </a:r>
                    <a:endParaRPr lang="en-US" altLang="ja-JP"/>
                  </a:p>
                </c:rich>
              </c:tx>
              <c:showLegendKey val="0"/>
              <c:showVal val="1"/>
              <c:showCatName val="1"/>
              <c:showSerName val="0"/>
              <c:showPercent val="1"/>
              <c:showBubbleSize val="0"/>
            </c:dLbl>
            <c:dLbl>
              <c:idx val="8"/>
              <c:layout>
                <c:manualLayout>
                  <c:x val="-3.4290178177394506E-2"/>
                  <c:y val="4.4083202560256392E-2"/>
                </c:manualLayout>
              </c:layout>
              <c:tx>
                <c:rich>
                  <a:bodyPr/>
                  <a:lstStyle/>
                  <a:p>
                    <a:r>
                      <a:rPr lang="en-US" altLang="ja-JP" sz="1000">
                        <a:latin typeface="+mj-ea"/>
                        <a:ea typeface="+mj-ea"/>
                      </a:rPr>
                      <a:t>60</a:t>
                    </a:r>
                    <a:r>
                      <a:rPr lang="ja-JP" altLang="en-US" sz="1000">
                        <a:latin typeface="+mj-ea"/>
                        <a:ea typeface="+mj-ea"/>
                      </a:rPr>
                      <a:t>～</a:t>
                    </a:r>
                    <a:r>
                      <a:rPr lang="en-US" altLang="ja-JP" sz="1000">
                        <a:latin typeface="+mj-ea"/>
                        <a:ea typeface="+mj-ea"/>
                      </a:rPr>
                      <a:t>64</a:t>
                    </a:r>
                    <a:r>
                      <a:rPr lang="ja-JP" altLang="en-US" sz="1000">
                        <a:latin typeface="+mj-ea"/>
                        <a:ea typeface="+mj-ea"/>
                      </a:rPr>
                      <a:t>歳</a:t>
                    </a:r>
                    <a:endParaRPr lang="en-US" altLang="ja-JP"/>
                  </a:p>
                </c:rich>
              </c:tx>
              <c:showLegendKey val="0"/>
              <c:showVal val="1"/>
              <c:showCatName val="1"/>
              <c:showSerName val="0"/>
              <c:showPercent val="1"/>
              <c:showBubbleSize val="0"/>
            </c:dLbl>
            <c:dLbl>
              <c:idx val="9"/>
              <c:layout>
                <c:manualLayout>
                  <c:x val="-3.1621162930812831E-2"/>
                  <c:y val="4.8714835223036762E-3"/>
                </c:manualLayout>
              </c:layout>
              <c:tx>
                <c:rich>
                  <a:bodyPr/>
                  <a:lstStyle/>
                  <a:p>
                    <a:r>
                      <a:rPr lang="en-US" altLang="ja-JP" sz="1000">
                        <a:latin typeface="+mj-ea"/>
                        <a:ea typeface="+mj-ea"/>
                      </a:rPr>
                      <a:t>65</a:t>
                    </a:r>
                    <a:r>
                      <a:rPr lang="ja-JP" altLang="en-US" sz="1000">
                        <a:latin typeface="+mj-ea"/>
                        <a:ea typeface="+mj-ea"/>
                      </a:rPr>
                      <a:t>～</a:t>
                    </a:r>
                    <a:r>
                      <a:rPr lang="en-US" altLang="ja-JP" sz="1000">
                        <a:latin typeface="+mj-ea"/>
                        <a:ea typeface="+mj-ea"/>
                      </a:rPr>
                      <a:t>69</a:t>
                    </a:r>
                    <a:r>
                      <a:rPr lang="ja-JP" altLang="en-US" sz="1000">
                        <a:latin typeface="+mj-ea"/>
                        <a:ea typeface="+mj-ea"/>
                      </a:rPr>
                      <a:t>歳</a:t>
                    </a:r>
                    <a:endParaRPr lang="en-US" altLang="ja-JP"/>
                  </a:p>
                </c:rich>
              </c:tx>
              <c:showLegendKey val="0"/>
              <c:showVal val="1"/>
              <c:showCatName val="1"/>
              <c:showSerName val="0"/>
              <c:showPercent val="1"/>
              <c:showBubbleSize val="0"/>
            </c:dLbl>
            <c:dLbl>
              <c:idx val="10"/>
              <c:layout>
                <c:manualLayout>
                  <c:x val="0"/>
                  <c:y val="1.531338911104691E-2"/>
                </c:manualLayout>
              </c:layout>
              <c:tx>
                <c:rich>
                  <a:bodyPr/>
                  <a:lstStyle/>
                  <a:p>
                    <a:r>
                      <a:rPr lang="en-US" altLang="ja-JP" sz="1000">
                        <a:latin typeface="+mj-ea"/>
                        <a:ea typeface="+mj-ea"/>
                      </a:rPr>
                      <a:t>70</a:t>
                    </a:r>
                    <a:r>
                      <a:rPr lang="ja-JP" altLang="en-US" sz="1000">
                        <a:latin typeface="+mj-ea"/>
                        <a:ea typeface="+mj-ea"/>
                      </a:rPr>
                      <a:t>歳～</a:t>
                    </a:r>
                    <a:endParaRPr lang="en-US" altLang="ja-JP"/>
                  </a:p>
                </c:rich>
              </c:tx>
              <c:showLegendKey val="0"/>
              <c:showVal val="1"/>
              <c:showCatName val="1"/>
              <c:showSerName val="0"/>
              <c:showPercent val="1"/>
              <c:showBubbleSize val="0"/>
            </c:dLbl>
            <c:dLbl>
              <c:idx val="11"/>
              <c:layout>
                <c:manualLayout>
                  <c:x val="-0.24574695983200465"/>
                  <c:y val="-0.13169538751073745"/>
                </c:manualLayout>
              </c:layout>
              <c:tx>
                <c:rich>
                  <a:bodyPr/>
                  <a:lstStyle/>
                  <a:p>
                    <a:r>
                      <a:rPr lang="ja-JP" altLang="en-US" sz="1000">
                        <a:latin typeface="+mj-ea"/>
                        <a:ea typeface="+mj-ea"/>
                      </a:rPr>
                      <a:t>不明</a:t>
                    </a:r>
                    <a:endParaRPr lang="en-US" altLang="ja-JP"/>
                  </a:p>
                </c:rich>
              </c:tx>
              <c:showLegendKey val="0"/>
              <c:showVal val="1"/>
              <c:showCatName val="1"/>
              <c:showSerName val="0"/>
              <c:showPercent val="1"/>
              <c:showBubbleSize val="0"/>
            </c:dLbl>
            <c:txPr>
              <a:bodyPr/>
              <a:lstStyle/>
              <a:p>
                <a:pPr>
                  <a:defRPr sz="1000" b="1">
                    <a:latin typeface="+mj-ea"/>
                    <a:ea typeface="+mj-ea"/>
                  </a:defRPr>
                </a:pPr>
                <a:endParaRPr lang="ja-JP"/>
              </a:p>
            </c:txPr>
            <c:showLegendKey val="0"/>
            <c:showVal val="1"/>
            <c:showCatName val="1"/>
            <c:showSerName val="0"/>
            <c:showPercent val="1"/>
            <c:showBubbleSize val="0"/>
            <c:showLeaderLines val="1"/>
          </c:dLbls>
          <c:cat>
            <c:strRef>
              <c:f>Sheet1!$A$2:$A$13</c:f>
              <c:strCache>
                <c:ptCount val="12"/>
                <c:pt idx="0">
                  <c:v>20歳～24歳</c:v>
                </c:pt>
                <c:pt idx="1">
                  <c:v>25～29歳</c:v>
                </c:pt>
                <c:pt idx="2">
                  <c:v>30～34歳</c:v>
                </c:pt>
                <c:pt idx="3">
                  <c:v>35～39歳</c:v>
                </c:pt>
                <c:pt idx="4">
                  <c:v>40～44歳</c:v>
                </c:pt>
                <c:pt idx="5">
                  <c:v>45～49歳</c:v>
                </c:pt>
                <c:pt idx="6">
                  <c:v>50～54歳</c:v>
                </c:pt>
                <c:pt idx="7">
                  <c:v>55～59歳</c:v>
                </c:pt>
                <c:pt idx="8">
                  <c:v>60～64歳</c:v>
                </c:pt>
                <c:pt idx="9">
                  <c:v>65～69歳</c:v>
                </c:pt>
                <c:pt idx="10">
                  <c:v>70歳～</c:v>
                </c:pt>
                <c:pt idx="11">
                  <c:v>不明</c:v>
                </c:pt>
              </c:strCache>
            </c:strRef>
          </c:cat>
          <c:val>
            <c:numRef>
              <c:f>Sheet1!$B$2:$B$13</c:f>
              <c:numCache>
                <c:formatCode>General</c:formatCode>
                <c:ptCount val="12"/>
                <c:pt idx="0">
                  <c:v>4.0999999999999996</c:v>
                </c:pt>
                <c:pt idx="1">
                  <c:v>5.3</c:v>
                </c:pt>
                <c:pt idx="2">
                  <c:v>6.1</c:v>
                </c:pt>
                <c:pt idx="3">
                  <c:v>7.5</c:v>
                </c:pt>
                <c:pt idx="4">
                  <c:v>10.6</c:v>
                </c:pt>
                <c:pt idx="5">
                  <c:v>7.7</c:v>
                </c:pt>
                <c:pt idx="6">
                  <c:v>7.8</c:v>
                </c:pt>
                <c:pt idx="7">
                  <c:v>7.3</c:v>
                </c:pt>
                <c:pt idx="8">
                  <c:v>10.6</c:v>
                </c:pt>
                <c:pt idx="9">
                  <c:v>12.3</c:v>
                </c:pt>
                <c:pt idx="10">
                  <c:v>20.8</c:v>
                </c:pt>
                <c:pt idx="11">
                  <c:v>0.1</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列1</c:v>
                </c:pt>
              </c:strCache>
            </c:strRef>
          </c:tx>
          <c:spPr>
            <a:solidFill>
              <a:schemeClr val="accent3"/>
            </a:solidFill>
            <a:ln>
              <a:solidFill>
                <a:prstClr val="black"/>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Lbls>
            <c:spPr>
              <a:solidFill>
                <a:schemeClr val="bg1"/>
              </a:solidFill>
              <a:ln>
                <a:solidFill>
                  <a:schemeClr val="tx1"/>
                </a:solidFill>
              </a:ln>
            </c:spPr>
            <c:txPr>
              <a:bodyPr/>
              <a:lstStyle/>
              <a:p>
                <a:pPr>
                  <a:defRPr sz="1000" b="1"/>
                </a:pPr>
                <a:endParaRPr lang="ja-JP"/>
              </a:p>
            </c:txPr>
            <c:showLegendKey val="0"/>
            <c:showVal val="1"/>
            <c:showCatName val="0"/>
            <c:showSerName val="0"/>
            <c:showPercent val="0"/>
            <c:showBubbleSize val="0"/>
            <c:showLeaderLines val="0"/>
          </c:dLbls>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Sheet1!$B$2:$B$17</c:f>
              <c:numCache>
                <c:formatCode>0.0_ </c:formatCode>
                <c:ptCount val="16"/>
                <c:pt idx="0">
                  <c:v>77</c:v>
                </c:pt>
                <c:pt idx="1">
                  <c:v>85.3</c:v>
                </c:pt>
                <c:pt idx="2">
                  <c:v>80.099999999999994</c:v>
                </c:pt>
                <c:pt idx="3">
                  <c:v>75.599999999999994</c:v>
                </c:pt>
                <c:pt idx="4">
                  <c:v>74.2</c:v>
                </c:pt>
                <c:pt idx="5">
                  <c:v>53.2</c:v>
                </c:pt>
                <c:pt idx="6">
                  <c:v>61.8</c:v>
                </c:pt>
                <c:pt idx="7">
                  <c:v>55.7</c:v>
                </c:pt>
                <c:pt idx="8">
                  <c:v>56</c:v>
                </c:pt>
                <c:pt idx="9">
                  <c:v>51</c:v>
                </c:pt>
                <c:pt idx="10">
                  <c:v>43.3</c:v>
                </c:pt>
                <c:pt idx="11">
                  <c:v>57.3</c:v>
                </c:pt>
                <c:pt idx="12">
                  <c:v>76.2</c:v>
                </c:pt>
                <c:pt idx="13">
                  <c:v>64.099999999999994</c:v>
                </c:pt>
                <c:pt idx="14">
                  <c:v>58</c:v>
                </c:pt>
                <c:pt idx="15">
                  <c:v>9.4</c:v>
                </c:pt>
              </c:numCache>
            </c:numRef>
          </c:val>
        </c:ser>
        <c:dLbls>
          <c:showLegendKey val="0"/>
          <c:showVal val="1"/>
          <c:showCatName val="0"/>
          <c:showSerName val="0"/>
          <c:showPercent val="0"/>
          <c:showBubbleSize val="0"/>
        </c:dLbls>
        <c:gapWidth val="75"/>
        <c:overlap val="100"/>
        <c:serLines>
          <c:spPr>
            <a:ln>
              <a:noFill/>
              <a:prstDash val="sysDot"/>
            </a:ln>
          </c:spPr>
        </c:serLines>
        <c:axId val="232207872"/>
        <c:axId val="225178688"/>
      </c:barChart>
      <c:catAx>
        <c:axId val="232207872"/>
        <c:scaling>
          <c:orientation val="minMax"/>
        </c:scaling>
        <c:delete val="0"/>
        <c:axPos val="b"/>
        <c:majorTickMark val="none"/>
        <c:minorTickMark val="none"/>
        <c:tickLblPos val="nextTo"/>
        <c:txPr>
          <a:bodyPr rot="0" vert="eaVert"/>
          <a:lstStyle/>
          <a:p>
            <a:pPr>
              <a:defRPr/>
            </a:pPr>
            <a:endParaRPr lang="ja-JP"/>
          </a:p>
        </c:txPr>
        <c:crossAx val="225178688"/>
        <c:crosses val="autoZero"/>
        <c:auto val="1"/>
        <c:lblAlgn val="ctr"/>
        <c:lblOffset val="100"/>
        <c:noMultiLvlLbl val="0"/>
      </c:catAx>
      <c:valAx>
        <c:axId val="225178688"/>
        <c:scaling>
          <c:orientation val="minMax"/>
        </c:scaling>
        <c:delete val="0"/>
        <c:axPos val="l"/>
        <c:majorGridlines/>
        <c:numFmt formatCode="General" sourceLinked="0"/>
        <c:majorTickMark val="none"/>
        <c:minorTickMark val="none"/>
        <c:tickLblPos val="nextTo"/>
        <c:crossAx val="232207872"/>
        <c:crosses val="autoZero"/>
        <c:crossBetween val="between"/>
      </c:valAx>
      <c:spPr>
        <a:ln>
          <a:prstDash val="sysDot"/>
        </a:ln>
      </c:spPr>
    </c:plotArea>
    <c:plotVisOnly val="1"/>
    <c:dispBlanksAs val="gap"/>
    <c:showDLblsOverMax val="0"/>
  </c:chart>
  <c:spPr>
    <a:ln>
      <a:prstDash val="sysDot"/>
    </a:ln>
  </c:spPr>
  <c:txPr>
    <a:bodyPr/>
    <a:lstStyle/>
    <a:p>
      <a:pPr>
        <a:defRPr sz="900">
          <a:latin typeface="+mj-ea"/>
          <a:ea typeface="+mj-ea"/>
        </a:defRPr>
      </a:pPr>
      <a:endParaRPr lang="ja-JP"/>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列1</c:v>
                </c:pt>
              </c:strCache>
            </c:strRef>
          </c:tx>
          <c:spPr>
            <a:solidFill>
              <a:schemeClr val="accent3"/>
            </a:solidFill>
            <a:ln>
              <a:solidFill>
                <a:schemeClr val="tx1"/>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layout>
                <c:manualLayout>
                  <c:x val="4.0173032058345957E-2"/>
                  <c:y val="0"/>
                </c:manualLayout>
              </c:layout>
              <c:showLegendKey val="0"/>
              <c:showVal val="1"/>
              <c:showCatName val="0"/>
              <c:showSerName val="0"/>
              <c:showPercent val="0"/>
              <c:showBubbleSize val="0"/>
            </c:dLbl>
            <c:dLbl>
              <c:idx val="1"/>
              <c:layout>
                <c:manualLayout>
                  <c:x val="3.5944291841677967E-2"/>
                  <c:y val="0"/>
                </c:manualLayout>
              </c:layout>
              <c:showLegendKey val="0"/>
              <c:showVal val="1"/>
              <c:showCatName val="0"/>
              <c:showSerName val="0"/>
              <c:showPercent val="0"/>
              <c:showBubbleSize val="0"/>
            </c:dLbl>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Sheet1!$A$2:$A$8</c:f>
              <c:strCache>
                <c:ptCount val="7"/>
                <c:pt idx="0">
                  <c:v>無回答</c:v>
                </c:pt>
                <c:pt idx="1">
                  <c:v>その他</c:v>
                </c:pt>
                <c:pt idx="2">
                  <c:v>インターネット</c:v>
                </c:pt>
                <c:pt idx="3">
                  <c:v>ラジオ</c:v>
                </c:pt>
                <c:pt idx="4">
                  <c:v>テレビ</c:v>
                </c:pt>
                <c:pt idx="5">
                  <c:v>書籍・雑誌</c:v>
                </c:pt>
                <c:pt idx="6">
                  <c:v>新聞</c:v>
                </c:pt>
              </c:strCache>
            </c:strRef>
          </c:cat>
          <c:val>
            <c:numRef>
              <c:f>Sheet1!$B$2:$B$8</c:f>
              <c:numCache>
                <c:formatCode>0.0_ </c:formatCode>
                <c:ptCount val="7"/>
                <c:pt idx="0">
                  <c:v>1</c:v>
                </c:pt>
                <c:pt idx="1">
                  <c:v>0.3</c:v>
                </c:pt>
                <c:pt idx="2">
                  <c:v>43.5</c:v>
                </c:pt>
                <c:pt idx="3">
                  <c:v>9.6999999999999993</c:v>
                </c:pt>
                <c:pt idx="4">
                  <c:v>83.8</c:v>
                </c:pt>
                <c:pt idx="5">
                  <c:v>10.4</c:v>
                </c:pt>
                <c:pt idx="6">
                  <c:v>53.2</c:v>
                </c:pt>
              </c:numCache>
            </c:numRef>
          </c:val>
        </c:ser>
        <c:dLbls>
          <c:showLegendKey val="0"/>
          <c:showVal val="1"/>
          <c:showCatName val="0"/>
          <c:showSerName val="0"/>
          <c:showPercent val="0"/>
          <c:showBubbleSize val="0"/>
        </c:dLbls>
        <c:gapWidth val="101"/>
        <c:overlap val="100"/>
        <c:axId val="253538816"/>
        <c:axId val="248748224"/>
      </c:barChart>
      <c:valAx>
        <c:axId val="248748224"/>
        <c:scaling>
          <c:orientation val="minMax"/>
        </c:scaling>
        <c:delete val="0"/>
        <c:axPos val="b"/>
        <c:majorGridlines/>
        <c:numFmt formatCode="0_ " sourceLinked="0"/>
        <c:majorTickMark val="none"/>
        <c:minorTickMark val="none"/>
        <c:tickLblPos val="high"/>
        <c:crossAx val="253538816"/>
        <c:crosses val="autoZero"/>
        <c:crossBetween val="between"/>
      </c:valAx>
      <c:catAx>
        <c:axId val="253538816"/>
        <c:scaling>
          <c:orientation val="minMax"/>
        </c:scaling>
        <c:delete val="0"/>
        <c:axPos val="l"/>
        <c:majorTickMark val="none"/>
        <c:minorTickMark val="none"/>
        <c:tickLblPos val="nextTo"/>
        <c:txPr>
          <a:bodyPr/>
          <a:lstStyle/>
          <a:p>
            <a:pPr>
              <a:defRPr sz="900"/>
            </a:pPr>
            <a:endParaRPr lang="ja-JP"/>
          </a:p>
        </c:txPr>
        <c:crossAx val="248748224"/>
        <c:crosses val="autoZero"/>
        <c:auto val="1"/>
        <c:lblAlgn val="ctr"/>
        <c:lblOffset val="100"/>
        <c:noMultiLvlLbl val="0"/>
      </c:cat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前回調査（％）</c:v>
                </c:pt>
              </c:strCache>
            </c:strRef>
          </c:tx>
          <c:spPr>
            <a:pattFill prst="wdUpDiag">
              <a:fgClr>
                <a:schemeClr val="accent3">
                  <a:lumMod val="40000"/>
                  <a:lumOff val="60000"/>
                </a:schemeClr>
              </a:fgClr>
              <a:bgClr>
                <a:schemeClr val="bg1"/>
              </a:bgClr>
            </a:pattFill>
            <a:ln>
              <a:solidFill>
                <a:schemeClr val="tx1"/>
              </a:solidFill>
            </a:ln>
          </c:spPr>
          <c:invertIfNegative val="0"/>
          <c:cat>
            <c:strRef>
              <c:f>Sheet1!$A$2:$A$7</c:f>
              <c:strCache>
                <c:ptCount val="6"/>
                <c:pt idx="0">
                  <c:v>良い</c:v>
                </c:pt>
                <c:pt idx="1">
                  <c:v>やや良い</c:v>
                </c:pt>
                <c:pt idx="2">
                  <c:v>普通</c:v>
                </c:pt>
                <c:pt idx="3">
                  <c:v>やや悪い</c:v>
                </c:pt>
                <c:pt idx="4">
                  <c:v>悪い</c:v>
                </c:pt>
                <c:pt idx="5">
                  <c:v>無回答</c:v>
                </c:pt>
              </c:strCache>
            </c:strRef>
          </c:cat>
          <c:val>
            <c:numRef>
              <c:f>Sheet1!$B$2:$B$7</c:f>
              <c:numCache>
                <c:formatCode>General</c:formatCode>
                <c:ptCount val="6"/>
                <c:pt idx="0">
                  <c:v>9.3000000000000007</c:v>
                </c:pt>
                <c:pt idx="1">
                  <c:v>13.5</c:v>
                </c:pt>
                <c:pt idx="2">
                  <c:v>50.7</c:v>
                </c:pt>
                <c:pt idx="3">
                  <c:v>15.1</c:v>
                </c:pt>
                <c:pt idx="4">
                  <c:v>8.1999999999999993</c:v>
                </c:pt>
                <c:pt idx="5">
                  <c:v>3.2</c:v>
                </c:pt>
              </c:numCache>
            </c:numRef>
          </c:val>
        </c:ser>
        <c:ser>
          <c:idx val="1"/>
          <c:order val="1"/>
          <c:tx>
            <c:strRef>
              <c:f>Sheet1!$C$1</c:f>
              <c:strCache>
                <c:ptCount val="1"/>
                <c:pt idx="0">
                  <c:v>今回調査（％）</c:v>
                </c:pt>
              </c:strCache>
            </c:strRef>
          </c:tx>
          <c:spPr>
            <a:solidFill>
              <a:schemeClr val="accent3"/>
            </a:solidFill>
            <a:ln w="57150">
              <a:noFill/>
              <a:prstDash val="solid"/>
            </a:ln>
          </c:spPr>
          <c:invertIfNegative val="0"/>
          <c:cat>
            <c:strRef>
              <c:f>Sheet1!$A$2:$A$7</c:f>
              <c:strCache>
                <c:ptCount val="6"/>
                <c:pt idx="0">
                  <c:v>良い</c:v>
                </c:pt>
                <c:pt idx="1">
                  <c:v>やや良い</c:v>
                </c:pt>
                <c:pt idx="2">
                  <c:v>普通</c:v>
                </c:pt>
                <c:pt idx="3">
                  <c:v>やや悪い</c:v>
                </c:pt>
                <c:pt idx="4">
                  <c:v>悪い</c:v>
                </c:pt>
                <c:pt idx="5">
                  <c:v>無回答</c:v>
                </c:pt>
              </c:strCache>
            </c:strRef>
          </c:cat>
          <c:val>
            <c:numRef>
              <c:f>Sheet1!$C$2:$C$7</c:f>
              <c:numCache>
                <c:formatCode>0.0_ </c:formatCode>
                <c:ptCount val="6"/>
                <c:pt idx="0">
                  <c:v>17.100000000000001</c:v>
                </c:pt>
                <c:pt idx="1">
                  <c:v>13.8</c:v>
                </c:pt>
                <c:pt idx="2">
                  <c:v>53.5</c:v>
                </c:pt>
                <c:pt idx="3">
                  <c:v>10.6</c:v>
                </c:pt>
                <c:pt idx="4">
                  <c:v>4.2</c:v>
                </c:pt>
                <c:pt idx="5">
                  <c:v>1.5</c:v>
                </c:pt>
              </c:numCache>
            </c:numRef>
          </c:val>
        </c:ser>
        <c:dLbls>
          <c:showLegendKey val="0"/>
          <c:showVal val="0"/>
          <c:showCatName val="0"/>
          <c:showSerName val="0"/>
          <c:showPercent val="0"/>
          <c:showBubbleSize val="0"/>
        </c:dLbls>
        <c:gapWidth val="150"/>
        <c:axId val="250614272"/>
        <c:axId val="251871232"/>
      </c:barChart>
      <c:catAx>
        <c:axId val="250614272"/>
        <c:scaling>
          <c:orientation val="minMax"/>
        </c:scaling>
        <c:delete val="0"/>
        <c:axPos val="b"/>
        <c:majorTickMark val="out"/>
        <c:minorTickMark val="none"/>
        <c:tickLblPos val="nextTo"/>
        <c:txPr>
          <a:bodyPr rot="0" vert="eaVert"/>
          <a:lstStyle/>
          <a:p>
            <a:pPr>
              <a:defRPr sz="900">
                <a:latin typeface="+mj-ea"/>
                <a:ea typeface="+mj-ea"/>
              </a:defRPr>
            </a:pPr>
            <a:endParaRPr lang="ja-JP"/>
          </a:p>
        </c:txPr>
        <c:crossAx val="251871232"/>
        <c:crosses val="autoZero"/>
        <c:auto val="1"/>
        <c:lblAlgn val="ctr"/>
        <c:lblOffset val="100"/>
        <c:noMultiLvlLbl val="0"/>
      </c:catAx>
      <c:valAx>
        <c:axId val="251871232"/>
        <c:scaling>
          <c:orientation val="minMax"/>
        </c:scaling>
        <c:delete val="0"/>
        <c:axPos val="l"/>
        <c:majorGridlines/>
        <c:numFmt formatCode="General" sourceLinked="1"/>
        <c:majorTickMark val="out"/>
        <c:minorTickMark val="none"/>
        <c:tickLblPos val="nextTo"/>
        <c:txPr>
          <a:bodyPr/>
          <a:lstStyle/>
          <a:p>
            <a:pPr>
              <a:defRPr>
                <a:latin typeface="+mj-ea"/>
                <a:ea typeface="+mj-ea"/>
              </a:defRPr>
            </a:pPr>
            <a:endParaRPr lang="ja-JP"/>
          </a:p>
        </c:txPr>
        <c:crossAx val="250614272"/>
        <c:crosses val="autoZero"/>
        <c:crossBetween val="between"/>
      </c:valAx>
    </c:plotArea>
    <c:legend>
      <c:legendPos val="r"/>
      <c:layout>
        <c:manualLayout>
          <c:xMode val="edge"/>
          <c:yMode val="edge"/>
          <c:x val="0.52882605490691192"/>
          <c:y val="0.103588754425831"/>
          <c:w val="0.32777738234713882"/>
          <c:h val="0.16371928341172118"/>
        </c:manualLayout>
      </c:layout>
      <c:overlay val="1"/>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0909090909091"/>
          <c:y val="2.7777777777777776E-2"/>
          <c:w val="0.6982323232323232"/>
          <c:h val="0.89991863303498776"/>
        </c:manualLayout>
      </c:layout>
      <c:pieChart>
        <c:varyColors val="1"/>
        <c:ser>
          <c:idx val="0"/>
          <c:order val="0"/>
          <c:tx>
            <c:strRef>
              <c:f>Sheet1!$B$1</c:f>
              <c:strCache>
                <c:ptCount val="1"/>
                <c:pt idx="0">
                  <c:v>列1</c:v>
                </c:pt>
              </c:strCache>
            </c:strRef>
          </c:tx>
          <c:spPr>
            <a:ln>
              <a:solidFill>
                <a:srgbClr val="000000"/>
              </a:solidFill>
            </a:ln>
          </c:spPr>
          <c:dPt>
            <c:idx val="0"/>
            <c:bubble3D val="0"/>
            <c:spPr>
              <a:pattFill prst="pct5">
                <a:fgClr>
                  <a:schemeClr val="bg1">
                    <a:lumMod val="50000"/>
                  </a:schemeClr>
                </a:fgClr>
                <a:bgClr>
                  <a:schemeClr val="bg1"/>
                </a:bgClr>
              </a:pattFill>
              <a:ln>
                <a:solidFill>
                  <a:srgbClr val="000000"/>
                </a:solidFill>
              </a:ln>
            </c:spPr>
          </c:dPt>
          <c:dPt>
            <c:idx val="1"/>
            <c:bubble3D val="0"/>
            <c:spPr>
              <a:pattFill prst="pct25">
                <a:fgClr>
                  <a:schemeClr val="bg1">
                    <a:lumMod val="50000"/>
                  </a:schemeClr>
                </a:fgClr>
                <a:bgClr>
                  <a:schemeClr val="bg1"/>
                </a:bgClr>
              </a:pattFill>
              <a:ln>
                <a:solidFill>
                  <a:srgbClr val="000000"/>
                </a:solidFill>
              </a:ln>
            </c:spPr>
          </c:dPt>
          <c:dPt>
            <c:idx val="2"/>
            <c:bubble3D val="0"/>
            <c:spPr>
              <a:pattFill prst="dotGrid">
                <a:fgClr>
                  <a:schemeClr val="bg1">
                    <a:lumMod val="50000"/>
                  </a:schemeClr>
                </a:fgClr>
                <a:bgClr>
                  <a:schemeClr val="bg1"/>
                </a:bgClr>
              </a:pattFill>
              <a:ln>
                <a:solidFill>
                  <a:srgbClr val="000000"/>
                </a:solidFill>
              </a:ln>
            </c:spPr>
          </c:dPt>
          <c:dPt>
            <c:idx val="3"/>
            <c:bubble3D val="0"/>
            <c:spPr>
              <a:pattFill prst="dashUpDiag">
                <a:fgClr>
                  <a:schemeClr val="bg1">
                    <a:lumMod val="50000"/>
                  </a:schemeClr>
                </a:fgClr>
                <a:bgClr>
                  <a:schemeClr val="bg1"/>
                </a:bgClr>
              </a:pattFill>
              <a:ln>
                <a:solidFill>
                  <a:srgbClr val="000000"/>
                </a:solidFill>
              </a:ln>
            </c:spPr>
          </c:dPt>
          <c:dPt>
            <c:idx val="4"/>
            <c:bubble3D val="0"/>
            <c:spPr>
              <a:pattFill prst="openDmnd">
                <a:fgClr>
                  <a:schemeClr val="bg1">
                    <a:lumMod val="65000"/>
                  </a:schemeClr>
                </a:fgClr>
                <a:bgClr>
                  <a:schemeClr val="bg1"/>
                </a:bgClr>
              </a:pattFill>
              <a:ln>
                <a:solidFill>
                  <a:srgbClr val="000000"/>
                </a:solidFill>
              </a:ln>
            </c:spPr>
          </c:dPt>
          <c:dPt>
            <c:idx val="5"/>
            <c:bubble3D val="0"/>
            <c:spPr>
              <a:solidFill>
                <a:schemeClr val="bg1"/>
              </a:solidFill>
              <a:ln>
                <a:solidFill>
                  <a:srgbClr val="000000"/>
                </a:solidFill>
              </a:ln>
            </c:spPr>
          </c:dPt>
          <c:dLbls>
            <c:dLbl>
              <c:idx val="0"/>
              <c:layout>
                <c:manualLayout>
                  <c:x val="-0.1011870984924472"/>
                  <c:y val="0.14487752894794792"/>
                </c:manualLayout>
              </c:layout>
              <c:tx>
                <c:rich>
                  <a:bodyPr/>
                  <a:lstStyle/>
                  <a:p>
                    <a:r>
                      <a:rPr lang="ja-JP" altLang="en-US"/>
                      <a:t>良い</a:t>
                    </a:r>
                    <a:endParaRPr lang="en-US" altLang="ja-JP"/>
                  </a:p>
                  <a:p>
                    <a:r>
                      <a:rPr lang="en-US" altLang="ja-JP"/>
                      <a:t>17.1%</a:t>
                    </a:r>
                    <a:endParaRPr lang="ja-JP" altLang="en-US"/>
                  </a:p>
                </c:rich>
              </c:tx>
              <c:showLegendKey val="0"/>
              <c:showVal val="1"/>
              <c:showCatName val="1"/>
              <c:showSerName val="0"/>
              <c:showPercent val="1"/>
              <c:showBubbleSize val="0"/>
            </c:dLbl>
            <c:dLbl>
              <c:idx val="1"/>
              <c:layout>
                <c:manualLayout>
                  <c:x val="-0.1677975639458836"/>
                  <c:y val="1.5046088306718405E-2"/>
                </c:manualLayout>
              </c:layout>
              <c:tx>
                <c:rich>
                  <a:bodyPr/>
                  <a:lstStyle/>
                  <a:p>
                    <a:r>
                      <a:rPr lang="ja-JP" altLang="en-US"/>
                      <a:t>やや良い</a:t>
                    </a:r>
                    <a:r>
                      <a:rPr lang="en-US" altLang="ja-JP"/>
                      <a:t> 13.0%</a:t>
                    </a:r>
                    <a:endParaRPr lang="ja-JP" altLang="en-US"/>
                  </a:p>
                </c:rich>
              </c:tx>
              <c:showLegendKey val="0"/>
              <c:showVal val="1"/>
              <c:showCatName val="1"/>
              <c:showSerName val="0"/>
              <c:showPercent val="1"/>
              <c:showBubbleSize val="0"/>
            </c:dLbl>
            <c:dLbl>
              <c:idx val="2"/>
              <c:layout>
                <c:manualLayout>
                  <c:x val="0.13445937255277524"/>
                  <c:y val="-0.22925777565131419"/>
                </c:manualLayout>
              </c:layout>
              <c:tx>
                <c:rich>
                  <a:bodyPr/>
                  <a:lstStyle/>
                  <a:p>
                    <a:r>
                      <a:rPr lang="ja-JP" altLang="en-US"/>
                      <a:t>普通</a:t>
                    </a:r>
                    <a:endParaRPr lang="en-US" altLang="ja-JP"/>
                  </a:p>
                  <a:p>
                    <a:r>
                      <a:rPr lang="en-US" altLang="ja-JP"/>
                      <a:t>53.6%</a:t>
                    </a:r>
                    <a:endParaRPr lang="ja-JP" altLang="en-US"/>
                  </a:p>
                </c:rich>
              </c:tx>
              <c:showLegendKey val="0"/>
              <c:showVal val="1"/>
              <c:showCatName val="1"/>
              <c:showSerName val="0"/>
              <c:showPercent val="1"/>
              <c:showBubbleSize val="0"/>
            </c:dLbl>
            <c:dLbl>
              <c:idx val="3"/>
              <c:tx>
                <c:rich>
                  <a:bodyPr/>
                  <a:lstStyle/>
                  <a:p>
                    <a:r>
                      <a:rPr lang="ja-JP" altLang="en-US"/>
                      <a:t>やや悪い</a:t>
                    </a:r>
                    <a:r>
                      <a:rPr lang="en-US" altLang="ja-JP"/>
                      <a:t>10.6%</a:t>
                    </a:r>
                  </a:p>
                </c:rich>
              </c:tx>
              <c:showLegendKey val="0"/>
              <c:showVal val="1"/>
              <c:showCatName val="1"/>
              <c:showSerName val="0"/>
              <c:showPercent val="1"/>
              <c:showBubbleSize val="0"/>
            </c:dLbl>
            <c:dLbl>
              <c:idx val="4"/>
              <c:tx>
                <c:rich>
                  <a:bodyPr/>
                  <a:lstStyle/>
                  <a:p>
                    <a:r>
                      <a:rPr lang="ja-JP" altLang="en-US"/>
                      <a:t>悪い</a:t>
                    </a:r>
                    <a:endParaRPr lang="en-US" altLang="ja-JP"/>
                  </a:p>
                  <a:p>
                    <a:r>
                      <a:rPr lang="en-US" altLang="ja-JP"/>
                      <a:t>4.2%</a:t>
                    </a:r>
                    <a:endParaRPr lang="ja-JP" altLang="en-US"/>
                  </a:p>
                </c:rich>
              </c:tx>
              <c:showLegendKey val="0"/>
              <c:showVal val="1"/>
              <c:showCatName val="1"/>
              <c:showSerName val="0"/>
              <c:showPercent val="1"/>
              <c:showBubbleSize val="0"/>
            </c:dLbl>
            <c:dLbl>
              <c:idx val="5"/>
              <c:tx>
                <c:rich>
                  <a:bodyPr/>
                  <a:lstStyle/>
                  <a:p>
                    <a:r>
                      <a:rPr lang="ja-JP" altLang="en-US"/>
                      <a:t>無回答</a:t>
                    </a:r>
                    <a:endParaRPr lang="en-US" altLang="ja-JP"/>
                  </a:p>
                  <a:p>
                    <a:r>
                      <a:rPr lang="en-US" altLang="ja-JP"/>
                      <a:t>1.5%</a:t>
                    </a:r>
                    <a:endParaRPr lang="ja-JP" altLang="en-US"/>
                  </a:p>
                </c:rich>
              </c:tx>
              <c:showLegendKey val="0"/>
              <c:showVal val="1"/>
              <c:showCatName val="1"/>
              <c:showSerName val="0"/>
              <c:showPercent val="1"/>
              <c:showBubbleSize val="0"/>
            </c:dLbl>
            <c:txPr>
              <a:bodyPr/>
              <a:lstStyle/>
              <a:p>
                <a:pPr>
                  <a:defRPr sz="1200" b="1"/>
                </a:pPr>
                <a:endParaRPr lang="ja-JP"/>
              </a:p>
            </c:txPr>
            <c:showLegendKey val="0"/>
            <c:showVal val="1"/>
            <c:showCatName val="1"/>
            <c:showSerName val="0"/>
            <c:showPercent val="1"/>
            <c:showBubbleSize val="0"/>
            <c:showLeaderLines val="1"/>
          </c:dLbls>
          <c:cat>
            <c:strRef>
              <c:f>Sheet1!$A$2:$A$7</c:f>
              <c:strCache>
                <c:ptCount val="6"/>
                <c:pt idx="0">
                  <c:v>良い</c:v>
                </c:pt>
                <c:pt idx="1">
                  <c:v>やや良い</c:v>
                </c:pt>
                <c:pt idx="2">
                  <c:v>普通</c:v>
                </c:pt>
                <c:pt idx="3">
                  <c:v>やや悪い</c:v>
                </c:pt>
                <c:pt idx="4">
                  <c:v>悪い</c:v>
                </c:pt>
                <c:pt idx="5">
                  <c:v>無回答</c:v>
                </c:pt>
              </c:strCache>
            </c:strRef>
          </c:cat>
          <c:val>
            <c:numRef>
              <c:f>Sheet1!$B$2:$B$7</c:f>
              <c:numCache>
                <c:formatCode>General</c:formatCode>
                <c:ptCount val="6"/>
                <c:pt idx="0">
                  <c:v>17.100000000000001</c:v>
                </c:pt>
                <c:pt idx="1">
                  <c:v>13.8</c:v>
                </c:pt>
                <c:pt idx="2">
                  <c:v>53.5</c:v>
                </c:pt>
                <c:pt idx="3">
                  <c:v>10.6</c:v>
                </c:pt>
                <c:pt idx="4">
                  <c:v>4.2</c:v>
                </c:pt>
                <c:pt idx="5">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74565669392486"/>
          <c:y val="3.0753968253968252E-2"/>
          <c:w val="0.68371834126663145"/>
          <c:h val="0.92620803246902172"/>
        </c:manualLayout>
      </c:layout>
      <c:doughnutChart>
        <c:varyColors val="1"/>
        <c:ser>
          <c:idx val="0"/>
          <c:order val="0"/>
          <c:tx>
            <c:strRef>
              <c:f>Sheet1!$B$1</c:f>
              <c:strCache>
                <c:ptCount val="1"/>
                <c:pt idx="0">
                  <c:v>列1</c:v>
                </c:pt>
              </c:strCache>
            </c:strRef>
          </c:tx>
          <c:spPr>
            <a:ln>
              <a:solidFill>
                <a:schemeClr val="tx1"/>
              </a:solidFill>
            </a:ln>
          </c:spPr>
          <c:dPt>
            <c:idx val="0"/>
            <c:bubble3D val="0"/>
            <c:spPr>
              <a:pattFill prst="pct10">
                <a:fgClr>
                  <a:schemeClr val="bg1">
                    <a:lumMod val="50000"/>
                  </a:schemeClr>
                </a:fgClr>
                <a:bgClr>
                  <a:schemeClr val="bg1"/>
                </a:bgClr>
              </a:pattFill>
              <a:ln>
                <a:solidFill>
                  <a:schemeClr val="tx1"/>
                </a:solidFill>
              </a:ln>
            </c:spPr>
          </c:dPt>
          <c:dPt>
            <c:idx val="1"/>
            <c:bubble3D val="0"/>
            <c:spPr>
              <a:pattFill prst="dashDnDiag">
                <a:fgClr>
                  <a:schemeClr val="bg1">
                    <a:lumMod val="65000"/>
                  </a:schemeClr>
                </a:fgClr>
                <a:bgClr>
                  <a:schemeClr val="bg1"/>
                </a:bgClr>
              </a:pattFill>
              <a:ln>
                <a:solidFill>
                  <a:schemeClr val="tx1"/>
                </a:solidFill>
              </a:ln>
            </c:spPr>
          </c:dPt>
          <c:dPt>
            <c:idx val="2"/>
            <c:bubble3D val="0"/>
            <c:spPr>
              <a:pattFill prst="dotGrid">
                <a:fgClr>
                  <a:schemeClr val="bg1">
                    <a:lumMod val="50000"/>
                  </a:schemeClr>
                </a:fgClr>
                <a:bgClr>
                  <a:schemeClr val="bg1"/>
                </a:bgClr>
              </a:pattFill>
              <a:ln>
                <a:solidFill>
                  <a:schemeClr val="tx1"/>
                </a:solidFill>
              </a:ln>
            </c:spPr>
          </c:dPt>
          <c:dPt>
            <c:idx val="3"/>
            <c:bubble3D val="0"/>
            <c:spPr>
              <a:pattFill prst="ltVert">
                <a:fgClr>
                  <a:schemeClr val="bg1">
                    <a:lumMod val="65000"/>
                  </a:schemeClr>
                </a:fgClr>
                <a:bgClr>
                  <a:schemeClr val="bg1"/>
                </a:bgClr>
              </a:pattFill>
              <a:ln>
                <a:solidFill>
                  <a:schemeClr val="tx1"/>
                </a:solidFill>
              </a:ln>
            </c:spPr>
          </c:dPt>
          <c:dPt>
            <c:idx val="4"/>
            <c:bubble3D val="0"/>
            <c:spPr>
              <a:pattFill prst="shingle">
                <a:fgClr>
                  <a:schemeClr val="bg1">
                    <a:lumMod val="65000"/>
                  </a:schemeClr>
                </a:fgClr>
                <a:bgClr>
                  <a:schemeClr val="bg1"/>
                </a:bgClr>
              </a:pattFill>
              <a:ln>
                <a:solidFill>
                  <a:schemeClr val="tx1"/>
                </a:solidFill>
              </a:ln>
            </c:spPr>
          </c:dPt>
          <c:dPt>
            <c:idx val="5"/>
            <c:bubble3D val="0"/>
            <c:spPr>
              <a:noFill/>
              <a:ln>
                <a:solidFill>
                  <a:schemeClr val="tx1"/>
                </a:solidFill>
              </a:ln>
            </c:spPr>
          </c:dPt>
          <c:dLbls>
            <c:dLbl>
              <c:idx val="0"/>
              <c:layout>
                <c:manualLayout>
                  <c:x val="8.6880289564480045E-3"/>
                  <c:y val="-1.763754157668514E-2"/>
                </c:manualLayout>
              </c:layout>
              <c:tx>
                <c:rich>
                  <a:bodyPr/>
                  <a:lstStyle/>
                  <a:p>
                    <a:r>
                      <a:rPr lang="ja-JP" altLang="en-US"/>
                      <a:t>できるだけ</a:t>
                    </a:r>
                    <a:endParaRPr lang="en-US" altLang="ja-JP"/>
                  </a:p>
                  <a:p>
                    <a:r>
                      <a:rPr lang="ja-JP" altLang="en-US"/>
                      <a:t>参加する</a:t>
                    </a:r>
                    <a:endParaRPr lang="en-US" altLang="ja-JP"/>
                  </a:p>
                  <a:p>
                    <a:r>
                      <a:rPr lang="en-US" altLang="ja-JP"/>
                      <a:t>17.7%</a:t>
                    </a:r>
                  </a:p>
                </c:rich>
              </c:tx>
              <c:showLegendKey val="0"/>
              <c:showVal val="1"/>
              <c:showCatName val="1"/>
              <c:showSerName val="0"/>
              <c:showPercent val="1"/>
              <c:showBubbleSize val="0"/>
            </c:dLbl>
            <c:dLbl>
              <c:idx val="1"/>
              <c:layout>
                <c:manualLayout>
                  <c:x val="1.0860036195559928E-2"/>
                  <c:y val="2.9395902627807986E-3"/>
                </c:manualLayout>
              </c:layout>
              <c:tx>
                <c:rich>
                  <a:bodyPr/>
                  <a:lstStyle/>
                  <a:p>
                    <a:r>
                      <a:rPr lang="ja-JP" altLang="en-US"/>
                      <a:t>関心のあるものには参加する</a:t>
                    </a:r>
                    <a:r>
                      <a:rPr lang="en-US" altLang="ja-JP"/>
                      <a:t>17.2%</a:t>
                    </a:r>
                  </a:p>
                </c:rich>
              </c:tx>
              <c:showLegendKey val="0"/>
              <c:showVal val="1"/>
              <c:showCatName val="1"/>
              <c:showSerName val="0"/>
              <c:showPercent val="1"/>
              <c:showBubbleSize val="0"/>
            </c:dLbl>
            <c:dLbl>
              <c:idx val="2"/>
              <c:layout>
                <c:manualLayout>
                  <c:x val="8.6875158838718367E-3"/>
                  <c:y val="2.3519268204049228E-2"/>
                </c:manualLayout>
              </c:layout>
              <c:tx>
                <c:rich>
                  <a:bodyPr/>
                  <a:lstStyle/>
                  <a:p>
                    <a:r>
                      <a:rPr lang="ja-JP" altLang="en-US"/>
                      <a:t>誘われれば</a:t>
                    </a:r>
                    <a:endParaRPr lang="en-US" altLang="ja-JP"/>
                  </a:p>
                  <a:p>
                    <a:r>
                      <a:rPr lang="ja-JP" altLang="en-US"/>
                      <a:t>参加する</a:t>
                    </a:r>
                    <a:endParaRPr lang="en-US" altLang="ja-JP"/>
                  </a:p>
                  <a:p>
                    <a:r>
                      <a:rPr lang="en-US" altLang="ja-JP"/>
                      <a:t>13.0%</a:t>
                    </a:r>
                  </a:p>
                </c:rich>
              </c:tx>
              <c:showLegendKey val="0"/>
              <c:showVal val="1"/>
              <c:showCatName val="1"/>
              <c:showSerName val="0"/>
              <c:showPercent val="1"/>
              <c:showBubbleSize val="0"/>
            </c:dLbl>
            <c:dLbl>
              <c:idx val="3"/>
              <c:layout>
                <c:manualLayout>
                  <c:x val="2.1722295705616741E-2"/>
                  <c:y val="-2.3510009652040469E-2"/>
                </c:manualLayout>
              </c:layout>
              <c:tx>
                <c:rich>
                  <a:bodyPr/>
                  <a:lstStyle/>
                  <a:p>
                    <a:r>
                      <a:rPr lang="ja-JP" altLang="en-US"/>
                      <a:t>当番の仕事は</a:t>
                    </a:r>
                    <a:endParaRPr lang="en-US" altLang="ja-JP"/>
                  </a:p>
                  <a:p>
                    <a:r>
                      <a:rPr lang="ja-JP" altLang="en-US"/>
                      <a:t>するが、それ以外はあまり</a:t>
                    </a:r>
                    <a:endParaRPr lang="en-US" altLang="ja-JP"/>
                  </a:p>
                  <a:p>
                    <a:r>
                      <a:rPr lang="ja-JP" altLang="en-US"/>
                      <a:t>（ほとんど）</a:t>
                    </a:r>
                    <a:endParaRPr lang="en-US" altLang="ja-JP"/>
                  </a:p>
                  <a:p>
                    <a:r>
                      <a:rPr lang="ja-JP" altLang="en-US"/>
                      <a:t>参加しない</a:t>
                    </a:r>
                    <a:endParaRPr lang="en-US" altLang="ja-JP"/>
                  </a:p>
                  <a:p>
                    <a:r>
                      <a:rPr lang="en-US" altLang="ja-JP"/>
                      <a:t>31.1%</a:t>
                    </a:r>
                  </a:p>
                </c:rich>
              </c:tx>
              <c:showLegendKey val="0"/>
              <c:showVal val="1"/>
              <c:showCatName val="1"/>
              <c:showSerName val="0"/>
              <c:showPercent val="1"/>
              <c:showBubbleSize val="0"/>
            </c:dLbl>
            <c:dLbl>
              <c:idx val="4"/>
              <c:layout>
                <c:manualLayout>
                  <c:x val="-3.0403825742766618E-2"/>
                  <c:y val="-1.7635226938682923E-2"/>
                </c:manualLayout>
              </c:layout>
              <c:tx>
                <c:rich>
                  <a:bodyPr/>
                  <a:lstStyle/>
                  <a:p>
                    <a:r>
                      <a:rPr lang="ja-JP" altLang="en-US"/>
                      <a:t>参加しない</a:t>
                    </a:r>
                    <a:r>
                      <a:rPr lang="en-US" altLang="ja-JP"/>
                      <a:t>19.9%</a:t>
                    </a:r>
                  </a:p>
                </c:rich>
              </c:tx>
              <c:showLegendKey val="0"/>
              <c:showVal val="1"/>
              <c:showCatName val="1"/>
              <c:showSerName val="0"/>
              <c:showPercent val="1"/>
              <c:showBubbleSize val="0"/>
            </c:dLbl>
            <c:dLbl>
              <c:idx val="5"/>
              <c:layout>
                <c:manualLayout>
                  <c:x val="-0.24758009319450275"/>
                  <c:y val="-0.11767920506072453"/>
                </c:manualLayout>
              </c:layout>
              <c:tx>
                <c:rich>
                  <a:bodyPr/>
                  <a:lstStyle/>
                  <a:p>
                    <a:r>
                      <a:rPr lang="ja-JP" altLang="en-US"/>
                      <a:t>無回答</a:t>
                    </a:r>
                    <a:endParaRPr lang="en-US" altLang="ja-JP"/>
                  </a:p>
                  <a:p>
                    <a:r>
                      <a:rPr lang="en-US" altLang="ja-JP"/>
                      <a:t>1.2%</a:t>
                    </a:r>
                  </a:p>
                </c:rich>
              </c:tx>
              <c:showLegendKey val="0"/>
              <c:showVal val="1"/>
              <c:showCatName val="1"/>
              <c:showSerName val="0"/>
              <c:showPercent val="1"/>
              <c:showBubbleSize val="0"/>
            </c:dLbl>
            <c:spPr>
              <a:solidFill>
                <a:schemeClr val="bg1"/>
              </a:solidFill>
            </c:spPr>
            <c:txPr>
              <a:bodyPr/>
              <a:lstStyle/>
              <a:p>
                <a:pPr>
                  <a:defRPr sz="1200" b="1"/>
                </a:pPr>
                <a:endParaRPr lang="ja-JP"/>
              </a:p>
            </c:txPr>
            <c:showLegendKey val="0"/>
            <c:showVal val="1"/>
            <c:showCatName val="1"/>
            <c:showSerName val="0"/>
            <c:showPercent val="1"/>
            <c:showBubbleSize val="0"/>
            <c:showLeaderLines val="1"/>
          </c:dLbls>
          <c:cat>
            <c:strRef>
              <c:f>Sheet1!$A$2:$A$7</c:f>
              <c:strCache>
                <c:ptCount val="6"/>
                <c:pt idx="0">
                  <c:v>できるだけ参加する</c:v>
                </c:pt>
                <c:pt idx="1">
                  <c:v>関心のあるものには参加する</c:v>
                </c:pt>
                <c:pt idx="2">
                  <c:v>誘われれば参加する</c:v>
                </c:pt>
                <c:pt idx="3">
                  <c:v>当番の仕事はするが、
それ以外はあまり（ほとんど）
参加しない</c:v>
                </c:pt>
                <c:pt idx="4">
                  <c:v>参加しない</c:v>
                </c:pt>
                <c:pt idx="5">
                  <c:v>無回答</c:v>
                </c:pt>
              </c:strCache>
            </c:strRef>
          </c:cat>
          <c:val>
            <c:numRef>
              <c:f>Sheet1!$B$2:$B$7</c:f>
              <c:numCache>
                <c:formatCode>0.0_ </c:formatCode>
                <c:ptCount val="6"/>
                <c:pt idx="0">
                  <c:v>17.7</c:v>
                </c:pt>
                <c:pt idx="1">
                  <c:v>17.2</c:v>
                </c:pt>
                <c:pt idx="2">
                  <c:v>13</c:v>
                </c:pt>
                <c:pt idx="3">
                  <c:v>31.1</c:v>
                </c:pt>
                <c:pt idx="4">
                  <c:v>19.899999999999999</c:v>
                </c:pt>
                <c:pt idx="5">
                  <c:v>1.2</c:v>
                </c:pt>
              </c:numCache>
            </c:numRef>
          </c:val>
        </c:ser>
        <c:dLbls>
          <c:showLegendKey val="0"/>
          <c:showVal val="0"/>
          <c:showCatName val="1"/>
          <c:showSerName val="0"/>
          <c:showPercent val="1"/>
          <c:showBubbleSize val="0"/>
          <c:showLeaderLines val="1"/>
        </c:dLbls>
        <c:firstSliceAng val="0"/>
        <c:holeSize val="30"/>
      </c:doughnutChart>
    </c:plotArea>
    <c:plotVisOnly val="1"/>
    <c:dispBlanksAs val="gap"/>
    <c:showDLblsOverMax val="0"/>
  </c:chart>
  <c:txPr>
    <a:bodyPr/>
    <a:lstStyle/>
    <a:p>
      <a:pPr>
        <a:defRPr>
          <a:latin typeface="+mj-ea"/>
          <a:ea typeface="+mj-ea"/>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87561560227966E-2"/>
          <c:y val="2.5752773375594295E-2"/>
          <c:w val="0.92740865264566674"/>
          <c:h val="0.64102986025121056"/>
        </c:manualLayout>
      </c:layout>
      <c:barChart>
        <c:barDir val="col"/>
        <c:grouping val="stacked"/>
        <c:varyColors val="0"/>
        <c:ser>
          <c:idx val="0"/>
          <c:order val="0"/>
          <c:tx>
            <c:strRef>
              <c:f>Sheet1!$B$1</c:f>
              <c:strCache>
                <c:ptCount val="1"/>
                <c:pt idx="0">
                  <c:v>売上高</c:v>
                </c:pt>
              </c:strCache>
            </c:strRef>
          </c:tx>
          <c:spPr>
            <a:solidFill>
              <a:schemeClr val="accent3"/>
            </a:solidFill>
            <a:ln>
              <a:solidFill>
                <a:schemeClr val="tx1">
                  <a:lumMod val="85000"/>
                  <a:lumOff val="15000"/>
                </a:scheme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Lbls>
            <c:dLbl>
              <c:idx val="4"/>
              <c:layout>
                <c:manualLayout>
                  <c:x val="0"/>
                  <c:y val="-4.2730729114094486E-2"/>
                </c:manualLayout>
              </c:layout>
              <c:showLegendKey val="0"/>
              <c:showVal val="1"/>
              <c:showCatName val="0"/>
              <c:showSerName val="0"/>
              <c:showPercent val="0"/>
              <c:showBubbleSize val="0"/>
            </c:dLbl>
            <c:dLbl>
              <c:idx val="5"/>
              <c:layout>
                <c:manualLayout>
                  <c:x val="0"/>
                  <c:y val="-4.2730729114094486E-2"/>
                </c:manualLayout>
              </c:layout>
              <c:showLegendKey val="0"/>
              <c:showVal val="1"/>
              <c:showCatName val="0"/>
              <c:showSerName val="0"/>
              <c:showPercent val="0"/>
              <c:showBubbleSize val="0"/>
            </c:dLbl>
            <c:dLbl>
              <c:idx val="6"/>
              <c:layout>
                <c:manualLayout>
                  <c:x val="0"/>
                  <c:y val="-3.866113586513311E-2"/>
                </c:manualLayout>
              </c:layout>
              <c:showLegendKey val="0"/>
              <c:showVal val="1"/>
              <c:showCatName val="0"/>
              <c:showSerName val="0"/>
              <c:showPercent val="0"/>
              <c:showBubbleSize val="0"/>
            </c:dLbl>
            <c:dLbl>
              <c:idx val="7"/>
              <c:layout>
                <c:manualLayout>
                  <c:x val="-5.3016823488341508E-17"/>
                  <c:y val="-6.714828860786265E-2"/>
                </c:manualLayout>
              </c:layout>
              <c:showLegendKey val="0"/>
              <c:showVal val="1"/>
              <c:showCatName val="0"/>
              <c:showSerName val="0"/>
              <c:showPercent val="0"/>
              <c:showBubbleSize val="0"/>
            </c:dLbl>
            <c:dLbl>
              <c:idx val="8"/>
              <c:layout>
                <c:manualLayout>
                  <c:x val="0"/>
                  <c:y val="-6.9183085232343414E-2"/>
                </c:manualLayout>
              </c:layout>
              <c:showLegendKey val="0"/>
              <c:showVal val="1"/>
              <c:showCatName val="0"/>
              <c:showSerName val="0"/>
              <c:showPercent val="0"/>
              <c:showBubbleSize val="0"/>
            </c:dLbl>
            <c:dLbl>
              <c:idx val="9"/>
              <c:layout>
                <c:manualLayout>
                  <c:x val="0"/>
                  <c:y val="-3.2556745991690977E-2"/>
                </c:manualLayout>
              </c:layout>
              <c:showLegendKey val="0"/>
              <c:showVal val="1"/>
              <c:showCatName val="0"/>
              <c:showSerName val="0"/>
              <c:showPercent val="0"/>
              <c:showBubbleSize val="0"/>
            </c:dLbl>
            <c:dLbl>
              <c:idx val="10"/>
              <c:layout>
                <c:manualLayout>
                  <c:x val="0"/>
                  <c:y val="-3.4591542616171742E-2"/>
                </c:manualLayout>
              </c:layout>
              <c:showLegendKey val="0"/>
              <c:showVal val="1"/>
              <c:showCatName val="0"/>
              <c:showSerName val="0"/>
              <c:showPercent val="0"/>
              <c:showBubbleSize val="0"/>
            </c:dLbl>
            <c:dLbl>
              <c:idx val="11"/>
              <c:layout>
                <c:manualLayout>
                  <c:x val="0"/>
                  <c:y val="0"/>
                </c:manualLayout>
              </c:layout>
              <c:showLegendKey val="0"/>
              <c:showVal val="1"/>
              <c:showCatName val="0"/>
              <c:showSerName val="0"/>
              <c:showPercent val="0"/>
              <c:showBubbleSize val="0"/>
            </c:dLbl>
            <c:dLbl>
              <c:idx val="15"/>
              <c:layout>
                <c:manualLayout>
                  <c:x val="1.4459300711784694E-3"/>
                  <c:y val="-3.6626339240652353E-2"/>
                </c:manualLayout>
              </c:layout>
              <c:showLegendKey val="0"/>
              <c:showVal val="1"/>
              <c:showCatName val="0"/>
              <c:showSerName val="0"/>
              <c:showPercent val="0"/>
              <c:showBubbleSize val="0"/>
            </c:dLbl>
            <c:spPr>
              <a:solidFill>
                <a:schemeClr val="bg1"/>
              </a:solidFill>
              <a:ln>
                <a:solidFill>
                  <a:schemeClr val="tx1"/>
                </a:solidFill>
              </a:ln>
            </c:spPr>
            <c:txPr>
              <a:bodyPr/>
              <a:lstStyle/>
              <a:p>
                <a:pPr>
                  <a:defRPr b="1"/>
                </a:pPr>
                <a:endParaRPr lang="ja-JP"/>
              </a:p>
            </c:txPr>
            <c:showLegendKey val="0"/>
            <c:showVal val="1"/>
            <c:showCatName val="0"/>
            <c:showSerName val="0"/>
            <c:showPercent val="0"/>
            <c:showBubbleSize val="0"/>
            <c:showLeaderLines val="0"/>
          </c:dLbls>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Sheet1!$B$2:$B$17</c:f>
              <c:numCache>
                <c:formatCode>0.0_ </c:formatCode>
                <c:ptCount val="16"/>
                <c:pt idx="0">
                  <c:v>25.1</c:v>
                </c:pt>
                <c:pt idx="1">
                  <c:v>74.900000000000006</c:v>
                </c:pt>
                <c:pt idx="2">
                  <c:v>47.8</c:v>
                </c:pt>
                <c:pt idx="3">
                  <c:v>23.5</c:v>
                </c:pt>
                <c:pt idx="4">
                  <c:v>5.7</c:v>
                </c:pt>
                <c:pt idx="5">
                  <c:v>2.9</c:v>
                </c:pt>
                <c:pt idx="6">
                  <c:v>3.5</c:v>
                </c:pt>
                <c:pt idx="7">
                  <c:v>10.4</c:v>
                </c:pt>
                <c:pt idx="8">
                  <c:v>11.9</c:v>
                </c:pt>
                <c:pt idx="9">
                  <c:v>3.3</c:v>
                </c:pt>
                <c:pt idx="10">
                  <c:v>2.8</c:v>
                </c:pt>
                <c:pt idx="11">
                  <c:v>9.6999999999999993</c:v>
                </c:pt>
                <c:pt idx="12">
                  <c:v>20.6</c:v>
                </c:pt>
                <c:pt idx="13">
                  <c:v>29.1</c:v>
                </c:pt>
                <c:pt idx="14">
                  <c:v>11</c:v>
                </c:pt>
                <c:pt idx="15">
                  <c:v>3.8</c:v>
                </c:pt>
              </c:numCache>
            </c:numRef>
          </c:val>
        </c:ser>
        <c:dLbls>
          <c:showLegendKey val="0"/>
          <c:showVal val="1"/>
          <c:showCatName val="0"/>
          <c:showSerName val="0"/>
          <c:showPercent val="0"/>
          <c:showBubbleSize val="0"/>
        </c:dLbls>
        <c:gapWidth val="75"/>
        <c:overlap val="100"/>
        <c:serLines>
          <c:spPr>
            <a:ln>
              <a:noFill/>
              <a:prstDash val="sysDot"/>
            </a:ln>
          </c:spPr>
        </c:serLines>
        <c:axId val="233481216"/>
        <c:axId val="225180416"/>
      </c:barChart>
      <c:catAx>
        <c:axId val="233481216"/>
        <c:scaling>
          <c:orientation val="minMax"/>
        </c:scaling>
        <c:delete val="0"/>
        <c:axPos val="b"/>
        <c:majorTickMark val="none"/>
        <c:minorTickMark val="none"/>
        <c:tickLblPos val="nextTo"/>
        <c:txPr>
          <a:bodyPr rot="0" vert="eaVert"/>
          <a:lstStyle/>
          <a:p>
            <a:pPr>
              <a:defRPr sz="900"/>
            </a:pPr>
            <a:endParaRPr lang="ja-JP"/>
          </a:p>
        </c:txPr>
        <c:crossAx val="225180416"/>
        <c:crosses val="autoZero"/>
        <c:auto val="1"/>
        <c:lblAlgn val="ctr"/>
        <c:lblOffset val="100"/>
        <c:noMultiLvlLbl val="0"/>
      </c:catAx>
      <c:valAx>
        <c:axId val="225180416"/>
        <c:scaling>
          <c:orientation val="minMax"/>
        </c:scaling>
        <c:delete val="0"/>
        <c:axPos val="l"/>
        <c:majorGridlines/>
        <c:numFmt formatCode="0_ " sourceLinked="0"/>
        <c:majorTickMark val="none"/>
        <c:minorTickMark val="none"/>
        <c:tickLblPos val="nextTo"/>
        <c:crossAx val="233481216"/>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問3.
知っている人権問題</c:v>
                </c:pt>
              </c:strCache>
            </c:strRef>
          </c:tx>
          <c:spPr>
            <a:solidFill>
              <a:schemeClr val="accent3"/>
            </a:solidFill>
            <a:ln>
              <a:solidFill>
                <a:schemeClr val="tx1">
                  <a:lumMod val="50000"/>
                  <a:lumOff val="50000"/>
                </a:schemeClr>
              </a:solidFill>
            </a:ln>
          </c:spPr>
          <c:invertIfNegative val="0"/>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Sheet1!$B$2:$B$17</c:f>
              <c:numCache>
                <c:formatCode>0.0_);[Red]\(0.0\)</c:formatCode>
                <c:ptCount val="16"/>
                <c:pt idx="0">
                  <c:v>77</c:v>
                </c:pt>
                <c:pt idx="1">
                  <c:v>85.3</c:v>
                </c:pt>
                <c:pt idx="2">
                  <c:v>80.099999999999994</c:v>
                </c:pt>
                <c:pt idx="3">
                  <c:v>75.599999999999994</c:v>
                </c:pt>
                <c:pt idx="4">
                  <c:v>74.2</c:v>
                </c:pt>
                <c:pt idx="5">
                  <c:v>53.2</c:v>
                </c:pt>
                <c:pt idx="6">
                  <c:v>61.8</c:v>
                </c:pt>
                <c:pt idx="7">
                  <c:v>55.7</c:v>
                </c:pt>
                <c:pt idx="8">
                  <c:v>56</c:v>
                </c:pt>
                <c:pt idx="9">
                  <c:v>51</c:v>
                </c:pt>
                <c:pt idx="10">
                  <c:v>43.3</c:v>
                </c:pt>
                <c:pt idx="11">
                  <c:v>57.3</c:v>
                </c:pt>
                <c:pt idx="12">
                  <c:v>76.2</c:v>
                </c:pt>
                <c:pt idx="13">
                  <c:v>64.099999999999994</c:v>
                </c:pt>
                <c:pt idx="14">
                  <c:v>58</c:v>
                </c:pt>
                <c:pt idx="15">
                  <c:v>9.4</c:v>
                </c:pt>
              </c:numCache>
            </c:numRef>
          </c:val>
        </c:ser>
        <c:ser>
          <c:idx val="1"/>
          <c:order val="1"/>
          <c:tx>
            <c:strRef>
              <c:f>Sheet1!$C$1</c:f>
              <c:strCache>
                <c:ptCount val="1"/>
                <c:pt idx="0">
                  <c:v>問3－1
急いで対応すべきもの</c:v>
                </c:pt>
              </c:strCache>
            </c:strRef>
          </c:tx>
          <c:spPr>
            <a:pattFill prst="wdUpDiag">
              <a:fgClr>
                <a:schemeClr val="bg1">
                  <a:lumMod val="50000"/>
                </a:schemeClr>
              </a:fgClr>
              <a:bgClr>
                <a:schemeClr val="bg1"/>
              </a:bgClr>
            </a:pattFill>
            <a:ln>
              <a:solidFill>
                <a:schemeClr val="tx1">
                  <a:lumMod val="50000"/>
                  <a:lumOff val="50000"/>
                </a:schemeClr>
              </a:solidFill>
            </a:ln>
          </c:spPr>
          <c:invertIfNegative val="0"/>
          <c:cat>
            <c:strRef>
              <c:f>Sheet1!$A$2:$A$17</c:f>
              <c:strCache>
                <c:ptCount val="16"/>
                <c:pt idx="0">
                  <c:v>女性の人権問題</c:v>
                </c:pt>
                <c:pt idx="1">
                  <c:v>子どもの人権問題</c:v>
                </c:pt>
                <c:pt idx="2">
                  <c:v>高齢者の人権問題</c:v>
                </c:pt>
                <c:pt idx="3">
                  <c:v>障がい者の人権問題</c:v>
                </c:pt>
                <c:pt idx="4">
                  <c:v>同和問題</c:v>
                </c:pt>
                <c:pt idx="5">
                  <c:v>外国人の人権問題</c:v>
                </c:pt>
                <c:pt idx="6">
                  <c:v>HIV感染者やハンセン病回復者の
人権問題</c:v>
                </c:pt>
                <c:pt idx="7">
                  <c:v>こころの病に関する人権問題</c:v>
                </c:pt>
                <c:pt idx="8">
                  <c:v>犯罪被害者の人権問題</c:v>
                </c:pt>
                <c:pt idx="9">
                  <c:v>ホームレスの人権問題</c:v>
                </c:pt>
                <c:pt idx="10">
                  <c:v>性的マイノリティの人権問題</c:v>
                </c:pt>
                <c:pt idx="11">
                  <c:v>職業や雇用をめぐる人権問題</c:v>
                </c:pt>
                <c:pt idx="12">
                  <c:v>セクシャルハラスメント、
パワーハラスメント</c:v>
                </c:pt>
                <c:pt idx="13">
                  <c:v>インターネットによる人権侵害</c:v>
                </c:pt>
                <c:pt idx="14">
                  <c:v>ヘイトスピーチ</c:v>
                </c:pt>
                <c:pt idx="15">
                  <c:v>無回答・不明</c:v>
                </c:pt>
              </c:strCache>
            </c:strRef>
          </c:cat>
          <c:val>
            <c:numRef>
              <c:f>Sheet1!$C$2:$C$17</c:f>
              <c:numCache>
                <c:formatCode>0.0_);[Red]\(0.0\)</c:formatCode>
                <c:ptCount val="16"/>
                <c:pt idx="0">
                  <c:v>25.1</c:v>
                </c:pt>
                <c:pt idx="1">
                  <c:v>74.900000000000006</c:v>
                </c:pt>
                <c:pt idx="2">
                  <c:v>47.8</c:v>
                </c:pt>
                <c:pt idx="3">
                  <c:v>23.5</c:v>
                </c:pt>
                <c:pt idx="4">
                  <c:v>5.7</c:v>
                </c:pt>
                <c:pt idx="5">
                  <c:v>2.9</c:v>
                </c:pt>
                <c:pt idx="6">
                  <c:v>3.5</c:v>
                </c:pt>
                <c:pt idx="7">
                  <c:v>10.4</c:v>
                </c:pt>
                <c:pt idx="8">
                  <c:v>11.9</c:v>
                </c:pt>
                <c:pt idx="9">
                  <c:v>3.3</c:v>
                </c:pt>
                <c:pt idx="10">
                  <c:v>2.8</c:v>
                </c:pt>
                <c:pt idx="11">
                  <c:v>9.6999999999999993</c:v>
                </c:pt>
                <c:pt idx="12">
                  <c:v>20.6</c:v>
                </c:pt>
                <c:pt idx="13">
                  <c:v>29.1</c:v>
                </c:pt>
                <c:pt idx="14">
                  <c:v>11</c:v>
                </c:pt>
                <c:pt idx="15">
                  <c:v>3.8</c:v>
                </c:pt>
              </c:numCache>
            </c:numRef>
          </c:val>
        </c:ser>
        <c:dLbls>
          <c:showLegendKey val="0"/>
          <c:showVal val="0"/>
          <c:showCatName val="0"/>
          <c:showSerName val="0"/>
          <c:showPercent val="0"/>
          <c:showBubbleSize val="0"/>
        </c:dLbls>
        <c:gapWidth val="150"/>
        <c:axId val="226162688"/>
        <c:axId val="226764480"/>
      </c:barChart>
      <c:catAx>
        <c:axId val="226162688"/>
        <c:scaling>
          <c:orientation val="minMax"/>
        </c:scaling>
        <c:delete val="0"/>
        <c:axPos val="b"/>
        <c:majorTickMark val="out"/>
        <c:minorTickMark val="none"/>
        <c:tickLblPos val="nextTo"/>
        <c:txPr>
          <a:bodyPr rot="0" vert="eaVert"/>
          <a:lstStyle/>
          <a:p>
            <a:pPr>
              <a:defRPr/>
            </a:pPr>
            <a:endParaRPr lang="ja-JP"/>
          </a:p>
        </c:txPr>
        <c:crossAx val="226764480"/>
        <c:crosses val="autoZero"/>
        <c:auto val="1"/>
        <c:lblAlgn val="ctr"/>
        <c:lblOffset val="100"/>
        <c:noMultiLvlLbl val="0"/>
      </c:catAx>
      <c:valAx>
        <c:axId val="226764480"/>
        <c:scaling>
          <c:orientation val="minMax"/>
        </c:scaling>
        <c:delete val="0"/>
        <c:axPos val="l"/>
        <c:majorGridlines/>
        <c:numFmt formatCode="#,##0_);[Red]\(#,##0\)" sourceLinked="0"/>
        <c:majorTickMark val="out"/>
        <c:minorTickMark val="none"/>
        <c:tickLblPos val="nextTo"/>
        <c:crossAx val="226162688"/>
        <c:crosses val="autoZero"/>
        <c:crossBetween val="between"/>
      </c:valAx>
    </c:plotArea>
    <c:legend>
      <c:legendPos val="r"/>
      <c:layout>
        <c:manualLayout>
          <c:xMode val="edge"/>
          <c:yMode val="edge"/>
          <c:x val="0.77222807846144925"/>
          <c:y val="3.2665182666497386E-2"/>
          <c:w val="0.21801189352588257"/>
          <c:h val="0.11621096875126297"/>
        </c:manualLayout>
      </c:layout>
      <c:overlay val="1"/>
      <c:spPr>
        <a:solidFill>
          <a:schemeClr val="bg1"/>
        </a:solidFill>
        <a:ln w="12700" cmpd="dbl">
          <a:solidFill>
            <a:schemeClr val="tx1"/>
          </a:solidFill>
        </a:ln>
      </c:spPr>
    </c:legend>
    <c:plotVisOnly val="1"/>
    <c:dispBlanksAs val="gap"/>
    <c:showDLblsOverMax val="0"/>
  </c:chart>
  <c:txPr>
    <a:bodyPr/>
    <a:lstStyle/>
    <a:p>
      <a:pPr>
        <a:defRPr sz="900">
          <a:solidFill>
            <a:sysClr val="windowText" lastClr="000000"/>
          </a:solidFill>
          <a:latin typeface="+mj-ea"/>
          <a:ea typeface="+mj-ea"/>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1"/>
          <c:order val="0"/>
          <c:tx>
            <c:strRef>
              <c:f>Sheet1!$C$1</c:f>
              <c:strCache>
                <c:ptCount val="1"/>
                <c:pt idx="0">
                  <c:v>列1</c:v>
                </c:pt>
              </c:strCache>
            </c:strRef>
          </c:tx>
          <c:spPr>
            <a:solidFill>
              <a:schemeClr val="accent3"/>
            </a:solidFill>
          </c:spPr>
          <c:invertIfNegative val="0"/>
          <c:dLbls>
            <c:dLbl>
              <c:idx val="0"/>
              <c:layout>
                <c:manualLayout>
                  <c:x val="2.6732239124698087E-2"/>
                  <c:y val="0"/>
                </c:manualLayout>
              </c:layout>
              <c:showLegendKey val="0"/>
              <c:showVal val="1"/>
              <c:showCatName val="0"/>
              <c:showSerName val="0"/>
              <c:showPercent val="0"/>
              <c:showBubbleSize val="0"/>
            </c:dLbl>
            <c:dLbl>
              <c:idx val="1"/>
              <c:layout>
                <c:manualLayout>
                  <c:x val="3.7987918756149937E-2"/>
                  <c:y val="2.2068350024188302E-3"/>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Sheet1!$A$2:$A$10</c:f>
              <c:strCache>
                <c:ptCount val="9"/>
                <c:pt idx="0">
                  <c:v>無回答・不明</c:v>
                </c:pt>
                <c:pt idx="1">
                  <c:v>その他</c:v>
                </c:pt>
                <c:pt idx="2">
                  <c:v>職場・地域での研修</c:v>
                </c:pt>
                <c:pt idx="3">
                  <c:v>学校教育</c:v>
                </c:pt>
                <c:pt idx="4">
                  <c:v>インターネット</c:v>
                </c:pt>
                <c:pt idx="5">
                  <c:v>新聞・TV・ラジオ</c:v>
                </c:pt>
                <c:pt idx="6">
                  <c:v>広報紙・誌</c:v>
                </c:pt>
                <c:pt idx="7">
                  <c:v>友人・知人</c:v>
                </c:pt>
                <c:pt idx="8">
                  <c:v>家族</c:v>
                </c:pt>
              </c:strCache>
            </c:strRef>
          </c:cat>
          <c:val>
            <c:numRef>
              <c:f>Sheet1!$B$2:$B$10</c:f>
              <c:numCache>
                <c:formatCode>0.0_ </c:formatCode>
                <c:ptCount val="9"/>
                <c:pt idx="0">
                  <c:v>1.3</c:v>
                </c:pt>
                <c:pt idx="1">
                  <c:v>3.2</c:v>
                </c:pt>
                <c:pt idx="2">
                  <c:v>27.2</c:v>
                </c:pt>
                <c:pt idx="3">
                  <c:v>34.200000000000003</c:v>
                </c:pt>
                <c:pt idx="4">
                  <c:v>24.9</c:v>
                </c:pt>
                <c:pt idx="5">
                  <c:v>84.2</c:v>
                </c:pt>
                <c:pt idx="6">
                  <c:v>25.9</c:v>
                </c:pt>
                <c:pt idx="7">
                  <c:v>23</c:v>
                </c:pt>
                <c:pt idx="8">
                  <c:v>22.6</c:v>
                </c:pt>
              </c:numCache>
            </c:numRef>
          </c:val>
        </c:ser>
        <c:ser>
          <c:idx val="2"/>
          <c:order val="1"/>
          <c:tx>
            <c:strRef>
              <c:f>Sheet1!$D$1</c:f>
              <c:strCache>
                <c:ptCount val="1"/>
                <c:pt idx="0">
                  <c:v>列2</c:v>
                </c:pt>
              </c:strCache>
            </c:strRef>
          </c:tx>
          <c:invertIfNegative val="0"/>
          <c:cat>
            <c:strRef>
              <c:f>Sheet1!$A$2:$A$10</c:f>
              <c:strCache>
                <c:ptCount val="9"/>
                <c:pt idx="0">
                  <c:v>無回答・不明</c:v>
                </c:pt>
                <c:pt idx="1">
                  <c:v>その他</c:v>
                </c:pt>
                <c:pt idx="2">
                  <c:v>職場・地域での研修</c:v>
                </c:pt>
                <c:pt idx="3">
                  <c:v>学校教育</c:v>
                </c:pt>
                <c:pt idx="4">
                  <c:v>インターネット</c:v>
                </c:pt>
                <c:pt idx="5">
                  <c:v>新聞・TV・ラジオ</c:v>
                </c:pt>
                <c:pt idx="6">
                  <c:v>広報紙・誌</c:v>
                </c:pt>
                <c:pt idx="7">
                  <c:v>友人・知人</c:v>
                </c:pt>
                <c:pt idx="8">
                  <c:v>家族</c:v>
                </c:pt>
              </c:strCache>
            </c:strRef>
          </c:cat>
          <c:val>
            <c:numRef>
              <c:f>Sheet1!$D$2:$D$10</c:f>
              <c:numCache>
                <c:formatCode>General</c:formatCode>
                <c:ptCount val="9"/>
              </c:numCache>
            </c:numRef>
          </c:val>
        </c:ser>
        <c:dLbls>
          <c:showLegendKey val="0"/>
          <c:showVal val="1"/>
          <c:showCatName val="0"/>
          <c:showSerName val="0"/>
          <c:showPercent val="0"/>
          <c:showBubbleSize val="0"/>
        </c:dLbls>
        <c:gapWidth val="75"/>
        <c:overlap val="100"/>
        <c:axId val="232210432"/>
        <c:axId val="226766784"/>
      </c:barChart>
      <c:valAx>
        <c:axId val="226766784"/>
        <c:scaling>
          <c:orientation val="minMax"/>
        </c:scaling>
        <c:delete val="0"/>
        <c:axPos val="b"/>
        <c:majorGridlines/>
        <c:numFmt formatCode="0_ " sourceLinked="0"/>
        <c:majorTickMark val="none"/>
        <c:minorTickMark val="none"/>
        <c:tickLblPos val="high"/>
        <c:crossAx val="232210432"/>
        <c:crosses val="autoZero"/>
        <c:crossBetween val="between"/>
      </c:valAx>
      <c:catAx>
        <c:axId val="232210432"/>
        <c:scaling>
          <c:orientation val="minMax"/>
        </c:scaling>
        <c:delete val="0"/>
        <c:axPos val="l"/>
        <c:majorTickMark val="none"/>
        <c:minorTickMark val="none"/>
        <c:tickLblPos val="nextTo"/>
        <c:crossAx val="226766784"/>
        <c:crosses val="autoZero"/>
        <c:auto val="1"/>
        <c:lblAlgn val="ctr"/>
        <c:lblOffset val="100"/>
        <c:noMultiLvlLbl val="0"/>
      </c:cat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系列 1</c:v>
                </c:pt>
              </c:strCache>
            </c:strRef>
          </c:tx>
          <c:spPr>
            <a:solidFill>
              <a:schemeClr val="accent3">
                <a:lumMod val="60000"/>
                <a:lumOff val="40000"/>
              </a:schemeClr>
            </a:solidFill>
            <a:ln>
              <a:solidFill>
                <a:schemeClr val="tx1">
                  <a:lumMod val="50000"/>
                  <a:lumOff val="50000"/>
                </a:schemeClr>
              </a:solidFill>
            </a:ln>
          </c:spPr>
          <c:invertIfNegative val="0"/>
          <c:dLbls>
            <c:spPr>
              <a:solidFill>
                <a:schemeClr val="bg1"/>
              </a:solidFill>
            </c:spPr>
            <c:txPr>
              <a:bodyPr/>
              <a:lstStyle/>
              <a:p>
                <a:pPr>
                  <a:defRPr>
                    <a:latin typeface="+mj-ea"/>
                    <a:ea typeface="+mj-ea"/>
                  </a:defRPr>
                </a:pPr>
                <a:endParaRPr lang="ja-JP"/>
              </a:p>
            </c:txPr>
            <c:dLblPos val="ctr"/>
            <c:showLegendKey val="0"/>
            <c:showVal val="1"/>
            <c:showCatName val="0"/>
            <c:showSerName val="0"/>
            <c:showPercent val="0"/>
            <c:showBubbleSize val="0"/>
            <c:showLeaderLines val="0"/>
          </c:dLbls>
          <c:cat>
            <c:strRef>
              <c:f>Sheet1!$A$2:$A$6</c:f>
              <c:strCache>
                <c:ptCount val="5"/>
                <c:pt idx="0">
                  <c:v>無回答</c:v>
                </c:pt>
                <c:pt idx="1">
                  <c:v>大学</c:v>
                </c:pt>
                <c:pt idx="2">
                  <c:v>高校</c:v>
                </c:pt>
                <c:pt idx="3">
                  <c:v>中学校</c:v>
                </c:pt>
                <c:pt idx="4">
                  <c:v>小学校</c:v>
                </c:pt>
              </c:strCache>
            </c:strRef>
          </c:cat>
          <c:val>
            <c:numRef>
              <c:f>Sheet1!$B$2:$B$6</c:f>
              <c:numCache>
                <c:formatCode>General</c:formatCode>
                <c:ptCount val="5"/>
                <c:pt idx="0">
                  <c:v>29.1</c:v>
                </c:pt>
                <c:pt idx="1">
                  <c:v>12.9</c:v>
                </c:pt>
                <c:pt idx="2">
                  <c:v>22.2</c:v>
                </c:pt>
                <c:pt idx="3">
                  <c:v>46.1</c:v>
                </c:pt>
                <c:pt idx="4">
                  <c:v>48.1</c:v>
                </c:pt>
              </c:numCache>
            </c:numRef>
          </c:val>
        </c:ser>
        <c:dLbls>
          <c:showLegendKey val="0"/>
          <c:showVal val="0"/>
          <c:showCatName val="0"/>
          <c:showSerName val="0"/>
          <c:showPercent val="0"/>
          <c:showBubbleSize val="0"/>
        </c:dLbls>
        <c:gapWidth val="150"/>
        <c:axId val="234988544"/>
        <c:axId val="226769088"/>
      </c:barChart>
      <c:catAx>
        <c:axId val="234988544"/>
        <c:scaling>
          <c:orientation val="minMax"/>
        </c:scaling>
        <c:delete val="0"/>
        <c:axPos val="l"/>
        <c:majorTickMark val="out"/>
        <c:minorTickMark val="none"/>
        <c:tickLblPos val="nextTo"/>
        <c:crossAx val="226769088"/>
        <c:crosses val="autoZero"/>
        <c:auto val="1"/>
        <c:lblAlgn val="ctr"/>
        <c:lblOffset val="100"/>
        <c:noMultiLvlLbl val="0"/>
      </c:catAx>
      <c:valAx>
        <c:axId val="226769088"/>
        <c:scaling>
          <c:orientation val="minMax"/>
        </c:scaling>
        <c:delete val="0"/>
        <c:axPos val="b"/>
        <c:majorGridlines/>
        <c:numFmt formatCode="General" sourceLinked="1"/>
        <c:majorTickMark val="out"/>
        <c:minorTickMark val="none"/>
        <c:tickLblPos val="high"/>
        <c:crossAx val="2349885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78667087832002E-2"/>
          <c:y val="2.1227325357005018E-2"/>
          <c:w val="0.86270331405456224"/>
          <c:h val="0.73991025870897742"/>
        </c:manualLayout>
      </c:layout>
      <c:barChart>
        <c:barDir val="col"/>
        <c:grouping val="percentStacked"/>
        <c:varyColors val="0"/>
        <c:ser>
          <c:idx val="0"/>
          <c:order val="0"/>
          <c:tx>
            <c:strRef>
              <c:f>Sheet1!$B$1</c:f>
              <c:strCache>
                <c:ptCount val="1"/>
                <c:pt idx="0">
                  <c:v>知らない</c:v>
                </c:pt>
              </c:strCache>
            </c:strRef>
          </c:tx>
          <c:spPr>
            <a:pattFill prst="smGrid">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Sheet1!$B$2:$B$10</c:f>
              <c:numCache>
                <c:formatCode>0.0_ </c:formatCode>
                <c:ptCount val="9"/>
                <c:pt idx="0">
                  <c:v>23.4</c:v>
                </c:pt>
                <c:pt idx="1">
                  <c:v>14.1</c:v>
                </c:pt>
                <c:pt idx="2">
                  <c:v>38.299999999999997</c:v>
                </c:pt>
                <c:pt idx="3">
                  <c:v>34.200000000000003</c:v>
                </c:pt>
                <c:pt idx="4">
                  <c:v>44.8</c:v>
                </c:pt>
                <c:pt idx="5">
                  <c:v>38.799999999999997</c:v>
                </c:pt>
                <c:pt idx="6">
                  <c:v>36.4</c:v>
                </c:pt>
                <c:pt idx="7">
                  <c:v>34.299999999999997</c:v>
                </c:pt>
                <c:pt idx="8">
                  <c:v>73.900000000000006</c:v>
                </c:pt>
              </c:numCache>
            </c:numRef>
          </c:val>
        </c:ser>
        <c:ser>
          <c:idx val="1"/>
          <c:order val="1"/>
          <c:tx>
            <c:strRef>
              <c:f>Sheet1!$C$1</c:f>
              <c:strCache>
                <c:ptCount val="1"/>
                <c:pt idx="0">
                  <c:v>知っているが
利用・参加した
ことはない</c:v>
                </c:pt>
              </c:strCache>
            </c:strRef>
          </c:tx>
          <c:spPr>
            <a:pattFill prst="zigZag">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Sheet1!$C$2:$C$10</c:f>
              <c:numCache>
                <c:formatCode>0.0_ </c:formatCode>
                <c:ptCount val="9"/>
                <c:pt idx="0">
                  <c:v>49.9</c:v>
                </c:pt>
                <c:pt idx="1">
                  <c:v>54.6</c:v>
                </c:pt>
                <c:pt idx="2">
                  <c:v>30.8</c:v>
                </c:pt>
                <c:pt idx="3">
                  <c:v>34.299999999999997</c:v>
                </c:pt>
                <c:pt idx="4">
                  <c:v>27.4</c:v>
                </c:pt>
                <c:pt idx="5">
                  <c:v>39.799999999999997</c:v>
                </c:pt>
                <c:pt idx="6">
                  <c:v>38.700000000000003</c:v>
                </c:pt>
                <c:pt idx="7">
                  <c:v>50.8</c:v>
                </c:pt>
                <c:pt idx="8">
                  <c:v>13.8</c:v>
                </c:pt>
              </c:numCache>
            </c:numRef>
          </c:val>
        </c:ser>
        <c:ser>
          <c:idx val="2"/>
          <c:order val="2"/>
          <c:tx>
            <c:strRef>
              <c:f>Sheet1!$D$1</c:f>
              <c:strCache>
                <c:ptCount val="1"/>
                <c:pt idx="0">
                  <c:v>役に立った</c:v>
                </c:pt>
              </c:strCache>
            </c:strRef>
          </c:tx>
          <c:spPr>
            <a:pattFill prst="ltVert">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Sheet1!$D$2:$D$10</c:f>
              <c:numCache>
                <c:formatCode>0.0_ </c:formatCode>
                <c:ptCount val="9"/>
                <c:pt idx="0">
                  <c:v>9.1</c:v>
                </c:pt>
                <c:pt idx="1">
                  <c:v>15.7</c:v>
                </c:pt>
                <c:pt idx="2">
                  <c:v>13.3</c:v>
                </c:pt>
                <c:pt idx="3">
                  <c:v>16.3</c:v>
                </c:pt>
                <c:pt idx="4">
                  <c:v>13</c:v>
                </c:pt>
                <c:pt idx="5">
                  <c:v>5.7</c:v>
                </c:pt>
                <c:pt idx="6">
                  <c:v>7.7</c:v>
                </c:pt>
                <c:pt idx="7">
                  <c:v>2.9</c:v>
                </c:pt>
                <c:pt idx="8">
                  <c:v>2.1</c:v>
                </c:pt>
              </c:numCache>
            </c:numRef>
          </c:val>
        </c:ser>
        <c:ser>
          <c:idx val="3"/>
          <c:order val="3"/>
          <c:tx>
            <c:strRef>
              <c:f>Sheet1!$E$1</c:f>
              <c:strCache>
                <c:ptCount val="1"/>
                <c:pt idx="0">
                  <c:v>役に立たなかった</c:v>
                </c:pt>
              </c:strCache>
            </c:strRef>
          </c:tx>
          <c:spPr>
            <a:pattFill prst="ltDnDiag">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Sheet1!$E$2:$E$10</c:f>
              <c:numCache>
                <c:formatCode>0.0_ </c:formatCode>
                <c:ptCount val="9"/>
                <c:pt idx="0">
                  <c:v>3.7</c:v>
                </c:pt>
                <c:pt idx="1">
                  <c:v>2.7</c:v>
                </c:pt>
                <c:pt idx="2">
                  <c:v>3.8</c:v>
                </c:pt>
                <c:pt idx="3">
                  <c:v>2.2999999999999998</c:v>
                </c:pt>
                <c:pt idx="4">
                  <c:v>2.5</c:v>
                </c:pt>
                <c:pt idx="5">
                  <c:v>2.7</c:v>
                </c:pt>
                <c:pt idx="6">
                  <c:v>3.1</c:v>
                </c:pt>
                <c:pt idx="7">
                  <c:v>1.7</c:v>
                </c:pt>
                <c:pt idx="8">
                  <c:v>1.3</c:v>
                </c:pt>
              </c:numCache>
            </c:numRef>
          </c:val>
        </c:ser>
        <c:ser>
          <c:idx val="4"/>
          <c:order val="4"/>
          <c:tx>
            <c:strRef>
              <c:f>Sheet1!$F$1</c:f>
              <c:strCache>
                <c:ptCount val="1"/>
                <c:pt idx="0">
                  <c:v>どちらとも
言えない</c:v>
                </c:pt>
              </c:strCache>
            </c:strRef>
          </c:tx>
          <c:spPr>
            <a:pattFill prst="pct50">
              <a:fgClr>
                <a:schemeClr val="bg1">
                  <a:lumMod val="65000"/>
                </a:schemeClr>
              </a:fgClr>
              <a:bgClr>
                <a:schemeClr val="bg1"/>
              </a:bgClr>
            </a:pattFill>
            <a:ln>
              <a:solidFill>
                <a:schemeClr val="tx1">
                  <a:lumMod val="85000"/>
                  <a:lumOff val="15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Sheet1!$F$2:$F$10</c:f>
              <c:numCache>
                <c:formatCode>0.0_ </c:formatCode>
                <c:ptCount val="9"/>
                <c:pt idx="0">
                  <c:v>9.6</c:v>
                </c:pt>
                <c:pt idx="1">
                  <c:v>9.4</c:v>
                </c:pt>
                <c:pt idx="2">
                  <c:v>7.4</c:v>
                </c:pt>
                <c:pt idx="3">
                  <c:v>6.8</c:v>
                </c:pt>
                <c:pt idx="4">
                  <c:v>5.7</c:v>
                </c:pt>
                <c:pt idx="5">
                  <c:v>6.9</c:v>
                </c:pt>
                <c:pt idx="6">
                  <c:v>7.4</c:v>
                </c:pt>
                <c:pt idx="7">
                  <c:v>4.5999999999999996</c:v>
                </c:pt>
                <c:pt idx="8">
                  <c:v>3.3</c:v>
                </c:pt>
              </c:numCache>
            </c:numRef>
          </c:val>
        </c:ser>
        <c:ser>
          <c:idx val="5"/>
          <c:order val="5"/>
          <c:tx>
            <c:strRef>
              <c:f>Sheet1!$G$1</c:f>
              <c:strCache>
                <c:ptCount val="1"/>
                <c:pt idx="0">
                  <c:v>無回答・不明</c:v>
                </c:pt>
              </c:strCache>
            </c:strRef>
          </c:tx>
          <c:spPr>
            <a:noFill/>
            <a:ln>
              <a:solidFill>
                <a:schemeClr val="tx1">
                  <a:lumMod val="85000"/>
                  <a:lumOff val="15000"/>
                </a:schemeClr>
              </a:solidFill>
            </a:ln>
          </c:spPr>
          <c:invertIfNegative val="0"/>
          <c:dLbls>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
車内吊り広告</c:v>
                </c:pt>
                <c:pt idx="1">
                  <c:v>新聞等啓発広報</c:v>
                </c:pt>
                <c:pt idx="2">
                  <c:v>啓発冊子・教材</c:v>
                </c:pt>
                <c:pt idx="3">
                  <c:v>講演会・映画会</c:v>
                </c:pt>
                <c:pt idx="4">
                  <c:v>研修会</c:v>
                </c:pt>
                <c:pt idx="5">
                  <c:v>イベント</c:v>
                </c:pt>
                <c:pt idx="6">
                  <c:v>作文等募集・表彰</c:v>
                </c:pt>
                <c:pt idx="7">
                  <c:v>人権相談窓口</c:v>
                </c:pt>
                <c:pt idx="8">
                  <c:v>事前登録型
本人通知制度</c:v>
                </c:pt>
              </c:strCache>
            </c:strRef>
          </c:cat>
          <c:val>
            <c:numRef>
              <c:f>Sheet1!$G$2:$G$10</c:f>
              <c:numCache>
                <c:formatCode>0.0_ </c:formatCode>
                <c:ptCount val="9"/>
                <c:pt idx="0">
                  <c:v>4.4000000000000004</c:v>
                </c:pt>
                <c:pt idx="1">
                  <c:v>3.6</c:v>
                </c:pt>
                <c:pt idx="2">
                  <c:v>6.5</c:v>
                </c:pt>
                <c:pt idx="3">
                  <c:v>6.2</c:v>
                </c:pt>
                <c:pt idx="4">
                  <c:v>6.6</c:v>
                </c:pt>
                <c:pt idx="5">
                  <c:v>6.1</c:v>
                </c:pt>
                <c:pt idx="6">
                  <c:v>6.8</c:v>
                </c:pt>
                <c:pt idx="7">
                  <c:v>5.6</c:v>
                </c:pt>
                <c:pt idx="8">
                  <c:v>5.6</c:v>
                </c:pt>
              </c:numCache>
            </c:numRef>
          </c:val>
        </c:ser>
        <c:dLbls>
          <c:showLegendKey val="0"/>
          <c:showVal val="1"/>
          <c:showCatName val="0"/>
          <c:showSerName val="0"/>
          <c:showPercent val="0"/>
          <c:showBubbleSize val="0"/>
        </c:dLbls>
        <c:gapWidth val="75"/>
        <c:overlap val="100"/>
        <c:serLines>
          <c:spPr>
            <a:ln>
              <a:prstDash val="sysDot"/>
            </a:ln>
          </c:spPr>
        </c:serLines>
        <c:axId val="234988032"/>
        <c:axId val="226765056"/>
      </c:barChart>
      <c:catAx>
        <c:axId val="234988032"/>
        <c:scaling>
          <c:orientation val="minMax"/>
        </c:scaling>
        <c:delete val="0"/>
        <c:axPos val="b"/>
        <c:majorTickMark val="none"/>
        <c:minorTickMark val="none"/>
        <c:tickLblPos val="nextTo"/>
        <c:txPr>
          <a:bodyPr rot="0" vert="eaVert"/>
          <a:lstStyle/>
          <a:p>
            <a:pPr>
              <a:defRPr sz="900"/>
            </a:pPr>
            <a:endParaRPr lang="ja-JP"/>
          </a:p>
        </c:txPr>
        <c:crossAx val="226765056"/>
        <c:crosses val="autoZero"/>
        <c:auto val="1"/>
        <c:lblAlgn val="ctr"/>
        <c:lblOffset val="100"/>
        <c:noMultiLvlLbl val="0"/>
      </c:catAx>
      <c:valAx>
        <c:axId val="226765056"/>
        <c:scaling>
          <c:orientation val="minMax"/>
        </c:scaling>
        <c:delete val="0"/>
        <c:axPos val="l"/>
        <c:numFmt formatCode="0%" sourceLinked="1"/>
        <c:majorTickMark val="none"/>
        <c:minorTickMark val="none"/>
        <c:tickLblPos val="nextTo"/>
        <c:crossAx val="234988032"/>
        <c:crosses val="autoZero"/>
        <c:crossBetween val="between"/>
      </c:valAx>
    </c:plotArea>
    <c:legend>
      <c:legendPos val="b"/>
      <c:layout>
        <c:manualLayout>
          <c:xMode val="edge"/>
          <c:yMode val="edge"/>
          <c:x val="9.4648176954608115E-2"/>
          <c:y val="0.86815748031496065"/>
          <c:w val="0.79289821735067068"/>
          <c:h val="8.4050166869861456E-2"/>
        </c:manualLayout>
      </c:layout>
      <c:overlay val="0"/>
      <c:spPr>
        <a:ln>
          <a:solidFill>
            <a:schemeClr val="bg1">
              <a:lumMod val="50000"/>
            </a:schemeClr>
          </a:solidFill>
        </a:ln>
      </c:spPr>
      <c:txPr>
        <a:bodyPr/>
        <a:lstStyle/>
        <a:p>
          <a:pPr>
            <a:defRPr sz="900"/>
          </a:pPr>
          <a:endParaRPr lang="ja-JP"/>
        </a:p>
      </c:txPr>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拡充</c:v>
                </c:pt>
              </c:strCache>
            </c:strRef>
          </c:tx>
          <c:spPr>
            <a:pattFill prst="dashDnDiag">
              <a:fgClr>
                <a:schemeClr val="bg1">
                  <a:lumMod val="50000"/>
                </a:schemeClr>
              </a:fgClr>
              <a:bgClr>
                <a:schemeClr val="bg1"/>
              </a:bgClr>
            </a:pattFill>
            <a:ln>
              <a:solidFill>
                <a:schemeClr val="tx1">
                  <a:lumMod val="50000"/>
                  <a:lumOff val="50000"/>
                </a:schemeClr>
              </a:solidFill>
            </a:ln>
          </c:spPr>
          <c:invertIfNegative val="0"/>
          <c:dLbls>
            <c:spPr>
              <a:solidFill>
                <a:schemeClr val="bg1"/>
              </a:solidFill>
            </c:spPr>
            <c:txPr>
              <a:bodyPr/>
              <a:lstStyle/>
              <a:p>
                <a:pPr>
                  <a:defRPr sz="1000"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Sheet1!$B$2:$B$10</c:f>
              <c:numCache>
                <c:formatCode>0.0_ </c:formatCode>
                <c:ptCount val="9"/>
                <c:pt idx="0">
                  <c:v>19.3</c:v>
                </c:pt>
                <c:pt idx="1">
                  <c:v>28.9</c:v>
                </c:pt>
                <c:pt idx="2">
                  <c:v>17.3</c:v>
                </c:pt>
                <c:pt idx="3">
                  <c:v>21.5</c:v>
                </c:pt>
                <c:pt idx="4">
                  <c:v>19.600000000000001</c:v>
                </c:pt>
                <c:pt idx="5">
                  <c:v>18.7</c:v>
                </c:pt>
                <c:pt idx="6">
                  <c:v>17.7</c:v>
                </c:pt>
                <c:pt idx="7">
                  <c:v>30.1</c:v>
                </c:pt>
                <c:pt idx="8">
                  <c:v>23.4</c:v>
                </c:pt>
              </c:numCache>
            </c:numRef>
          </c:val>
        </c:ser>
        <c:ser>
          <c:idx val="1"/>
          <c:order val="1"/>
          <c:tx>
            <c:strRef>
              <c:f>Sheet1!$C$1</c:f>
              <c:strCache>
                <c:ptCount val="1"/>
                <c:pt idx="0">
                  <c:v>現状の継続</c:v>
                </c:pt>
              </c:strCache>
            </c:strRef>
          </c:tx>
          <c:spPr>
            <a:pattFill prst="pct20">
              <a:fgClr>
                <a:sysClr val="windowText" lastClr="000000"/>
              </a:fgClr>
              <a:bgClr>
                <a:schemeClr val="bg1"/>
              </a:bgClr>
            </a:pattFill>
            <a:ln>
              <a:solidFill>
                <a:schemeClr val="tx1">
                  <a:lumMod val="50000"/>
                  <a:lumOff val="50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Sheet1!$C$2:$C$10</c:f>
              <c:numCache>
                <c:formatCode>0.0_ </c:formatCode>
                <c:ptCount val="9"/>
                <c:pt idx="0">
                  <c:v>43.1</c:v>
                </c:pt>
                <c:pt idx="1">
                  <c:v>42.4</c:v>
                </c:pt>
                <c:pt idx="2">
                  <c:v>37.9</c:v>
                </c:pt>
                <c:pt idx="3">
                  <c:v>36</c:v>
                </c:pt>
                <c:pt idx="4">
                  <c:v>35.6</c:v>
                </c:pt>
                <c:pt idx="5">
                  <c:v>35.6</c:v>
                </c:pt>
                <c:pt idx="6">
                  <c:v>39.200000000000003</c:v>
                </c:pt>
                <c:pt idx="7">
                  <c:v>41.3</c:v>
                </c:pt>
                <c:pt idx="8">
                  <c:v>30.5</c:v>
                </c:pt>
              </c:numCache>
            </c:numRef>
          </c:val>
        </c:ser>
        <c:ser>
          <c:idx val="2"/>
          <c:order val="2"/>
          <c:tx>
            <c:strRef>
              <c:f>Sheet1!$D$1</c:f>
              <c:strCache>
                <c:ptCount val="1"/>
                <c:pt idx="0">
                  <c:v>縮小</c:v>
                </c:pt>
              </c:strCache>
            </c:strRef>
          </c:tx>
          <c:spPr>
            <a:pattFill prst="divot">
              <a:fgClr>
                <a:schemeClr val="bg1">
                  <a:lumMod val="50000"/>
                </a:schemeClr>
              </a:fgClr>
              <a:bgClr>
                <a:schemeClr val="bg1"/>
              </a:bgClr>
            </a:pattFill>
            <a:ln>
              <a:solidFill>
                <a:schemeClr val="tx1">
                  <a:lumMod val="50000"/>
                  <a:lumOff val="50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Sheet1!$D$2:$D$10</c:f>
              <c:numCache>
                <c:formatCode>0.0_ </c:formatCode>
                <c:ptCount val="9"/>
                <c:pt idx="0">
                  <c:v>7.3</c:v>
                </c:pt>
                <c:pt idx="1">
                  <c:v>5.5</c:v>
                </c:pt>
                <c:pt idx="2">
                  <c:v>9.1</c:v>
                </c:pt>
                <c:pt idx="3">
                  <c:v>7.3</c:v>
                </c:pt>
                <c:pt idx="4">
                  <c:v>7.4</c:v>
                </c:pt>
                <c:pt idx="5">
                  <c:v>9.1</c:v>
                </c:pt>
                <c:pt idx="6">
                  <c:v>8.6</c:v>
                </c:pt>
                <c:pt idx="7">
                  <c:v>3.8</c:v>
                </c:pt>
                <c:pt idx="8">
                  <c:v>4.9000000000000004</c:v>
                </c:pt>
              </c:numCache>
            </c:numRef>
          </c:val>
        </c:ser>
        <c:ser>
          <c:idx val="3"/>
          <c:order val="3"/>
          <c:tx>
            <c:strRef>
              <c:f>Sheet1!$E$1</c:f>
              <c:strCache>
                <c:ptCount val="1"/>
                <c:pt idx="0">
                  <c:v>どちらとも
言えない</c:v>
                </c:pt>
              </c:strCache>
            </c:strRef>
          </c:tx>
          <c:spPr>
            <a:pattFill prst="dotGrid">
              <a:fgClr>
                <a:sysClr val="windowText" lastClr="000000"/>
              </a:fgClr>
              <a:bgClr>
                <a:schemeClr val="bg1"/>
              </a:bgClr>
            </a:pattFill>
            <a:ln>
              <a:solidFill>
                <a:schemeClr val="tx1">
                  <a:lumMod val="50000"/>
                  <a:lumOff val="50000"/>
                </a:schemeClr>
              </a:solidFill>
            </a:ln>
          </c:spPr>
          <c:invertIfNegative val="0"/>
          <c:dLbls>
            <c:spPr>
              <a:solidFill>
                <a:schemeClr val="bg1"/>
              </a:solidFill>
            </c:spPr>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Sheet1!$E$2:$E$10</c:f>
              <c:numCache>
                <c:formatCode>0.0_ </c:formatCode>
                <c:ptCount val="9"/>
                <c:pt idx="0">
                  <c:v>25</c:v>
                </c:pt>
                <c:pt idx="1">
                  <c:v>19.100000000000001</c:v>
                </c:pt>
                <c:pt idx="2">
                  <c:v>28.8</c:v>
                </c:pt>
                <c:pt idx="3">
                  <c:v>28.7</c:v>
                </c:pt>
                <c:pt idx="4">
                  <c:v>30.8</c:v>
                </c:pt>
                <c:pt idx="5">
                  <c:v>29.8</c:v>
                </c:pt>
                <c:pt idx="6">
                  <c:v>27.5</c:v>
                </c:pt>
                <c:pt idx="7">
                  <c:v>19.3</c:v>
                </c:pt>
                <c:pt idx="8">
                  <c:v>35.200000000000003</c:v>
                </c:pt>
              </c:numCache>
            </c:numRef>
          </c:val>
        </c:ser>
        <c:ser>
          <c:idx val="4"/>
          <c:order val="4"/>
          <c:tx>
            <c:strRef>
              <c:f>Sheet1!$F$1</c:f>
              <c:strCache>
                <c:ptCount val="1"/>
                <c:pt idx="0">
                  <c:v>無回答・不明</c:v>
                </c:pt>
              </c:strCache>
            </c:strRef>
          </c:tx>
          <c:spPr>
            <a:noFill/>
            <a:ln>
              <a:solidFill>
                <a:schemeClr val="tx1">
                  <a:lumMod val="50000"/>
                  <a:lumOff val="50000"/>
                </a:schemeClr>
              </a:solidFill>
            </a:ln>
          </c:spPr>
          <c:invertIfNegative val="0"/>
          <c:dLbls>
            <c:txPr>
              <a:bodyPr/>
              <a:lstStyle/>
              <a:p>
                <a:pPr>
                  <a:defRPr b="1"/>
                </a:pPr>
                <a:endParaRPr lang="ja-JP"/>
              </a:p>
            </c:txPr>
            <c:showLegendKey val="0"/>
            <c:showVal val="1"/>
            <c:showCatName val="0"/>
            <c:showSerName val="0"/>
            <c:showPercent val="0"/>
            <c:showBubbleSize val="0"/>
            <c:showLeaderLines val="0"/>
          </c:dLbls>
          <c:cat>
            <c:strRef>
              <c:f>Sheet1!$A$2:$A$10</c:f>
              <c:strCache>
                <c:ptCount val="9"/>
                <c:pt idx="0">
                  <c:v>啓発ポスター等広告</c:v>
                </c:pt>
                <c:pt idx="1">
                  <c:v>新聞等啓発広報</c:v>
                </c:pt>
                <c:pt idx="2">
                  <c:v>啓発冊子・教材</c:v>
                </c:pt>
                <c:pt idx="3">
                  <c:v>講演会・映画界</c:v>
                </c:pt>
                <c:pt idx="4">
                  <c:v>研修会</c:v>
                </c:pt>
                <c:pt idx="5">
                  <c:v>イベント</c:v>
                </c:pt>
                <c:pt idx="6">
                  <c:v>作文等募集・表彰</c:v>
                </c:pt>
                <c:pt idx="7">
                  <c:v>人権相談窓口</c:v>
                </c:pt>
                <c:pt idx="8">
                  <c:v>通知制度</c:v>
                </c:pt>
              </c:strCache>
            </c:strRef>
          </c:cat>
          <c:val>
            <c:numRef>
              <c:f>Sheet1!$F$2:$F$10</c:f>
              <c:numCache>
                <c:formatCode>0.0_ </c:formatCode>
                <c:ptCount val="9"/>
                <c:pt idx="0">
                  <c:v>5.4</c:v>
                </c:pt>
                <c:pt idx="1">
                  <c:v>4.0999999999999996</c:v>
                </c:pt>
                <c:pt idx="2">
                  <c:v>6.9</c:v>
                </c:pt>
                <c:pt idx="3">
                  <c:v>6.5</c:v>
                </c:pt>
                <c:pt idx="4">
                  <c:v>6.6</c:v>
                </c:pt>
                <c:pt idx="5">
                  <c:v>6.8</c:v>
                </c:pt>
                <c:pt idx="6">
                  <c:v>7</c:v>
                </c:pt>
                <c:pt idx="7">
                  <c:v>5.5</c:v>
                </c:pt>
                <c:pt idx="8">
                  <c:v>6</c:v>
                </c:pt>
              </c:numCache>
            </c:numRef>
          </c:val>
        </c:ser>
        <c:dLbls>
          <c:showLegendKey val="0"/>
          <c:showVal val="1"/>
          <c:showCatName val="0"/>
          <c:showSerName val="0"/>
          <c:showPercent val="0"/>
          <c:showBubbleSize val="0"/>
        </c:dLbls>
        <c:gapWidth val="75"/>
        <c:overlap val="100"/>
        <c:serLines>
          <c:spPr>
            <a:ln>
              <a:prstDash val="sysDot"/>
            </a:ln>
          </c:spPr>
        </c:serLines>
        <c:axId val="232211456"/>
        <c:axId val="235078208"/>
      </c:barChart>
      <c:catAx>
        <c:axId val="232211456"/>
        <c:scaling>
          <c:orientation val="minMax"/>
        </c:scaling>
        <c:delete val="0"/>
        <c:axPos val="b"/>
        <c:majorTickMark val="none"/>
        <c:minorTickMark val="none"/>
        <c:tickLblPos val="nextTo"/>
        <c:txPr>
          <a:bodyPr rot="0" vert="eaVert"/>
          <a:lstStyle/>
          <a:p>
            <a:pPr>
              <a:defRPr sz="900"/>
            </a:pPr>
            <a:endParaRPr lang="ja-JP"/>
          </a:p>
        </c:txPr>
        <c:crossAx val="235078208"/>
        <c:crosses val="autoZero"/>
        <c:auto val="1"/>
        <c:lblAlgn val="ctr"/>
        <c:lblOffset val="100"/>
        <c:noMultiLvlLbl val="0"/>
      </c:catAx>
      <c:valAx>
        <c:axId val="235078208"/>
        <c:scaling>
          <c:orientation val="minMax"/>
        </c:scaling>
        <c:delete val="0"/>
        <c:axPos val="l"/>
        <c:numFmt formatCode="0%" sourceLinked="1"/>
        <c:majorTickMark val="none"/>
        <c:minorTickMark val="none"/>
        <c:tickLblPos val="nextTo"/>
        <c:crossAx val="232211456"/>
        <c:crosses val="autoZero"/>
        <c:crossBetween val="between"/>
      </c:valAx>
    </c:plotArea>
    <c:legend>
      <c:legendPos val="b"/>
      <c:layout>
        <c:manualLayout>
          <c:xMode val="edge"/>
          <c:yMode val="edge"/>
          <c:x val="0.25311774899822798"/>
          <c:y val="0.91848638359702206"/>
          <c:w val="0.47288139741177199"/>
          <c:h val="6.8941859006936806E-2"/>
        </c:manualLayout>
      </c:layout>
      <c:overlay val="0"/>
      <c:spPr>
        <a:ln>
          <a:solidFill>
            <a:schemeClr val="bg1">
              <a:lumMod val="50000"/>
            </a:schemeClr>
          </a:solidFill>
        </a:ln>
      </c:spPr>
      <c:txPr>
        <a:bodyPr/>
        <a:lstStyle/>
        <a:p>
          <a:pPr>
            <a:defRPr sz="900"/>
          </a:pPr>
          <a:endParaRPr lang="ja-JP"/>
        </a:p>
      </c:txPr>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0.96659</cdr:x>
      <cdr:y>0.06651</cdr:y>
    </cdr:from>
    <cdr:to>
      <cdr:x>0.97469</cdr:x>
      <cdr:y>0.06763</cdr:y>
    </cdr:to>
    <cdr:cxnSp macro="">
      <cdr:nvCxnSpPr>
        <cdr:cNvPr id="2" name="直線コネクタ 1"/>
        <cdr:cNvCxnSpPr/>
      </cdr:nvCxnSpPr>
      <cdr:spPr>
        <a:xfrm xmlns:a="http://schemas.openxmlformats.org/drawingml/2006/main">
          <a:off x="9009776" y="494951"/>
          <a:ext cx="75501"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0.12399</cdr:y>
    </cdr:from>
    <cdr:to>
      <cdr:x>0.97559</cdr:x>
      <cdr:y>0.12399</cdr:y>
    </cdr:to>
    <cdr:cxnSp macro="">
      <cdr:nvCxnSpPr>
        <cdr:cNvPr id="3" name="直線コネクタ 2"/>
        <cdr:cNvCxnSpPr/>
      </cdr:nvCxnSpPr>
      <cdr:spPr>
        <a:xfrm xmlns:a="http://schemas.openxmlformats.org/drawingml/2006/main">
          <a:off x="9018165" y="922789"/>
          <a:ext cx="7550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0.18036</cdr:y>
    </cdr:from>
    <cdr:to>
      <cdr:x>0.97559</cdr:x>
      <cdr:y>0.18036</cdr:y>
    </cdr:to>
    <cdr:cxnSp macro="">
      <cdr:nvCxnSpPr>
        <cdr:cNvPr id="5" name="直線コネクタ 4"/>
        <cdr:cNvCxnSpPr/>
      </cdr:nvCxnSpPr>
      <cdr:spPr>
        <a:xfrm xmlns:a="http://schemas.openxmlformats.org/drawingml/2006/main">
          <a:off x="9018165" y="1342239"/>
          <a:ext cx="7550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0.23559</cdr:y>
    </cdr:from>
    <cdr:to>
      <cdr:x>0.97559</cdr:x>
      <cdr:y>0.23672</cdr:y>
    </cdr:to>
    <cdr:cxnSp macro="">
      <cdr:nvCxnSpPr>
        <cdr:cNvPr id="7" name="直線コネクタ 6"/>
        <cdr:cNvCxnSpPr/>
      </cdr:nvCxnSpPr>
      <cdr:spPr>
        <a:xfrm xmlns:a="http://schemas.openxmlformats.org/drawingml/2006/main">
          <a:off x="9009776" y="1753300"/>
          <a:ext cx="83890"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0.29195</cdr:y>
    </cdr:from>
    <cdr:to>
      <cdr:x>0.97829</cdr:x>
      <cdr:y>0.29308</cdr:y>
    </cdr:to>
    <cdr:cxnSp macro="">
      <cdr:nvCxnSpPr>
        <cdr:cNvPr id="9" name="直線コネクタ 8"/>
        <cdr:cNvCxnSpPr/>
      </cdr:nvCxnSpPr>
      <cdr:spPr>
        <a:xfrm xmlns:a="http://schemas.openxmlformats.org/drawingml/2006/main" flipV="1">
          <a:off x="9009776" y="2172749"/>
          <a:ext cx="109057"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0.34831</cdr:y>
    </cdr:from>
    <cdr:to>
      <cdr:x>0.97559</cdr:x>
      <cdr:y>0.34831</cdr:y>
    </cdr:to>
    <cdr:cxnSp macro="">
      <cdr:nvCxnSpPr>
        <cdr:cNvPr id="11" name="直線コネクタ 10"/>
        <cdr:cNvCxnSpPr/>
      </cdr:nvCxnSpPr>
      <cdr:spPr>
        <a:xfrm xmlns:a="http://schemas.openxmlformats.org/drawingml/2006/main">
          <a:off x="9009776" y="2592199"/>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0.96479</cdr:x>
      <cdr:y>0.4058</cdr:y>
    </cdr:from>
    <cdr:to>
      <cdr:x>0.97649</cdr:x>
      <cdr:y>0.4058</cdr:y>
    </cdr:to>
    <cdr:cxnSp macro="">
      <cdr:nvCxnSpPr>
        <cdr:cNvPr id="13" name="直線コネクタ 12"/>
        <cdr:cNvCxnSpPr/>
      </cdr:nvCxnSpPr>
      <cdr:spPr>
        <a:xfrm xmlns:a="http://schemas.openxmlformats.org/drawingml/2006/main">
          <a:off x="8992998" y="3020037"/>
          <a:ext cx="109057"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0.96479</cdr:x>
      <cdr:y>0.46103</cdr:y>
    </cdr:from>
    <cdr:to>
      <cdr:x>0.97559</cdr:x>
      <cdr:y>0.46103</cdr:y>
    </cdr:to>
    <cdr:cxnSp macro="">
      <cdr:nvCxnSpPr>
        <cdr:cNvPr id="15" name="直線コネクタ 14"/>
        <cdr:cNvCxnSpPr/>
      </cdr:nvCxnSpPr>
      <cdr:spPr>
        <a:xfrm xmlns:a="http://schemas.openxmlformats.org/drawingml/2006/main">
          <a:off x="8992998" y="3431098"/>
          <a:ext cx="100668"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0.51852</cdr:y>
    </cdr:from>
    <cdr:to>
      <cdr:x>0.97649</cdr:x>
      <cdr:y>0.51852</cdr:y>
    </cdr:to>
    <cdr:cxnSp macro="">
      <cdr:nvCxnSpPr>
        <cdr:cNvPr id="17" name="直線コネクタ 16"/>
        <cdr:cNvCxnSpPr/>
      </cdr:nvCxnSpPr>
      <cdr:spPr>
        <a:xfrm xmlns:a="http://schemas.openxmlformats.org/drawingml/2006/main">
          <a:off x="9018165" y="3858936"/>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0.57263</cdr:y>
    </cdr:from>
    <cdr:to>
      <cdr:x>0.97649</cdr:x>
      <cdr:y>0.57263</cdr:y>
    </cdr:to>
    <cdr:cxnSp macro="">
      <cdr:nvCxnSpPr>
        <cdr:cNvPr id="19" name="直線コネクタ 18"/>
        <cdr:cNvCxnSpPr/>
      </cdr:nvCxnSpPr>
      <cdr:spPr>
        <a:xfrm xmlns:a="http://schemas.openxmlformats.org/drawingml/2006/main">
          <a:off x="9018165" y="4261608"/>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0.96659</cdr:x>
      <cdr:y>0.63012</cdr:y>
    </cdr:from>
    <cdr:to>
      <cdr:x>0.97649</cdr:x>
      <cdr:y>0.63124</cdr:y>
    </cdr:to>
    <cdr:cxnSp macro="">
      <cdr:nvCxnSpPr>
        <cdr:cNvPr id="21" name="直線コネクタ 20"/>
        <cdr:cNvCxnSpPr/>
      </cdr:nvCxnSpPr>
      <cdr:spPr>
        <a:xfrm xmlns:a="http://schemas.openxmlformats.org/drawingml/2006/main">
          <a:off x="9009776" y="4689446"/>
          <a:ext cx="92279"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0.96749</cdr:x>
      <cdr:y>0.80258</cdr:y>
    </cdr:from>
    <cdr:to>
      <cdr:x>0.97649</cdr:x>
      <cdr:y>0.80258</cdr:y>
    </cdr:to>
    <cdr:cxnSp macro="">
      <cdr:nvCxnSpPr>
        <cdr:cNvPr id="23" name="直線コネクタ 22"/>
        <cdr:cNvCxnSpPr/>
      </cdr:nvCxnSpPr>
      <cdr:spPr>
        <a:xfrm xmlns:a="http://schemas.openxmlformats.org/drawingml/2006/main">
          <a:off x="9018165" y="5972962"/>
          <a:ext cx="8389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0.96569</cdr:x>
      <cdr:y>0.85669</cdr:y>
    </cdr:from>
    <cdr:to>
      <cdr:x>0.97559</cdr:x>
      <cdr:y>0.85669</cdr:y>
    </cdr:to>
    <cdr:cxnSp macro="">
      <cdr:nvCxnSpPr>
        <cdr:cNvPr id="25" name="直線コネクタ 24"/>
        <cdr:cNvCxnSpPr/>
      </cdr:nvCxnSpPr>
      <cdr:spPr>
        <a:xfrm xmlns:a="http://schemas.openxmlformats.org/drawingml/2006/main">
          <a:off x="9001387" y="6375633"/>
          <a:ext cx="92279"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0.96569</cdr:x>
      <cdr:y>0.91305</cdr:y>
    </cdr:from>
    <cdr:to>
      <cdr:x>0.97739</cdr:x>
      <cdr:y>0.91305</cdr:y>
    </cdr:to>
    <cdr:cxnSp macro="">
      <cdr:nvCxnSpPr>
        <cdr:cNvPr id="27" name="直線コネクタ 26"/>
        <cdr:cNvCxnSpPr/>
      </cdr:nvCxnSpPr>
      <cdr:spPr>
        <a:xfrm xmlns:a="http://schemas.openxmlformats.org/drawingml/2006/main">
          <a:off x="9001387" y="6795083"/>
          <a:ext cx="109057"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0.96929</cdr:x>
      <cdr:y>0.74396</cdr:y>
    </cdr:from>
    <cdr:to>
      <cdr:x>0.97649</cdr:x>
      <cdr:y>0.74396</cdr:y>
    </cdr:to>
    <cdr:cxnSp macro="">
      <cdr:nvCxnSpPr>
        <cdr:cNvPr id="28" name="直線コネクタ 27"/>
        <cdr:cNvCxnSpPr/>
      </cdr:nvCxnSpPr>
      <cdr:spPr>
        <a:xfrm xmlns:a="http://schemas.openxmlformats.org/drawingml/2006/main">
          <a:off x="9034943" y="5536734"/>
          <a:ext cx="67112"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0.96929</cdr:x>
      <cdr:y>0.68535</cdr:y>
    </cdr:from>
    <cdr:to>
      <cdr:x>0.97649</cdr:x>
      <cdr:y>0.68648</cdr:y>
    </cdr:to>
    <cdr:cxnSp macro="">
      <cdr:nvCxnSpPr>
        <cdr:cNvPr id="30" name="直線コネクタ 29"/>
        <cdr:cNvCxnSpPr/>
      </cdr:nvCxnSpPr>
      <cdr:spPr>
        <a:xfrm xmlns:a="http://schemas.openxmlformats.org/drawingml/2006/main">
          <a:off x="9034943" y="5100507"/>
          <a:ext cx="67112" cy="83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0.30126</cdr:x>
      <cdr:y>0.08745</cdr:y>
    </cdr:from>
    <cdr:to>
      <cdr:x>0.50183</cdr:x>
      <cdr:y>0.10591</cdr:y>
    </cdr:to>
    <cdr:cxnSp macro="">
      <cdr:nvCxnSpPr>
        <cdr:cNvPr id="3" name="直線コネクタ 2"/>
        <cdr:cNvCxnSpPr/>
      </cdr:nvCxnSpPr>
      <cdr:spPr>
        <a:xfrm xmlns:a="http://schemas.openxmlformats.org/drawingml/2006/main">
          <a:off x="1761688" y="377505"/>
          <a:ext cx="1172871" cy="7968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0.95238</cdr:x>
      <cdr:y>0.09652</cdr:y>
    </cdr:from>
    <cdr:to>
      <cdr:x>0.96407</cdr:x>
      <cdr:y>0.09652</cdr:y>
    </cdr:to>
    <cdr:cxnSp macro="">
      <cdr:nvCxnSpPr>
        <cdr:cNvPr id="2" name="直線コネクタ 1"/>
        <cdr:cNvCxnSpPr/>
      </cdr:nvCxnSpPr>
      <cdr:spPr>
        <a:xfrm xmlns:a="http://schemas.openxmlformats.org/drawingml/2006/main">
          <a:off x="8883942" y="604008"/>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0.95153</cdr:x>
      <cdr:y>0.20384</cdr:y>
    </cdr:from>
    <cdr:to>
      <cdr:x>0.96322</cdr:x>
      <cdr:y>0.20384</cdr:y>
    </cdr:to>
    <cdr:cxnSp macro="">
      <cdr:nvCxnSpPr>
        <cdr:cNvPr id="3" name="直線コネクタ 2"/>
        <cdr:cNvCxnSpPr/>
      </cdr:nvCxnSpPr>
      <cdr:spPr>
        <a:xfrm xmlns:a="http://schemas.openxmlformats.org/drawingml/2006/main">
          <a:off x="8876019" y="1275594"/>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0.95068</cdr:x>
      <cdr:y>0.30579</cdr:y>
    </cdr:from>
    <cdr:to>
      <cdr:x>0.96237</cdr:x>
      <cdr:y>0.30579</cdr:y>
    </cdr:to>
    <cdr:cxnSp macro="">
      <cdr:nvCxnSpPr>
        <cdr:cNvPr id="4" name="直線コネクタ 3"/>
        <cdr:cNvCxnSpPr/>
      </cdr:nvCxnSpPr>
      <cdr:spPr>
        <a:xfrm xmlns:a="http://schemas.openxmlformats.org/drawingml/2006/main">
          <a:off x="8868097" y="1913623"/>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0.94983</cdr:x>
      <cdr:y>0.40909</cdr:y>
    </cdr:from>
    <cdr:to>
      <cdr:x>0.96152</cdr:x>
      <cdr:y>0.40909</cdr:y>
    </cdr:to>
    <cdr:cxnSp macro="">
      <cdr:nvCxnSpPr>
        <cdr:cNvPr id="5" name="直線コネクタ 4"/>
        <cdr:cNvCxnSpPr/>
      </cdr:nvCxnSpPr>
      <cdr:spPr>
        <a:xfrm xmlns:a="http://schemas.openxmlformats.org/drawingml/2006/main">
          <a:off x="8860175" y="2560041"/>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0.95078</cdr:x>
      <cdr:y>0.51641</cdr:y>
    </cdr:from>
    <cdr:to>
      <cdr:x>0.96247</cdr:x>
      <cdr:y>0.51641</cdr:y>
    </cdr:to>
    <cdr:cxnSp macro="">
      <cdr:nvCxnSpPr>
        <cdr:cNvPr id="6" name="直線コネクタ 5"/>
        <cdr:cNvCxnSpPr/>
      </cdr:nvCxnSpPr>
      <cdr:spPr>
        <a:xfrm xmlns:a="http://schemas.openxmlformats.org/drawingml/2006/main">
          <a:off x="8869031" y="3231627"/>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0.95083</cdr:x>
      <cdr:y>0.6197</cdr:y>
    </cdr:from>
    <cdr:to>
      <cdr:x>0.96252</cdr:x>
      <cdr:y>0.6197</cdr:y>
    </cdr:to>
    <cdr:cxnSp macro="">
      <cdr:nvCxnSpPr>
        <cdr:cNvPr id="8" name="直線コネクタ 7"/>
        <cdr:cNvCxnSpPr/>
      </cdr:nvCxnSpPr>
      <cdr:spPr>
        <a:xfrm xmlns:a="http://schemas.openxmlformats.org/drawingml/2006/main">
          <a:off x="8869497" y="3878045"/>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0.95088</cdr:x>
      <cdr:y>0.72836</cdr:y>
    </cdr:from>
    <cdr:to>
      <cdr:x>0.96257</cdr:x>
      <cdr:y>0.72836</cdr:y>
    </cdr:to>
    <cdr:cxnSp macro="">
      <cdr:nvCxnSpPr>
        <cdr:cNvPr id="9" name="直線コネクタ 8"/>
        <cdr:cNvCxnSpPr/>
      </cdr:nvCxnSpPr>
      <cdr:spPr>
        <a:xfrm xmlns:a="http://schemas.openxmlformats.org/drawingml/2006/main">
          <a:off x="8869964" y="4558019"/>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0.94913</cdr:x>
      <cdr:y>0.83166</cdr:y>
    </cdr:from>
    <cdr:to>
      <cdr:x>0.96082</cdr:x>
      <cdr:y>0.83166</cdr:y>
    </cdr:to>
    <cdr:cxnSp macro="">
      <cdr:nvCxnSpPr>
        <cdr:cNvPr id="10" name="直線コネクタ 9"/>
        <cdr:cNvCxnSpPr/>
      </cdr:nvCxnSpPr>
      <cdr:spPr>
        <a:xfrm xmlns:a="http://schemas.openxmlformats.org/drawingml/2006/main">
          <a:off x="8853653" y="5204437"/>
          <a:ext cx="109056"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0.91106</cdr:x>
      <cdr:y>0.05772</cdr:y>
    </cdr:from>
    <cdr:to>
      <cdr:x>0.91281</cdr:x>
      <cdr:y>0.07775</cdr:y>
    </cdr:to>
    <cdr:cxnSp macro="">
      <cdr:nvCxnSpPr>
        <cdr:cNvPr id="11" name="直線コネクタ 10"/>
        <cdr:cNvCxnSpPr/>
      </cdr:nvCxnSpPr>
      <cdr:spPr>
        <a:xfrm xmlns:a="http://schemas.openxmlformats.org/drawingml/2006/main">
          <a:off x="8498515" y="361194"/>
          <a:ext cx="16311" cy="12536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0.20507</cdr:x>
      <cdr:y>0.05376</cdr:y>
    </cdr:from>
    <cdr:to>
      <cdr:x>0.4767</cdr:x>
      <cdr:y>0.07527</cdr:y>
    </cdr:to>
    <cdr:cxnSp macro="">
      <cdr:nvCxnSpPr>
        <cdr:cNvPr id="3" name="直線コネクタ 2"/>
        <cdr:cNvCxnSpPr/>
      </cdr:nvCxnSpPr>
      <cdr:spPr>
        <a:xfrm xmlns:a="http://schemas.openxmlformats.org/drawingml/2006/main">
          <a:off x="956345" y="209725"/>
          <a:ext cx="1266738" cy="8389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0.49354</cdr:x>
      <cdr:y>0.05871</cdr:y>
    </cdr:from>
    <cdr:to>
      <cdr:x>0.80638</cdr:x>
      <cdr:y>0.07984</cdr:y>
    </cdr:to>
    <cdr:cxnSp macro="">
      <cdr:nvCxnSpPr>
        <cdr:cNvPr id="2" name="直線コネクタ 1"/>
        <cdr:cNvCxnSpPr/>
      </cdr:nvCxnSpPr>
      <cdr:spPr>
        <a:xfrm xmlns:a="http://schemas.openxmlformats.org/drawingml/2006/main" flipV="1">
          <a:off x="2130803" y="209725"/>
          <a:ext cx="1350627" cy="7550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0.19308</cdr:x>
      <cdr:y>0.10046</cdr:y>
    </cdr:from>
    <cdr:to>
      <cdr:x>0.46227</cdr:x>
      <cdr:y>0.10256</cdr:y>
    </cdr:to>
    <cdr:cxnSp macro="">
      <cdr:nvCxnSpPr>
        <cdr:cNvPr id="3" name="直線コネクタ 2"/>
        <cdr:cNvCxnSpPr/>
      </cdr:nvCxnSpPr>
      <cdr:spPr>
        <a:xfrm xmlns:a="http://schemas.openxmlformats.org/drawingml/2006/main" flipV="1">
          <a:off x="872455" y="402671"/>
          <a:ext cx="1216404" cy="838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0.30368</cdr:x>
      <cdr:y>0.07512</cdr:y>
    </cdr:from>
    <cdr:to>
      <cdr:x>0.50264</cdr:x>
      <cdr:y>0.07512</cdr:y>
    </cdr:to>
    <cdr:cxnSp macro="">
      <cdr:nvCxnSpPr>
        <cdr:cNvPr id="3" name="直線コネクタ 2"/>
        <cdr:cNvCxnSpPr/>
      </cdr:nvCxnSpPr>
      <cdr:spPr>
        <a:xfrm xmlns:a="http://schemas.openxmlformats.org/drawingml/2006/main">
          <a:off x="1850066" y="340242"/>
          <a:ext cx="1212111"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0.52707</cdr:x>
      <cdr:y>0.07042</cdr:y>
    </cdr:from>
    <cdr:to>
      <cdr:x>0.68764</cdr:x>
      <cdr:y>0.09859</cdr:y>
    </cdr:to>
    <cdr:cxnSp macro="">
      <cdr:nvCxnSpPr>
        <cdr:cNvPr id="5" name="直線コネクタ 4"/>
        <cdr:cNvCxnSpPr/>
      </cdr:nvCxnSpPr>
      <cdr:spPr>
        <a:xfrm xmlns:a="http://schemas.openxmlformats.org/drawingml/2006/main" flipV="1">
          <a:off x="3211033" y="318977"/>
          <a:ext cx="978195" cy="12759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0.44286</cdr:x>
      <cdr:y>0.05072</cdr:y>
    </cdr:from>
    <cdr:to>
      <cdr:x>0.48691</cdr:x>
      <cdr:y>0.10549</cdr:y>
    </cdr:to>
    <cdr:cxnSp macro="">
      <cdr:nvCxnSpPr>
        <cdr:cNvPr id="3" name="直線コネクタ 2"/>
        <cdr:cNvCxnSpPr/>
      </cdr:nvCxnSpPr>
      <cdr:spPr>
        <a:xfrm xmlns:a="http://schemas.openxmlformats.org/drawingml/2006/main">
          <a:off x="3955312" y="265814"/>
          <a:ext cx="393405" cy="2870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0.22719</cdr:x>
      <cdr:y>0.08953</cdr:y>
    </cdr:from>
    <cdr:to>
      <cdr:x>0.5156</cdr:x>
      <cdr:y>0.13802</cdr:y>
    </cdr:to>
    <cdr:cxnSp macro="">
      <cdr:nvCxnSpPr>
        <cdr:cNvPr id="3" name="直線コネクタ 2"/>
        <cdr:cNvCxnSpPr/>
      </cdr:nvCxnSpPr>
      <cdr:spPr>
        <a:xfrm xmlns:a="http://schemas.openxmlformats.org/drawingml/2006/main">
          <a:off x="979564" y="310182"/>
          <a:ext cx="1243518" cy="16799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0.40859</cdr:x>
      <cdr:y>0.04116</cdr:y>
    </cdr:from>
    <cdr:to>
      <cdr:x>0.52727</cdr:x>
      <cdr:y>0.08959</cdr:y>
    </cdr:to>
    <cdr:cxnSp macro="">
      <cdr:nvCxnSpPr>
        <cdr:cNvPr id="5" name="直線コネクタ 4"/>
        <cdr:cNvCxnSpPr/>
      </cdr:nvCxnSpPr>
      <cdr:spPr>
        <a:xfrm xmlns:a="http://schemas.openxmlformats.org/drawingml/2006/main">
          <a:off x="1761688" y="142613"/>
          <a:ext cx="511728" cy="1677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0.30144</cdr:x>
      <cdr:y>0.07436</cdr:y>
    </cdr:from>
    <cdr:to>
      <cdr:x>0.50957</cdr:x>
      <cdr:y>0.1077</cdr:y>
    </cdr:to>
    <cdr:cxnSp macro="">
      <cdr:nvCxnSpPr>
        <cdr:cNvPr id="2" name="直線コネクタ 1"/>
        <cdr:cNvCxnSpPr/>
      </cdr:nvCxnSpPr>
      <cdr:spPr>
        <a:xfrm xmlns:a="http://schemas.openxmlformats.org/drawingml/2006/main">
          <a:off x="1339701" y="308344"/>
          <a:ext cx="925034" cy="13822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9BFC-DFBA-4248-99CB-9A53B7DA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963</Words>
  <Characters>5494</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英代</dc:creator>
  <cp:lastModifiedBy>青代　浩幸</cp:lastModifiedBy>
  <cp:revision>2</cp:revision>
  <cp:lastPrinted>2016-03-17T11:13:00Z</cp:lastPrinted>
  <dcterms:created xsi:type="dcterms:W3CDTF">2016-06-21T02:53:00Z</dcterms:created>
  <dcterms:modified xsi:type="dcterms:W3CDTF">2016-06-21T02:53:00Z</dcterms:modified>
</cp:coreProperties>
</file>