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D2" w:rsidRPr="000F4AB4" w:rsidRDefault="00461452" w:rsidP="00461452">
      <w:pPr>
        <w:widowControl/>
        <w:ind w:firstLineChars="150" w:firstLine="345"/>
        <w:jc w:val="left"/>
        <w:rPr>
          <w:b/>
          <w:sz w:val="24"/>
          <w:szCs w:val="24"/>
        </w:rPr>
      </w:pPr>
      <w:r w:rsidRPr="00461452">
        <w:rPr>
          <w:rFonts w:hint="eastAsia"/>
          <w:b/>
          <w:sz w:val="24"/>
          <w:szCs w:val="24"/>
        </w:rPr>
        <w:t>今後の建築物の環境配慮のあり方について</w:t>
      </w:r>
      <w:r>
        <w:rPr>
          <w:rFonts w:hint="eastAsia"/>
          <w:b/>
          <w:sz w:val="24"/>
          <w:szCs w:val="24"/>
        </w:rPr>
        <w:t>の</w:t>
      </w:r>
      <w:r w:rsidR="00D41F88" w:rsidRPr="000F4AB4">
        <w:rPr>
          <w:rFonts w:hint="eastAsia"/>
          <w:b/>
          <w:sz w:val="24"/>
          <w:szCs w:val="24"/>
        </w:rPr>
        <w:t>論点</w:t>
      </w:r>
    </w:p>
    <w:p w:rsidR="003B7E62" w:rsidRPr="00F42831" w:rsidRDefault="007A142B" w:rsidP="00F42831">
      <w:pPr>
        <w:widowControl/>
        <w:spacing w:line="300" w:lineRule="exact"/>
        <w:ind w:firstLineChars="100" w:firstLine="230"/>
        <w:jc w:val="left"/>
        <w:rPr>
          <w:rFonts w:asciiTheme="majorEastAsia" w:eastAsiaTheme="majorEastAsia" w:hAnsiTheme="majorEastAsia"/>
          <w:b/>
        </w:rPr>
      </w:pPr>
      <w:r w:rsidRPr="00F42831">
        <w:rPr>
          <w:rFonts w:asciiTheme="majorEastAsia" w:eastAsiaTheme="majorEastAsia" w:hAnsiTheme="majorEastAsia" w:hint="eastAsia"/>
          <w:b/>
          <w:sz w:val="24"/>
          <w:szCs w:val="24"/>
        </w:rPr>
        <w:t>１</w:t>
      </w:r>
      <w:r w:rsidR="000D3506" w:rsidRPr="00F42831">
        <w:rPr>
          <w:rFonts w:asciiTheme="majorEastAsia" w:eastAsiaTheme="majorEastAsia" w:hAnsiTheme="majorEastAsia" w:hint="eastAsia"/>
          <w:b/>
          <w:sz w:val="24"/>
          <w:szCs w:val="24"/>
        </w:rPr>
        <w:t>．</w:t>
      </w:r>
      <w:r w:rsidR="003B7E62" w:rsidRPr="00F42831">
        <w:rPr>
          <w:rFonts w:asciiTheme="majorEastAsia" w:eastAsiaTheme="majorEastAsia" w:hAnsiTheme="majorEastAsia" w:hint="eastAsia"/>
          <w:b/>
          <w:sz w:val="24"/>
          <w:szCs w:val="24"/>
        </w:rPr>
        <w:t>非住宅建築物における外皮性能基準への適合について</w:t>
      </w:r>
    </w:p>
    <w:p w:rsidR="009219EA" w:rsidRDefault="003B7E62" w:rsidP="00F42831">
      <w:pPr>
        <w:ind w:leftChars="135" w:left="269" w:firstLine="200"/>
        <w:rPr>
          <w:szCs w:val="21"/>
        </w:rPr>
      </w:pPr>
      <w:r w:rsidRPr="00BA35B6">
        <w:rPr>
          <w:rFonts w:hint="eastAsia"/>
          <w:b/>
          <w:szCs w:val="21"/>
          <w:bdr w:val="single" w:sz="4" w:space="0" w:color="auto"/>
        </w:rPr>
        <w:t>対応の方向性</w:t>
      </w:r>
    </w:p>
    <w:p w:rsidR="003D1D3D" w:rsidRDefault="006823EC" w:rsidP="00F42831">
      <w:pPr>
        <w:spacing w:line="320" w:lineRule="exact"/>
        <w:ind w:leftChars="100" w:left="199" w:firstLineChars="100" w:firstLine="199"/>
        <w:rPr>
          <w:szCs w:val="21"/>
        </w:rPr>
      </w:pPr>
      <w:r w:rsidRPr="00F42831">
        <w:rPr>
          <w:rFonts w:hint="eastAsia"/>
          <w:szCs w:val="21"/>
        </w:rPr>
        <w:t>建築物省エネ法</w:t>
      </w:r>
      <w:r>
        <w:rPr>
          <w:rFonts w:hint="eastAsia"/>
          <w:szCs w:val="21"/>
        </w:rPr>
        <w:t>が</w:t>
      </w:r>
      <w:r>
        <w:rPr>
          <w:rFonts w:hint="eastAsia"/>
          <w:szCs w:val="21"/>
        </w:rPr>
        <w:t>2017</w:t>
      </w:r>
      <w:r>
        <w:rPr>
          <w:rFonts w:hint="eastAsia"/>
          <w:szCs w:val="21"/>
        </w:rPr>
        <w:t>年度より</w:t>
      </w:r>
      <w:r>
        <w:rPr>
          <w:rFonts w:hint="eastAsia"/>
          <w:szCs w:val="21"/>
        </w:rPr>
        <w:t>2</w:t>
      </w:r>
      <w:r w:rsidR="005075D2">
        <w:rPr>
          <w:rFonts w:hint="eastAsia"/>
          <w:szCs w:val="21"/>
        </w:rPr>
        <w:t>,</w:t>
      </w:r>
      <w:r>
        <w:rPr>
          <w:rFonts w:hint="eastAsia"/>
          <w:szCs w:val="21"/>
        </w:rPr>
        <w:t>000</w:t>
      </w:r>
      <w:r>
        <w:rPr>
          <w:rFonts w:hint="eastAsia"/>
          <w:szCs w:val="21"/>
        </w:rPr>
        <w:t>㎡以上の大規模非住宅建築物の新築・増改築時に建築基準法と連動して断熱性能等の外皮性能、建築設備の効率性及び再生可能エネルギーの利用を踏まえて総合化した一次エネルギー消費量に関する基準に適合することを義務化する予定である。</w:t>
      </w:r>
    </w:p>
    <w:p w:rsidR="003D1D3D" w:rsidRDefault="006823EC" w:rsidP="00F42831">
      <w:pPr>
        <w:spacing w:line="320" w:lineRule="exact"/>
        <w:ind w:leftChars="100" w:left="199" w:firstLineChars="100" w:firstLine="199"/>
        <w:rPr>
          <w:szCs w:val="21"/>
        </w:rPr>
      </w:pPr>
      <w:r>
        <w:rPr>
          <w:rFonts w:hint="eastAsia"/>
          <w:szCs w:val="21"/>
        </w:rPr>
        <w:t>大阪府では、</w:t>
      </w:r>
      <w:r>
        <w:rPr>
          <w:rFonts w:hint="eastAsia"/>
          <w:szCs w:val="21"/>
        </w:rPr>
        <w:t>2015</w:t>
      </w:r>
      <w:r>
        <w:rPr>
          <w:rFonts w:hint="eastAsia"/>
          <w:szCs w:val="21"/>
        </w:rPr>
        <w:t>年度から国に先駆けて非住宅</w:t>
      </w:r>
      <w:r>
        <w:rPr>
          <w:rFonts w:hint="eastAsia"/>
          <w:szCs w:val="21"/>
        </w:rPr>
        <w:t>10</w:t>
      </w:r>
      <w:r w:rsidR="005075D2">
        <w:rPr>
          <w:rFonts w:hint="eastAsia"/>
          <w:szCs w:val="21"/>
        </w:rPr>
        <w:t>,</w:t>
      </w:r>
      <w:r>
        <w:rPr>
          <w:rFonts w:hint="eastAsia"/>
          <w:szCs w:val="21"/>
        </w:rPr>
        <w:t>000</w:t>
      </w:r>
      <w:r>
        <w:rPr>
          <w:rFonts w:hint="eastAsia"/>
          <w:szCs w:val="21"/>
        </w:rPr>
        <w:t>㎡以上に</w:t>
      </w:r>
      <w:r w:rsidR="00392F57">
        <w:rPr>
          <w:rFonts w:hint="eastAsia"/>
          <w:szCs w:val="21"/>
        </w:rPr>
        <w:t>ついて、一次エネルギー消費量の基準に加え、建築物の外壁、窓等の断熱化などの外皮基準の双方を満足することとしている。</w:t>
      </w:r>
    </w:p>
    <w:p w:rsidR="00392F57" w:rsidRDefault="00392F57" w:rsidP="00F42831">
      <w:pPr>
        <w:spacing w:line="320" w:lineRule="exact"/>
        <w:ind w:leftChars="100" w:left="199" w:firstLineChars="100" w:firstLine="199"/>
        <w:rPr>
          <w:szCs w:val="21"/>
        </w:rPr>
      </w:pPr>
      <w:r>
        <w:rPr>
          <w:rFonts w:hint="eastAsia"/>
          <w:szCs w:val="21"/>
        </w:rPr>
        <w:t>建築物の外皮性能を向上させることは、新築・増改築時には比較的対応が容易であるが、建築後は対応が</w:t>
      </w:r>
    </w:p>
    <w:p w:rsidR="00392F57" w:rsidRDefault="00392F57" w:rsidP="00F42831">
      <w:pPr>
        <w:spacing w:line="320" w:lineRule="exact"/>
        <w:ind w:leftChars="100" w:left="1393" w:hanging="1194"/>
        <w:rPr>
          <w:szCs w:val="21"/>
        </w:rPr>
      </w:pPr>
      <w:r>
        <w:rPr>
          <w:rFonts w:hint="eastAsia"/>
          <w:szCs w:val="21"/>
        </w:rPr>
        <w:t>困難と考えられる。また、１次エネルギーの消費量が少ない高効率な設備も、電気やガス等のインフラが途</w:t>
      </w:r>
    </w:p>
    <w:p w:rsidR="00392F57" w:rsidRPr="00F42831" w:rsidRDefault="00392F57" w:rsidP="00F42831">
      <w:pPr>
        <w:spacing w:afterLines="50" w:after="145" w:line="320" w:lineRule="exact"/>
        <w:ind w:leftChars="100" w:left="1395" w:hanging="1196"/>
        <w:rPr>
          <w:szCs w:val="21"/>
        </w:rPr>
      </w:pPr>
      <w:r>
        <w:rPr>
          <w:rFonts w:hint="eastAsia"/>
          <w:szCs w:val="21"/>
        </w:rPr>
        <w:t>絶するような災害時には活用できず、外皮性能が確保された建築物は防災的な観点からも効果が期待できる。</w:t>
      </w:r>
    </w:p>
    <w:tbl>
      <w:tblPr>
        <w:tblStyle w:val="a6"/>
        <w:tblW w:w="9923" w:type="dxa"/>
        <w:tblInd w:w="250" w:type="dxa"/>
        <w:shd w:val="clear" w:color="auto" w:fill="FFFF00"/>
        <w:tblLook w:val="04A0" w:firstRow="1" w:lastRow="0" w:firstColumn="1" w:lastColumn="0" w:noHBand="0" w:noVBand="1"/>
      </w:tblPr>
      <w:tblGrid>
        <w:gridCol w:w="9923"/>
      </w:tblGrid>
      <w:tr w:rsidR="003D1D3D" w:rsidTr="00F42831">
        <w:tc>
          <w:tcPr>
            <w:tcW w:w="9923" w:type="dxa"/>
            <w:shd w:val="clear" w:color="auto" w:fill="FFFF00"/>
          </w:tcPr>
          <w:p w:rsidR="003D1D3D" w:rsidRDefault="003D1D3D" w:rsidP="00F42831">
            <w:pPr>
              <w:spacing w:beforeLines="50" w:before="145"/>
              <w:ind w:left="600" w:hangingChars="300" w:hanging="600"/>
              <w:rPr>
                <w:b/>
                <w:szCs w:val="21"/>
              </w:rPr>
            </w:pPr>
            <w:r w:rsidRPr="00E64ACE">
              <w:rPr>
                <w:rFonts w:hint="eastAsia"/>
                <w:b/>
                <w:szCs w:val="21"/>
              </w:rPr>
              <w:t>（案）</w:t>
            </w:r>
            <w:r>
              <w:rPr>
                <w:rFonts w:hint="eastAsia"/>
                <w:b/>
                <w:szCs w:val="21"/>
              </w:rPr>
              <w:t>・</w:t>
            </w:r>
            <w:r w:rsidRPr="003D501E">
              <w:rPr>
                <w:rFonts w:hint="eastAsia"/>
                <w:b/>
                <w:szCs w:val="21"/>
              </w:rPr>
              <w:t xml:space="preserve">適用面積　</w:t>
            </w:r>
            <w:r w:rsidRPr="005D7966">
              <w:rPr>
                <w:rFonts w:hint="eastAsia"/>
                <w:b/>
                <w:szCs w:val="21"/>
              </w:rPr>
              <w:t>建築物省エネ法による基準の適合を要する面積として予定している</w:t>
            </w:r>
            <w:r w:rsidRPr="005D7966">
              <w:rPr>
                <w:b/>
                <w:szCs w:val="21"/>
              </w:rPr>
              <w:t>2</w:t>
            </w:r>
            <w:r w:rsidRPr="003D501E">
              <w:rPr>
                <w:b/>
                <w:szCs w:val="21"/>
              </w:rPr>
              <w:t>,000</w:t>
            </w:r>
            <w:r w:rsidRPr="003D501E">
              <w:rPr>
                <w:rFonts w:hint="eastAsia"/>
                <w:b/>
                <w:szCs w:val="21"/>
              </w:rPr>
              <w:t>㎡に引き下げる。</w:t>
            </w:r>
          </w:p>
          <w:p w:rsidR="003D1D3D" w:rsidRDefault="003D1D3D" w:rsidP="00F42831">
            <w:pPr>
              <w:spacing w:afterLines="50" w:after="145"/>
              <w:ind w:leftChars="230" w:left="1058" w:hangingChars="300" w:hanging="600"/>
              <w:rPr>
                <w:b/>
                <w:szCs w:val="21"/>
              </w:rPr>
            </w:pPr>
            <w:r>
              <w:rPr>
                <w:rFonts w:hint="eastAsia"/>
                <w:b/>
                <w:szCs w:val="21"/>
              </w:rPr>
              <w:t>・</w:t>
            </w:r>
            <w:r w:rsidRPr="003D501E">
              <w:rPr>
                <w:rFonts w:hint="eastAsia"/>
                <w:b/>
                <w:szCs w:val="21"/>
              </w:rPr>
              <w:t>適用除外</w:t>
            </w:r>
            <w:r>
              <w:rPr>
                <w:rFonts w:hint="eastAsia"/>
                <w:szCs w:val="21"/>
              </w:rPr>
              <w:t xml:space="preserve">　</w:t>
            </w:r>
            <w:r w:rsidRPr="00CA575A">
              <w:rPr>
                <w:rFonts w:hint="eastAsia"/>
                <w:b/>
                <w:szCs w:val="21"/>
              </w:rPr>
              <w:t>建築物省エネ法で規制的措置の適用除外とされているもの</w:t>
            </w:r>
            <w:r>
              <w:rPr>
                <w:rFonts w:hint="eastAsia"/>
                <w:b/>
                <w:szCs w:val="21"/>
              </w:rPr>
              <w:t>等。</w:t>
            </w:r>
          </w:p>
        </w:tc>
      </w:tr>
    </w:tbl>
    <w:p w:rsidR="009219EA" w:rsidRDefault="003D1D3D" w:rsidP="00F42831">
      <w:pPr>
        <w:spacing w:beforeLines="50" w:before="145"/>
        <w:ind w:left="1621" w:hanging="770"/>
      </w:pPr>
      <w:r>
        <w:rPr>
          <w:rFonts w:hint="eastAsia"/>
          <w:noProof/>
        </w:rPr>
        <mc:AlternateContent>
          <mc:Choice Requires="wps">
            <w:drawing>
              <wp:anchor distT="0" distB="0" distL="114300" distR="114300" simplePos="0" relativeHeight="251659264" behindDoc="1" locked="0" layoutInCell="1" allowOverlap="1" wp14:anchorId="506C3943" wp14:editId="62DDA0BF">
                <wp:simplePos x="0" y="0"/>
                <wp:positionH relativeFrom="column">
                  <wp:posOffset>373380</wp:posOffset>
                </wp:positionH>
                <wp:positionV relativeFrom="paragraph">
                  <wp:posOffset>68580</wp:posOffset>
                </wp:positionV>
                <wp:extent cx="5819775" cy="11430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819775" cy="11430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29.4pt;margin-top:5.4pt;width:458.2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" fillcolor="white [3201]" strokecolor="#f79646 [3209]" strokeweight="2pt"/>
            </w:pict>
          </mc:Fallback>
        </mc:AlternateContent>
      </w:r>
      <w:r w:rsidR="005C1063" w:rsidRPr="005C1063">
        <w:rPr>
          <w:rFonts w:hint="eastAsia"/>
          <w:b/>
        </w:rPr>
        <w:t>建築物省エネ法第</w:t>
      </w:r>
      <w:r w:rsidR="005C1063" w:rsidRPr="005C1063">
        <w:rPr>
          <w:rFonts w:hint="eastAsia"/>
          <w:b/>
        </w:rPr>
        <w:t>18</w:t>
      </w:r>
      <w:r w:rsidR="005C1063" w:rsidRPr="005C1063">
        <w:rPr>
          <w:rFonts w:hint="eastAsia"/>
          <w:b/>
        </w:rPr>
        <w:t>条</w:t>
      </w:r>
    </w:p>
    <w:p w:rsidR="0086794B" w:rsidRDefault="0086794B" w:rsidP="00F42831">
      <w:pPr>
        <w:pStyle w:val="a7"/>
        <w:ind w:leftChars="550" w:left="1473" w:hangingChars="200" w:hanging="378"/>
      </w:pPr>
      <w:r>
        <w:rPr>
          <w:rFonts w:hint="eastAsia"/>
        </w:rPr>
        <w:t>一</w:t>
      </w:r>
      <w:r w:rsidR="00CF493E">
        <w:rPr>
          <w:rFonts w:hint="eastAsia"/>
        </w:rPr>
        <w:t>号</w:t>
      </w:r>
      <w:r>
        <w:rPr>
          <w:rFonts w:hint="eastAsia"/>
        </w:rPr>
        <w:t xml:space="preserve">　</w:t>
      </w:r>
      <w:r w:rsidR="005C1063">
        <w:rPr>
          <w:rFonts w:hint="eastAsia"/>
        </w:rPr>
        <w:t>居室を有しないこと又は高い開放性を有することにより空気調和設備を設ける必要がないものとして政令に定める用途に供する建築物</w:t>
      </w:r>
    </w:p>
    <w:p w:rsidR="0086794B" w:rsidRDefault="0086794B" w:rsidP="00F42831">
      <w:pPr>
        <w:pStyle w:val="a7"/>
        <w:ind w:leftChars="550" w:left="1473" w:hangingChars="200" w:hanging="378"/>
      </w:pPr>
      <w:r>
        <w:rPr>
          <w:rFonts w:hint="eastAsia"/>
        </w:rPr>
        <w:t>二</w:t>
      </w:r>
      <w:r w:rsidR="005C1063">
        <w:rPr>
          <w:rFonts w:hint="eastAsia"/>
        </w:rPr>
        <w:t xml:space="preserve">号　</w:t>
      </w:r>
      <w:r w:rsidR="00C43655">
        <w:t>法令又は条例の定める</w:t>
      </w:r>
      <w:r w:rsidR="005C1063">
        <w:rPr>
          <w:rFonts w:hint="eastAsia"/>
        </w:rPr>
        <w:t>現状変更の規制及び保存のための措置</w:t>
      </w:r>
      <w:r>
        <w:rPr>
          <w:rFonts w:hint="eastAsia"/>
        </w:rPr>
        <w:t>がとられていることにより</w:t>
      </w:r>
      <w:r w:rsidR="00C43655" w:rsidRPr="00C43655">
        <w:rPr>
          <w:rFonts w:hint="eastAsia"/>
        </w:rPr>
        <w:t>建築物エネルギー消費性能基準に</w:t>
      </w:r>
      <w:r>
        <w:rPr>
          <w:rFonts w:hint="eastAsia"/>
        </w:rPr>
        <w:t>適合</w:t>
      </w:r>
      <w:r w:rsidR="00C43655" w:rsidRPr="00C43655">
        <w:rPr>
          <w:rFonts w:hint="eastAsia"/>
        </w:rPr>
        <w:t>させること</w:t>
      </w:r>
      <w:r>
        <w:rPr>
          <w:rFonts w:hint="eastAsia"/>
        </w:rPr>
        <w:t>が困難なものとして政令で定める建築物</w:t>
      </w:r>
    </w:p>
    <w:p w:rsidR="00405809" w:rsidRDefault="0086794B" w:rsidP="00F42831">
      <w:pPr>
        <w:pStyle w:val="a7"/>
        <w:ind w:leftChars="550" w:left="1473" w:hangingChars="200" w:hanging="378"/>
      </w:pPr>
      <w:r>
        <w:rPr>
          <w:rFonts w:hint="eastAsia"/>
        </w:rPr>
        <w:t>三</w:t>
      </w:r>
      <w:r w:rsidR="005C1063">
        <w:rPr>
          <w:rFonts w:hint="eastAsia"/>
        </w:rPr>
        <w:t>号　仮設の建築物</w:t>
      </w:r>
      <w:r>
        <w:rPr>
          <w:rFonts w:hint="eastAsia"/>
        </w:rPr>
        <w:t>であって政令で定めるもの</w:t>
      </w:r>
    </w:p>
    <w:p w:rsidR="005C1063" w:rsidRPr="00405809" w:rsidRDefault="00CF493E" w:rsidP="00BA0383">
      <w:pPr>
        <w:pStyle w:val="a7"/>
        <w:ind w:left="945" w:hangingChars="500" w:hanging="945"/>
        <w:rPr>
          <w:sz w:val="18"/>
          <w:szCs w:val="18"/>
        </w:rPr>
      </w:pPr>
      <w:r>
        <w:rPr>
          <w:rFonts w:hint="eastAsia"/>
        </w:rPr>
        <w:t xml:space="preserve">　　　　</w:t>
      </w:r>
      <w:r w:rsidR="00ED110B">
        <w:rPr>
          <w:rFonts w:hint="eastAsia"/>
        </w:rPr>
        <w:t xml:space="preserve">　</w:t>
      </w:r>
      <w:r w:rsidRPr="00405809">
        <w:rPr>
          <w:rFonts w:hint="eastAsia"/>
          <w:sz w:val="18"/>
          <w:szCs w:val="18"/>
        </w:rPr>
        <w:t>＊</w:t>
      </w:r>
      <w:r w:rsidR="005C1063" w:rsidRPr="00405809">
        <w:rPr>
          <w:rFonts w:hint="eastAsia"/>
          <w:sz w:val="18"/>
          <w:szCs w:val="18"/>
        </w:rPr>
        <w:t>2</w:t>
      </w:r>
      <w:r w:rsidR="00322034">
        <w:rPr>
          <w:rFonts w:hint="eastAsia"/>
          <w:sz w:val="18"/>
          <w:szCs w:val="18"/>
        </w:rPr>
        <w:t>,</w:t>
      </w:r>
      <w:r w:rsidR="005C1063" w:rsidRPr="00405809">
        <w:rPr>
          <w:rFonts w:hint="eastAsia"/>
          <w:sz w:val="18"/>
          <w:szCs w:val="18"/>
        </w:rPr>
        <w:t>000㎡以上</w:t>
      </w:r>
      <w:r w:rsidR="00223C76" w:rsidRPr="00405809">
        <w:rPr>
          <w:rFonts w:hint="eastAsia"/>
          <w:sz w:val="18"/>
          <w:szCs w:val="18"/>
        </w:rPr>
        <w:t>の非住宅</w:t>
      </w:r>
      <w:r w:rsidR="00A551F1" w:rsidRPr="00405809">
        <w:rPr>
          <w:rFonts w:hint="eastAsia"/>
          <w:sz w:val="18"/>
          <w:szCs w:val="18"/>
        </w:rPr>
        <w:t>について省エネルギー措置の</w:t>
      </w:r>
      <w:r w:rsidR="00BA35B6">
        <w:rPr>
          <w:rFonts w:hint="eastAsia"/>
          <w:sz w:val="18"/>
          <w:szCs w:val="18"/>
        </w:rPr>
        <w:t>届出を義務付</w:t>
      </w:r>
      <w:r w:rsidR="0086794B">
        <w:rPr>
          <w:rFonts w:hint="eastAsia"/>
          <w:sz w:val="18"/>
          <w:szCs w:val="18"/>
        </w:rPr>
        <w:t>（2003年</w:t>
      </w:r>
      <w:r w:rsidR="00F62B9B">
        <w:rPr>
          <w:rFonts w:hint="eastAsia"/>
          <w:sz w:val="18"/>
          <w:szCs w:val="18"/>
        </w:rPr>
        <w:t>度</w:t>
      </w:r>
      <w:r w:rsidR="0086794B">
        <w:rPr>
          <w:rFonts w:hint="eastAsia"/>
          <w:sz w:val="18"/>
          <w:szCs w:val="18"/>
        </w:rPr>
        <w:t>～）</w:t>
      </w:r>
      <w:r w:rsidRPr="00405809">
        <w:rPr>
          <w:rFonts w:hint="eastAsia"/>
          <w:sz w:val="18"/>
          <w:szCs w:val="18"/>
        </w:rPr>
        <w:t>。</w:t>
      </w:r>
    </w:p>
    <w:p w:rsidR="00CF493E" w:rsidRPr="00BA35B6" w:rsidRDefault="00BA35B6" w:rsidP="00CF493E">
      <w:pPr>
        <w:widowControl/>
        <w:jc w:val="left"/>
        <w:rPr>
          <w:b/>
          <w:szCs w:val="21"/>
        </w:rPr>
      </w:pPr>
      <w:r w:rsidRPr="00BA35B6">
        <w:rPr>
          <w:rFonts w:hint="eastAsia"/>
          <w:b/>
          <w:szCs w:val="21"/>
          <w:bdr w:val="single" w:sz="4" w:space="0" w:color="auto"/>
        </w:rPr>
        <w:t>検討内容</w:t>
      </w:r>
    </w:p>
    <w:p w:rsidR="003B7E62" w:rsidRPr="00CA575A" w:rsidRDefault="00396EA6" w:rsidP="00F42831">
      <w:pPr>
        <w:widowControl/>
        <w:ind w:leftChars="100" w:left="199"/>
        <w:jc w:val="left"/>
        <w:rPr>
          <w:b/>
          <w:szCs w:val="21"/>
        </w:rPr>
      </w:pPr>
      <w:r>
        <w:rPr>
          <w:rFonts w:hint="eastAsia"/>
          <w:b/>
          <w:szCs w:val="21"/>
        </w:rPr>
        <w:t>１）</w:t>
      </w:r>
      <w:r w:rsidR="003B7E62" w:rsidRPr="00CA575A">
        <w:rPr>
          <w:rFonts w:hint="eastAsia"/>
          <w:b/>
          <w:szCs w:val="21"/>
        </w:rPr>
        <w:t>用途による適用除外</w:t>
      </w:r>
      <w:r w:rsidR="00CF493E">
        <w:rPr>
          <w:rFonts w:hint="eastAsia"/>
          <w:b/>
          <w:szCs w:val="21"/>
        </w:rPr>
        <w:t>の検討結果</w:t>
      </w:r>
    </w:p>
    <w:p w:rsidR="00CA575A" w:rsidRDefault="006F0411" w:rsidP="00F42831">
      <w:pPr>
        <w:ind w:leftChars="200" w:left="398" w:firstLineChars="100" w:firstLine="199"/>
        <w:rPr>
          <w:szCs w:val="21"/>
        </w:rPr>
      </w:pPr>
      <w:r>
        <w:rPr>
          <w:rFonts w:hint="eastAsia"/>
          <w:szCs w:val="21"/>
        </w:rPr>
        <w:t>現時点において、省エネ基準の外皮性能基準への適合状況が概ね８</w:t>
      </w:r>
      <w:r w:rsidR="00BA35B6">
        <w:rPr>
          <w:rFonts w:hint="eastAsia"/>
          <w:szCs w:val="21"/>
        </w:rPr>
        <w:t>割以上のため、採用せず。</w:t>
      </w:r>
    </w:p>
    <w:p w:rsidR="002525DF" w:rsidRDefault="002525DF" w:rsidP="00F42831">
      <w:pPr>
        <w:ind w:leftChars="400" w:left="796"/>
        <w:rPr>
          <w:szCs w:val="21"/>
        </w:rPr>
      </w:pPr>
      <w:r>
        <w:rPr>
          <w:rFonts w:hint="eastAsia"/>
          <w:szCs w:val="21"/>
        </w:rPr>
        <w:t>＜</w:t>
      </w:r>
      <w:r w:rsidR="00F62B9B">
        <w:rPr>
          <w:rFonts w:hint="eastAsia"/>
          <w:szCs w:val="21"/>
        </w:rPr>
        <w:t>2015</w:t>
      </w:r>
      <w:r>
        <w:rPr>
          <w:rFonts w:hint="eastAsia"/>
          <w:szCs w:val="21"/>
        </w:rPr>
        <w:t>年度の</w:t>
      </w:r>
      <w:r w:rsidR="00F00C4E">
        <w:rPr>
          <w:rFonts w:hint="eastAsia"/>
          <w:szCs w:val="21"/>
        </w:rPr>
        <w:t>外皮</w:t>
      </w:r>
      <w:r>
        <w:rPr>
          <w:rFonts w:hint="eastAsia"/>
          <w:szCs w:val="21"/>
        </w:rPr>
        <w:t>不適合事例＞</w:t>
      </w:r>
    </w:p>
    <w:tbl>
      <w:tblPr>
        <w:tblStyle w:val="a6"/>
        <w:tblW w:w="9518" w:type="dxa"/>
        <w:tblInd w:w="817" w:type="dxa"/>
        <w:tblLook w:val="04A0" w:firstRow="1" w:lastRow="0" w:firstColumn="1" w:lastColumn="0" w:noHBand="0" w:noVBand="1"/>
      </w:tblPr>
      <w:tblGrid>
        <w:gridCol w:w="1842"/>
        <w:gridCol w:w="851"/>
        <w:gridCol w:w="937"/>
        <w:gridCol w:w="3032"/>
        <w:gridCol w:w="2856"/>
      </w:tblGrid>
      <w:tr w:rsidR="00FF6CE4" w:rsidTr="00F42831">
        <w:tc>
          <w:tcPr>
            <w:tcW w:w="1842" w:type="dxa"/>
            <w:vAlign w:val="center"/>
          </w:tcPr>
          <w:p w:rsidR="00FF6CE4" w:rsidRDefault="00F62B9B" w:rsidP="00F42831">
            <w:pPr>
              <w:jc w:val="center"/>
              <w:rPr>
                <w:szCs w:val="21"/>
              </w:rPr>
            </w:pPr>
            <w:r>
              <w:rPr>
                <w:rFonts w:hint="eastAsia"/>
                <w:szCs w:val="21"/>
              </w:rPr>
              <w:t>省エネ法上の用途</w:t>
            </w:r>
          </w:p>
        </w:tc>
        <w:tc>
          <w:tcPr>
            <w:tcW w:w="851" w:type="dxa"/>
            <w:vAlign w:val="center"/>
          </w:tcPr>
          <w:p w:rsidR="00FF6CE4" w:rsidRDefault="00FF6CE4" w:rsidP="00F42831">
            <w:pPr>
              <w:jc w:val="center"/>
              <w:rPr>
                <w:szCs w:val="21"/>
              </w:rPr>
            </w:pPr>
            <w:r>
              <w:rPr>
                <w:rFonts w:hint="eastAsia"/>
                <w:szCs w:val="21"/>
              </w:rPr>
              <w:t>適合率</w:t>
            </w:r>
          </w:p>
        </w:tc>
        <w:tc>
          <w:tcPr>
            <w:tcW w:w="937" w:type="dxa"/>
            <w:vAlign w:val="center"/>
          </w:tcPr>
          <w:p w:rsidR="00FF6CE4" w:rsidRDefault="00FF6CE4" w:rsidP="00F42831">
            <w:pPr>
              <w:jc w:val="center"/>
              <w:rPr>
                <w:szCs w:val="21"/>
              </w:rPr>
            </w:pPr>
            <w:r>
              <w:rPr>
                <w:rFonts w:hint="eastAsia"/>
                <w:szCs w:val="21"/>
              </w:rPr>
              <w:t>件数</w:t>
            </w:r>
          </w:p>
        </w:tc>
        <w:tc>
          <w:tcPr>
            <w:tcW w:w="3032" w:type="dxa"/>
            <w:vAlign w:val="center"/>
          </w:tcPr>
          <w:p w:rsidR="00FF6CE4" w:rsidRDefault="00F62B9B" w:rsidP="00F42831">
            <w:pPr>
              <w:jc w:val="center"/>
              <w:rPr>
                <w:szCs w:val="21"/>
              </w:rPr>
            </w:pPr>
            <w:r>
              <w:rPr>
                <w:rFonts w:hint="eastAsia"/>
                <w:szCs w:val="21"/>
              </w:rPr>
              <w:t>具体的な用途</w:t>
            </w:r>
          </w:p>
        </w:tc>
        <w:tc>
          <w:tcPr>
            <w:tcW w:w="2856" w:type="dxa"/>
            <w:vAlign w:val="center"/>
          </w:tcPr>
          <w:p w:rsidR="00FF6CE4" w:rsidRDefault="003647E4" w:rsidP="00F42831">
            <w:pPr>
              <w:jc w:val="center"/>
              <w:rPr>
                <w:szCs w:val="21"/>
              </w:rPr>
            </w:pPr>
            <w:r>
              <w:rPr>
                <w:rFonts w:hint="eastAsia"/>
                <w:szCs w:val="21"/>
              </w:rPr>
              <w:t>不適合</w:t>
            </w:r>
            <w:r w:rsidR="00581C6D">
              <w:rPr>
                <w:rFonts w:hint="eastAsia"/>
                <w:szCs w:val="21"/>
              </w:rPr>
              <w:t>理由</w:t>
            </w:r>
          </w:p>
        </w:tc>
      </w:tr>
      <w:tr w:rsidR="00FF6CE4" w:rsidTr="00F42831">
        <w:tc>
          <w:tcPr>
            <w:tcW w:w="1842" w:type="dxa"/>
            <w:vAlign w:val="center"/>
          </w:tcPr>
          <w:p w:rsidR="00FF6CE4" w:rsidRPr="00380BA9" w:rsidRDefault="00FF6CE4" w:rsidP="00F62B9B">
            <w:pPr>
              <w:pStyle w:val="a5"/>
              <w:numPr>
                <w:ilvl w:val="0"/>
                <w:numId w:val="12"/>
              </w:numPr>
              <w:ind w:leftChars="0"/>
              <w:rPr>
                <w:szCs w:val="21"/>
              </w:rPr>
            </w:pPr>
            <w:r w:rsidRPr="00380BA9">
              <w:rPr>
                <w:rFonts w:hint="eastAsia"/>
                <w:szCs w:val="21"/>
              </w:rPr>
              <w:t>ホテル等</w:t>
            </w:r>
          </w:p>
        </w:tc>
        <w:tc>
          <w:tcPr>
            <w:tcW w:w="851" w:type="dxa"/>
            <w:vAlign w:val="center"/>
          </w:tcPr>
          <w:p w:rsidR="00FF6CE4" w:rsidRDefault="00FF6CE4" w:rsidP="00F42831">
            <w:pPr>
              <w:jc w:val="center"/>
              <w:rPr>
                <w:szCs w:val="21"/>
              </w:rPr>
            </w:pPr>
            <w:r>
              <w:rPr>
                <w:rFonts w:hint="eastAsia"/>
                <w:szCs w:val="21"/>
              </w:rPr>
              <w:t>83%</w:t>
            </w:r>
          </w:p>
        </w:tc>
        <w:tc>
          <w:tcPr>
            <w:tcW w:w="937" w:type="dxa"/>
            <w:vAlign w:val="center"/>
          </w:tcPr>
          <w:p w:rsidR="00FF6CE4" w:rsidRDefault="00FF6CE4" w:rsidP="00F42831">
            <w:pPr>
              <w:jc w:val="center"/>
              <w:rPr>
                <w:szCs w:val="21"/>
              </w:rPr>
            </w:pPr>
            <w:r>
              <w:rPr>
                <w:rFonts w:hint="eastAsia"/>
                <w:szCs w:val="21"/>
              </w:rPr>
              <w:t>4</w:t>
            </w:r>
          </w:p>
        </w:tc>
        <w:tc>
          <w:tcPr>
            <w:tcW w:w="3032" w:type="dxa"/>
            <w:vAlign w:val="center"/>
          </w:tcPr>
          <w:p w:rsidR="00FF6CE4" w:rsidRDefault="00FF6CE4" w:rsidP="00412A62">
            <w:pPr>
              <w:rPr>
                <w:szCs w:val="21"/>
              </w:rPr>
            </w:pPr>
          </w:p>
        </w:tc>
        <w:tc>
          <w:tcPr>
            <w:tcW w:w="2856" w:type="dxa"/>
            <w:vAlign w:val="center"/>
          </w:tcPr>
          <w:p w:rsidR="00FF6CE4" w:rsidRDefault="00FF6CE4" w:rsidP="00581C6D">
            <w:pPr>
              <w:rPr>
                <w:szCs w:val="21"/>
              </w:rPr>
            </w:pPr>
            <w:r>
              <w:rPr>
                <w:rFonts w:hint="eastAsia"/>
                <w:szCs w:val="21"/>
              </w:rPr>
              <w:t>ALC</w:t>
            </w:r>
            <w:r w:rsidR="00581C6D">
              <w:rPr>
                <w:rFonts w:hint="eastAsia"/>
                <w:szCs w:val="21"/>
              </w:rPr>
              <w:t>を評価していない</w:t>
            </w:r>
            <w:r>
              <w:rPr>
                <w:rFonts w:hint="eastAsia"/>
                <w:szCs w:val="21"/>
              </w:rPr>
              <w:t>3</w:t>
            </w:r>
            <w:r>
              <w:rPr>
                <w:rFonts w:hint="eastAsia"/>
                <w:szCs w:val="21"/>
              </w:rPr>
              <w:t>件</w:t>
            </w:r>
            <w:r w:rsidR="00380BA9">
              <w:rPr>
                <w:szCs w:val="21"/>
              </w:rPr>
              <w:br/>
            </w:r>
            <w:r w:rsidR="00581C6D">
              <w:rPr>
                <w:rFonts w:hint="eastAsia"/>
                <w:szCs w:val="21"/>
              </w:rPr>
              <w:t>テナント未定</w:t>
            </w:r>
            <w:r>
              <w:rPr>
                <w:rFonts w:hint="eastAsia"/>
                <w:szCs w:val="21"/>
              </w:rPr>
              <w:t>1</w:t>
            </w:r>
            <w:r>
              <w:rPr>
                <w:rFonts w:hint="eastAsia"/>
                <w:szCs w:val="21"/>
              </w:rPr>
              <w:t>件</w:t>
            </w:r>
          </w:p>
        </w:tc>
      </w:tr>
      <w:tr w:rsidR="00FF6CE4" w:rsidTr="00F42831">
        <w:tc>
          <w:tcPr>
            <w:tcW w:w="1842" w:type="dxa"/>
            <w:vAlign w:val="center"/>
          </w:tcPr>
          <w:p w:rsidR="00FF6CE4" w:rsidRPr="00380BA9" w:rsidRDefault="00FF6CE4" w:rsidP="00F62B9B">
            <w:pPr>
              <w:pStyle w:val="a5"/>
              <w:numPr>
                <w:ilvl w:val="0"/>
                <w:numId w:val="12"/>
              </w:numPr>
              <w:ind w:leftChars="0"/>
              <w:rPr>
                <w:szCs w:val="21"/>
              </w:rPr>
            </w:pPr>
            <w:r w:rsidRPr="00380BA9">
              <w:rPr>
                <w:rFonts w:hint="eastAsia"/>
                <w:szCs w:val="21"/>
              </w:rPr>
              <w:t>物販店舗・飲食店等</w:t>
            </w:r>
          </w:p>
        </w:tc>
        <w:tc>
          <w:tcPr>
            <w:tcW w:w="851" w:type="dxa"/>
            <w:vAlign w:val="center"/>
          </w:tcPr>
          <w:p w:rsidR="00FF6CE4" w:rsidRDefault="00FF6CE4" w:rsidP="00F42831">
            <w:pPr>
              <w:jc w:val="center"/>
              <w:rPr>
                <w:szCs w:val="21"/>
              </w:rPr>
            </w:pPr>
            <w:r>
              <w:rPr>
                <w:rFonts w:hint="eastAsia"/>
                <w:szCs w:val="21"/>
              </w:rPr>
              <w:t>89%</w:t>
            </w:r>
          </w:p>
        </w:tc>
        <w:tc>
          <w:tcPr>
            <w:tcW w:w="937" w:type="dxa"/>
            <w:vAlign w:val="center"/>
          </w:tcPr>
          <w:p w:rsidR="00FF6CE4" w:rsidRDefault="00FF6CE4" w:rsidP="00F42831">
            <w:pPr>
              <w:jc w:val="center"/>
              <w:rPr>
                <w:szCs w:val="21"/>
              </w:rPr>
            </w:pPr>
            <w:r>
              <w:rPr>
                <w:rFonts w:hint="eastAsia"/>
                <w:szCs w:val="21"/>
              </w:rPr>
              <w:t>3</w:t>
            </w:r>
          </w:p>
        </w:tc>
        <w:tc>
          <w:tcPr>
            <w:tcW w:w="3032" w:type="dxa"/>
            <w:vAlign w:val="center"/>
          </w:tcPr>
          <w:p w:rsidR="00515A8E" w:rsidRDefault="00CF493E" w:rsidP="00412A62">
            <w:pPr>
              <w:rPr>
                <w:szCs w:val="21"/>
              </w:rPr>
            </w:pPr>
            <w:r>
              <w:rPr>
                <w:rFonts w:hint="eastAsia"/>
                <w:szCs w:val="21"/>
              </w:rPr>
              <w:t>スーパー、ホームセンター</w:t>
            </w:r>
          </w:p>
          <w:p w:rsidR="00FF6CE4" w:rsidRDefault="00FF6CE4">
            <w:pPr>
              <w:rPr>
                <w:szCs w:val="21"/>
              </w:rPr>
            </w:pPr>
            <w:r>
              <w:rPr>
                <w:rFonts w:hint="eastAsia"/>
                <w:szCs w:val="21"/>
              </w:rPr>
              <w:t>商業施設計画</w:t>
            </w:r>
          </w:p>
        </w:tc>
        <w:tc>
          <w:tcPr>
            <w:tcW w:w="2856" w:type="dxa"/>
            <w:vAlign w:val="center"/>
          </w:tcPr>
          <w:p w:rsidR="00FF6CE4" w:rsidRDefault="00581C6D">
            <w:pPr>
              <w:rPr>
                <w:szCs w:val="21"/>
              </w:rPr>
            </w:pPr>
            <w:r>
              <w:rPr>
                <w:rFonts w:hint="eastAsia"/>
                <w:szCs w:val="21"/>
              </w:rPr>
              <w:t>外壁に</w:t>
            </w:r>
            <w:r w:rsidR="00515A8E">
              <w:rPr>
                <w:rFonts w:hint="eastAsia"/>
                <w:szCs w:val="21"/>
              </w:rPr>
              <w:t>断熱材なし</w:t>
            </w:r>
            <w:r w:rsidR="00382C84">
              <w:rPr>
                <w:rFonts w:hint="eastAsia"/>
                <w:szCs w:val="21"/>
              </w:rPr>
              <w:t>２</w:t>
            </w:r>
            <w:r>
              <w:rPr>
                <w:rFonts w:hint="eastAsia"/>
                <w:szCs w:val="21"/>
              </w:rPr>
              <w:t>件</w:t>
            </w:r>
          </w:p>
          <w:p w:rsidR="00515A8E" w:rsidRDefault="00515A8E" w:rsidP="00581C6D">
            <w:pPr>
              <w:rPr>
                <w:szCs w:val="21"/>
              </w:rPr>
            </w:pPr>
            <w:r>
              <w:rPr>
                <w:rFonts w:hint="eastAsia"/>
                <w:szCs w:val="21"/>
              </w:rPr>
              <w:t>テナント未定</w:t>
            </w:r>
            <w:r w:rsidR="00581C6D">
              <w:rPr>
                <w:rFonts w:hint="eastAsia"/>
                <w:szCs w:val="21"/>
              </w:rPr>
              <w:t>１件</w:t>
            </w:r>
          </w:p>
        </w:tc>
      </w:tr>
      <w:tr w:rsidR="00FF6CE4" w:rsidTr="00F42831">
        <w:tc>
          <w:tcPr>
            <w:tcW w:w="1842" w:type="dxa"/>
            <w:vAlign w:val="center"/>
          </w:tcPr>
          <w:p w:rsidR="00FF6CE4" w:rsidRPr="00380BA9" w:rsidRDefault="00FF6CE4" w:rsidP="00F62B9B">
            <w:pPr>
              <w:pStyle w:val="a5"/>
              <w:numPr>
                <w:ilvl w:val="0"/>
                <w:numId w:val="12"/>
              </w:numPr>
              <w:ind w:leftChars="0"/>
              <w:rPr>
                <w:szCs w:val="21"/>
              </w:rPr>
            </w:pPr>
            <w:r w:rsidRPr="00380BA9">
              <w:rPr>
                <w:rFonts w:hint="eastAsia"/>
                <w:szCs w:val="21"/>
              </w:rPr>
              <w:t>集会所等</w:t>
            </w:r>
          </w:p>
        </w:tc>
        <w:tc>
          <w:tcPr>
            <w:tcW w:w="851" w:type="dxa"/>
            <w:vAlign w:val="center"/>
          </w:tcPr>
          <w:p w:rsidR="00FF6CE4" w:rsidRDefault="00FF6CE4" w:rsidP="00F42831">
            <w:pPr>
              <w:jc w:val="center"/>
              <w:rPr>
                <w:szCs w:val="21"/>
              </w:rPr>
            </w:pPr>
            <w:r>
              <w:rPr>
                <w:rFonts w:hint="eastAsia"/>
                <w:szCs w:val="21"/>
              </w:rPr>
              <w:t>95%</w:t>
            </w:r>
          </w:p>
        </w:tc>
        <w:tc>
          <w:tcPr>
            <w:tcW w:w="937" w:type="dxa"/>
            <w:vAlign w:val="center"/>
          </w:tcPr>
          <w:p w:rsidR="00FF6CE4" w:rsidRDefault="00FF6CE4" w:rsidP="00F42831">
            <w:pPr>
              <w:jc w:val="center"/>
              <w:rPr>
                <w:szCs w:val="21"/>
              </w:rPr>
            </w:pPr>
            <w:r>
              <w:rPr>
                <w:rFonts w:hint="eastAsia"/>
                <w:szCs w:val="21"/>
              </w:rPr>
              <w:t>1</w:t>
            </w:r>
          </w:p>
        </w:tc>
        <w:tc>
          <w:tcPr>
            <w:tcW w:w="3032" w:type="dxa"/>
            <w:vAlign w:val="center"/>
          </w:tcPr>
          <w:p w:rsidR="00FF6CE4" w:rsidRDefault="00FF6CE4" w:rsidP="00412A62">
            <w:pPr>
              <w:rPr>
                <w:szCs w:val="21"/>
              </w:rPr>
            </w:pPr>
            <w:r>
              <w:rPr>
                <w:rFonts w:hint="eastAsia"/>
                <w:szCs w:val="21"/>
              </w:rPr>
              <w:t>パチンコ店</w:t>
            </w:r>
            <w:r w:rsidR="00380BA9">
              <w:rPr>
                <w:rFonts w:hint="eastAsia"/>
                <w:szCs w:val="21"/>
              </w:rPr>
              <w:t>（上部</w:t>
            </w:r>
            <w:r w:rsidR="00F62B9B">
              <w:rPr>
                <w:rFonts w:hint="eastAsia"/>
                <w:szCs w:val="21"/>
              </w:rPr>
              <w:t>3</w:t>
            </w:r>
            <w:r w:rsidR="00F62B9B">
              <w:rPr>
                <w:rFonts w:hint="eastAsia"/>
                <w:szCs w:val="21"/>
              </w:rPr>
              <w:t>層</w:t>
            </w:r>
            <w:r w:rsidR="00380BA9">
              <w:rPr>
                <w:rFonts w:hint="eastAsia"/>
                <w:szCs w:val="21"/>
              </w:rPr>
              <w:t>駐車場）</w:t>
            </w:r>
          </w:p>
        </w:tc>
        <w:tc>
          <w:tcPr>
            <w:tcW w:w="2856" w:type="dxa"/>
            <w:vAlign w:val="center"/>
          </w:tcPr>
          <w:p w:rsidR="00FF6CE4" w:rsidRDefault="00FF6CE4" w:rsidP="00581C6D">
            <w:pPr>
              <w:rPr>
                <w:szCs w:val="21"/>
              </w:rPr>
            </w:pPr>
          </w:p>
        </w:tc>
      </w:tr>
    </w:tbl>
    <w:p w:rsidR="00CA575A" w:rsidRDefault="00380BA9" w:rsidP="00F42831">
      <w:pPr>
        <w:ind w:leftChars="300" w:left="796" w:hangingChars="100" w:hanging="199"/>
        <w:rPr>
          <w:szCs w:val="21"/>
        </w:rPr>
      </w:pPr>
      <w:r>
        <w:rPr>
          <w:rFonts w:hint="eastAsia"/>
          <w:szCs w:val="21"/>
        </w:rPr>
        <w:t>＊建築物省エネルギー法</w:t>
      </w:r>
      <w:r w:rsidR="00DD4244">
        <w:rPr>
          <w:rFonts w:hint="eastAsia"/>
          <w:szCs w:val="21"/>
        </w:rPr>
        <w:t>の適合義務化の規模の算定</w:t>
      </w:r>
      <w:r>
        <w:rPr>
          <w:rFonts w:hint="eastAsia"/>
          <w:szCs w:val="21"/>
        </w:rPr>
        <w:t>は、高い開放性を有する建築物の部分の面積を除外することを政令で定める予定</w:t>
      </w:r>
      <w:r w:rsidR="00DD4244">
        <w:rPr>
          <w:rFonts w:hint="eastAsia"/>
          <w:szCs w:val="21"/>
        </w:rPr>
        <w:t>のため、</w:t>
      </w:r>
      <w:r>
        <w:rPr>
          <w:rFonts w:hint="eastAsia"/>
          <w:szCs w:val="21"/>
        </w:rPr>
        <w:t>③</w:t>
      </w:r>
      <w:r w:rsidR="009A29F0">
        <w:rPr>
          <w:rFonts w:hint="eastAsia"/>
          <w:szCs w:val="21"/>
        </w:rPr>
        <w:t>案件は</w:t>
      </w:r>
      <w:r w:rsidR="009A29F0">
        <w:rPr>
          <w:rFonts w:hint="eastAsia"/>
          <w:szCs w:val="21"/>
        </w:rPr>
        <w:t>2</w:t>
      </w:r>
      <w:r w:rsidR="005075D2">
        <w:rPr>
          <w:rFonts w:hint="eastAsia"/>
          <w:szCs w:val="21"/>
        </w:rPr>
        <w:t>,</w:t>
      </w:r>
      <w:r w:rsidR="009A29F0">
        <w:rPr>
          <w:rFonts w:hint="eastAsia"/>
          <w:szCs w:val="21"/>
        </w:rPr>
        <w:t>000</w:t>
      </w:r>
      <w:r w:rsidR="009A29F0">
        <w:rPr>
          <w:rFonts w:hint="eastAsia"/>
          <w:szCs w:val="21"/>
        </w:rPr>
        <w:t>㎡</w:t>
      </w:r>
      <w:r w:rsidR="00DD4244">
        <w:rPr>
          <w:rFonts w:hint="eastAsia"/>
          <w:szCs w:val="21"/>
        </w:rPr>
        <w:t>未満となり適用</w:t>
      </w:r>
      <w:r w:rsidR="009A29F0">
        <w:rPr>
          <w:rFonts w:hint="eastAsia"/>
          <w:szCs w:val="21"/>
        </w:rPr>
        <w:t>除外</w:t>
      </w:r>
      <w:r w:rsidR="00DD4244">
        <w:rPr>
          <w:rFonts w:hint="eastAsia"/>
          <w:szCs w:val="21"/>
        </w:rPr>
        <w:t>となる</w:t>
      </w:r>
      <w:r w:rsidR="009A29F0">
        <w:rPr>
          <w:rFonts w:hint="eastAsia"/>
          <w:szCs w:val="21"/>
        </w:rPr>
        <w:t>。</w:t>
      </w:r>
    </w:p>
    <w:p w:rsidR="00380BA9" w:rsidRDefault="00380BA9" w:rsidP="00F42831">
      <w:pPr>
        <w:ind w:leftChars="300" w:left="796" w:hangingChars="100" w:hanging="199"/>
        <w:rPr>
          <w:szCs w:val="21"/>
        </w:rPr>
      </w:pPr>
      <w:r>
        <w:rPr>
          <w:rFonts w:hint="eastAsia"/>
          <w:szCs w:val="21"/>
        </w:rPr>
        <w:t>＊①のテナント未決定の案件については、</w:t>
      </w:r>
      <w:r w:rsidR="00DD4244">
        <w:rPr>
          <w:rFonts w:hint="eastAsia"/>
          <w:szCs w:val="21"/>
        </w:rPr>
        <w:t>届出時には不適合となるものの、</w:t>
      </w:r>
      <w:r>
        <w:rPr>
          <w:rFonts w:hint="eastAsia"/>
          <w:szCs w:val="21"/>
        </w:rPr>
        <w:t>変更届</w:t>
      </w:r>
      <w:r w:rsidR="00B1291A">
        <w:rPr>
          <w:rFonts w:hint="eastAsia"/>
          <w:szCs w:val="21"/>
        </w:rPr>
        <w:t>で</w:t>
      </w:r>
      <w:r>
        <w:rPr>
          <w:rFonts w:hint="eastAsia"/>
          <w:szCs w:val="21"/>
        </w:rPr>
        <w:t>対応</w:t>
      </w:r>
      <w:r w:rsidR="00B1291A">
        <w:rPr>
          <w:rFonts w:hint="eastAsia"/>
          <w:szCs w:val="21"/>
        </w:rPr>
        <w:t>すること</w:t>
      </w:r>
      <w:r w:rsidR="00C43655">
        <w:rPr>
          <w:rFonts w:hint="eastAsia"/>
          <w:szCs w:val="21"/>
        </w:rPr>
        <w:t>を</w:t>
      </w:r>
      <w:r>
        <w:rPr>
          <w:rFonts w:hint="eastAsia"/>
          <w:szCs w:val="21"/>
        </w:rPr>
        <w:t>可</w:t>
      </w:r>
      <w:r w:rsidR="00B1291A">
        <w:rPr>
          <w:rFonts w:hint="eastAsia"/>
          <w:szCs w:val="21"/>
        </w:rPr>
        <w:t>能</w:t>
      </w:r>
      <w:r w:rsidR="00C43655">
        <w:rPr>
          <w:rFonts w:hint="eastAsia"/>
          <w:szCs w:val="21"/>
        </w:rPr>
        <w:t>とすることを検討</w:t>
      </w:r>
      <w:r>
        <w:rPr>
          <w:rFonts w:hint="eastAsia"/>
          <w:szCs w:val="21"/>
        </w:rPr>
        <w:t>。</w:t>
      </w:r>
    </w:p>
    <w:p w:rsidR="00380BA9" w:rsidRDefault="003647E4" w:rsidP="00F42831">
      <w:pPr>
        <w:ind w:leftChars="300" w:left="796" w:hangingChars="100" w:hanging="199"/>
        <w:rPr>
          <w:szCs w:val="21"/>
        </w:rPr>
      </w:pPr>
      <w:r>
        <w:rPr>
          <w:rFonts w:hint="eastAsia"/>
          <w:szCs w:val="21"/>
        </w:rPr>
        <w:t>＊②の仕様の低い案件については、</w:t>
      </w:r>
      <w:r w:rsidR="00C768A3">
        <w:rPr>
          <w:rFonts w:hint="eastAsia"/>
          <w:szCs w:val="21"/>
        </w:rPr>
        <w:t>外壁・窓の断熱性能の向上が必要。</w:t>
      </w:r>
      <w:r w:rsidR="007112B2">
        <w:rPr>
          <w:rFonts w:hint="eastAsia"/>
          <w:szCs w:val="21"/>
        </w:rPr>
        <w:t>建築物の寿命が比較的短い</w:t>
      </w:r>
      <w:r w:rsidR="00782E46">
        <w:rPr>
          <w:rFonts w:hint="eastAsia"/>
          <w:szCs w:val="21"/>
        </w:rPr>
        <w:t>（</w:t>
      </w:r>
      <w:r w:rsidR="00782E46">
        <w:rPr>
          <w:rFonts w:hint="eastAsia"/>
          <w:szCs w:val="21"/>
        </w:rPr>
        <w:t>CASBEE2016</w:t>
      </w:r>
      <w:r w:rsidR="00782E46">
        <w:rPr>
          <w:rFonts w:hint="eastAsia"/>
          <w:szCs w:val="21"/>
        </w:rPr>
        <w:t xml:space="preserve">年版　</w:t>
      </w:r>
      <w:r w:rsidR="00782E46">
        <w:rPr>
          <w:rFonts w:hint="eastAsia"/>
          <w:szCs w:val="21"/>
        </w:rPr>
        <w:t>LCCO2</w:t>
      </w:r>
      <w:r w:rsidR="00782E46">
        <w:rPr>
          <w:rFonts w:hint="eastAsia"/>
          <w:szCs w:val="21"/>
        </w:rPr>
        <w:t xml:space="preserve">の耐用年数　</w:t>
      </w:r>
      <w:r w:rsidR="00782E46">
        <w:rPr>
          <w:rFonts w:hint="eastAsia"/>
          <w:szCs w:val="21"/>
        </w:rPr>
        <w:t>30</w:t>
      </w:r>
      <w:r w:rsidR="00782E46">
        <w:rPr>
          <w:rFonts w:hint="eastAsia"/>
          <w:szCs w:val="21"/>
        </w:rPr>
        <w:t>年）</w:t>
      </w:r>
      <w:r w:rsidR="007112B2">
        <w:rPr>
          <w:rFonts w:hint="eastAsia"/>
          <w:szCs w:val="21"/>
        </w:rPr>
        <w:t>と考え</w:t>
      </w:r>
      <w:r w:rsidR="00782E46">
        <w:rPr>
          <w:rFonts w:hint="eastAsia"/>
          <w:szCs w:val="21"/>
        </w:rPr>
        <w:t>られる</w:t>
      </w:r>
      <w:r w:rsidR="007112B2">
        <w:rPr>
          <w:rFonts w:hint="eastAsia"/>
          <w:szCs w:val="21"/>
        </w:rPr>
        <w:t>。</w:t>
      </w:r>
    </w:p>
    <w:p w:rsidR="00BA35B6" w:rsidRPr="00127756" w:rsidRDefault="00396EA6" w:rsidP="00F42831">
      <w:pPr>
        <w:widowControl/>
        <w:ind w:leftChars="100" w:left="199"/>
        <w:jc w:val="left"/>
        <w:rPr>
          <w:b/>
        </w:rPr>
      </w:pPr>
      <w:r>
        <w:rPr>
          <w:rFonts w:hint="eastAsia"/>
          <w:b/>
          <w:szCs w:val="21"/>
        </w:rPr>
        <w:t>２）</w:t>
      </w:r>
      <w:r w:rsidR="00CA575A">
        <w:rPr>
          <w:rFonts w:hint="eastAsia"/>
          <w:b/>
        </w:rPr>
        <w:t>デザイナーの自由度</w:t>
      </w:r>
    </w:p>
    <w:p w:rsidR="00127756" w:rsidRPr="009F75BA" w:rsidRDefault="007E7527" w:rsidP="00F42831">
      <w:pPr>
        <w:pStyle w:val="a7"/>
        <w:widowControl/>
        <w:ind w:leftChars="200" w:left="398"/>
        <w:rPr>
          <w:rFonts w:asciiTheme="minorEastAsia" w:eastAsiaTheme="minorEastAsia" w:hAnsiTheme="minorEastAsia"/>
          <w:b/>
          <w:sz w:val="21"/>
        </w:rPr>
      </w:pPr>
      <w:r>
        <w:rPr>
          <w:rFonts w:asciiTheme="minorEastAsia" w:eastAsiaTheme="minorEastAsia" w:hAnsiTheme="minorEastAsia" w:hint="eastAsia"/>
          <w:b/>
          <w:sz w:val="21"/>
        </w:rPr>
        <w:t xml:space="preserve">① </w:t>
      </w:r>
      <w:r w:rsidR="00FF6CE4" w:rsidRPr="009F75BA">
        <w:rPr>
          <w:rFonts w:asciiTheme="minorEastAsia" w:eastAsiaTheme="minorEastAsia" w:hAnsiTheme="minorEastAsia" w:hint="eastAsia"/>
          <w:b/>
          <w:sz w:val="21"/>
        </w:rPr>
        <w:t>ガラス</w:t>
      </w:r>
      <w:r w:rsidR="006F0411">
        <w:rPr>
          <w:rFonts w:asciiTheme="minorEastAsia" w:eastAsiaTheme="minorEastAsia" w:hAnsiTheme="minorEastAsia" w:hint="eastAsia"/>
          <w:b/>
          <w:sz w:val="21"/>
        </w:rPr>
        <w:t>を多用した</w:t>
      </w:r>
      <w:r w:rsidR="00127756" w:rsidRPr="009F75BA">
        <w:rPr>
          <w:rFonts w:asciiTheme="minorEastAsia" w:eastAsiaTheme="minorEastAsia" w:hAnsiTheme="minorEastAsia" w:hint="eastAsia"/>
          <w:b/>
          <w:sz w:val="21"/>
        </w:rPr>
        <w:t>建物について</w:t>
      </w:r>
    </w:p>
    <w:p w:rsidR="00FF6CE4" w:rsidRPr="009F75BA" w:rsidRDefault="00127756" w:rsidP="00F42831">
      <w:pPr>
        <w:pStyle w:val="a7"/>
        <w:ind w:leftChars="300" w:left="597"/>
        <w:rPr>
          <w:rFonts w:asciiTheme="minorEastAsia" w:eastAsiaTheme="minorEastAsia" w:hAnsiTheme="minorEastAsia"/>
          <w:sz w:val="21"/>
        </w:rPr>
      </w:pPr>
      <w:r w:rsidRPr="009F75BA">
        <w:rPr>
          <w:rFonts w:asciiTheme="minorEastAsia" w:eastAsiaTheme="minorEastAsia" w:hAnsiTheme="minorEastAsia" w:hint="eastAsia"/>
          <w:b/>
          <w:sz w:val="21"/>
        </w:rPr>
        <w:t>＜</w:t>
      </w:r>
      <w:r w:rsidR="00FF6CE4" w:rsidRPr="009F75BA">
        <w:rPr>
          <w:rFonts w:asciiTheme="minorEastAsia" w:eastAsiaTheme="minorEastAsia" w:hAnsiTheme="minorEastAsia" w:hint="eastAsia"/>
          <w:b/>
          <w:sz w:val="21"/>
        </w:rPr>
        <w:t>断熱性能</w:t>
      </w:r>
      <w:r w:rsidRPr="009F75BA">
        <w:rPr>
          <w:rFonts w:asciiTheme="minorEastAsia" w:eastAsiaTheme="minorEastAsia" w:hAnsiTheme="minorEastAsia" w:hint="eastAsia"/>
          <w:b/>
          <w:sz w:val="21"/>
        </w:rPr>
        <w:t>＞</w:t>
      </w:r>
    </w:p>
    <w:p w:rsidR="00FF6CE4" w:rsidRPr="009F75BA" w:rsidRDefault="00142EC7" w:rsidP="00F42831">
      <w:pPr>
        <w:pStyle w:val="a7"/>
        <w:ind w:leftChars="400" w:left="796"/>
        <w:rPr>
          <w:rFonts w:asciiTheme="minorEastAsia" w:eastAsiaTheme="minorEastAsia" w:hAnsiTheme="minorEastAsia"/>
          <w:sz w:val="21"/>
        </w:rPr>
      </w:pPr>
      <w:r w:rsidRPr="009F75BA">
        <w:rPr>
          <w:rFonts w:asciiTheme="minorEastAsia" w:eastAsiaTheme="minorEastAsia" w:hAnsiTheme="minorEastAsia" w:hint="eastAsia"/>
          <w:sz w:val="21"/>
        </w:rPr>
        <w:t>ガラス製品については、Low-E</w:t>
      </w:r>
      <w:r w:rsidR="006F36E8">
        <w:rPr>
          <w:rFonts w:asciiTheme="minorEastAsia" w:eastAsiaTheme="minorEastAsia" w:hAnsiTheme="minorEastAsia" w:hint="eastAsia"/>
          <w:sz w:val="21"/>
        </w:rPr>
        <w:t>複層ガラス</w:t>
      </w:r>
      <w:r w:rsidRPr="009F75BA">
        <w:rPr>
          <w:rFonts w:asciiTheme="minorEastAsia" w:eastAsiaTheme="minorEastAsia" w:hAnsiTheme="minorEastAsia" w:hint="eastAsia"/>
          <w:sz w:val="21"/>
        </w:rPr>
        <w:t>で内部からの見通しが良いものなど</w:t>
      </w:r>
      <w:r w:rsidR="00AE5841">
        <w:rPr>
          <w:rFonts w:asciiTheme="minorEastAsia" w:eastAsiaTheme="minorEastAsia" w:hAnsiTheme="minorEastAsia" w:hint="eastAsia"/>
          <w:sz w:val="21"/>
        </w:rPr>
        <w:t>、</w:t>
      </w:r>
      <w:r w:rsidRPr="009F75BA">
        <w:rPr>
          <w:rFonts w:asciiTheme="minorEastAsia" w:eastAsiaTheme="minorEastAsia" w:hAnsiTheme="minorEastAsia" w:hint="eastAsia"/>
          <w:sz w:val="21"/>
        </w:rPr>
        <w:t>数々の</w:t>
      </w:r>
      <w:r w:rsidR="00AE5841">
        <w:rPr>
          <w:rFonts w:asciiTheme="minorEastAsia" w:eastAsiaTheme="minorEastAsia" w:hAnsiTheme="minorEastAsia" w:hint="eastAsia"/>
          <w:sz w:val="21"/>
        </w:rPr>
        <w:t>高断熱の</w:t>
      </w:r>
      <w:r w:rsidR="00FF6CE4" w:rsidRPr="009F75BA">
        <w:rPr>
          <w:rFonts w:asciiTheme="minorEastAsia" w:eastAsiaTheme="minorEastAsia" w:hAnsiTheme="minorEastAsia" w:hint="eastAsia"/>
          <w:sz w:val="21"/>
        </w:rPr>
        <w:t>製品あり。</w:t>
      </w:r>
    </w:p>
    <w:p w:rsidR="00B45617" w:rsidRPr="009F75BA" w:rsidRDefault="00B45617" w:rsidP="00F42831">
      <w:pPr>
        <w:pStyle w:val="a7"/>
        <w:ind w:leftChars="300" w:left="597"/>
        <w:rPr>
          <w:rFonts w:asciiTheme="minorEastAsia" w:eastAsiaTheme="minorEastAsia" w:hAnsiTheme="minorEastAsia"/>
          <w:b/>
          <w:sz w:val="21"/>
        </w:rPr>
      </w:pPr>
      <w:r w:rsidRPr="009F75BA">
        <w:rPr>
          <w:rFonts w:asciiTheme="minorEastAsia" w:eastAsiaTheme="minorEastAsia" w:hAnsiTheme="minorEastAsia" w:hint="eastAsia"/>
          <w:b/>
          <w:sz w:val="21"/>
        </w:rPr>
        <w:t>＜事例＞</w:t>
      </w:r>
    </w:p>
    <w:p w:rsidR="007E7527" w:rsidRPr="00F42831" w:rsidRDefault="00127756" w:rsidP="00F42831">
      <w:pPr>
        <w:pStyle w:val="a7"/>
        <w:adjustRightInd w:val="0"/>
        <w:ind w:leftChars="400" w:left="985" w:hangingChars="100" w:hanging="189"/>
        <w:rPr>
          <w:rFonts w:asciiTheme="minorEastAsia" w:hAnsiTheme="minorEastAsia"/>
          <w:b/>
        </w:rPr>
      </w:pPr>
      <w:r w:rsidRPr="00F42831">
        <w:rPr>
          <w:rFonts w:asciiTheme="minorEastAsia" w:eastAsiaTheme="minorEastAsia" w:hAnsiTheme="minorEastAsia" w:hint="eastAsia"/>
        </w:rPr>
        <w:t>・</w:t>
      </w:r>
      <w:r w:rsidRPr="004C1E6F">
        <w:rPr>
          <w:rFonts w:asciiTheme="minorEastAsia" w:eastAsiaTheme="minorEastAsia" w:hAnsiTheme="minorEastAsia" w:hint="eastAsia"/>
        </w:rPr>
        <w:t>心斎橋などのガラスの</w:t>
      </w:r>
      <w:r w:rsidR="00A551F1" w:rsidRPr="004C1E6F">
        <w:rPr>
          <w:rFonts w:asciiTheme="minorEastAsia" w:eastAsiaTheme="minorEastAsia" w:hAnsiTheme="minorEastAsia" w:hint="eastAsia"/>
        </w:rPr>
        <w:t>商業施設</w:t>
      </w:r>
      <w:r w:rsidR="00FF6CE4" w:rsidRPr="004C1E6F">
        <w:rPr>
          <w:rFonts w:asciiTheme="minorEastAsia" w:eastAsiaTheme="minorEastAsia" w:hAnsiTheme="minorEastAsia" w:hint="eastAsia"/>
        </w:rPr>
        <w:t>。</w:t>
      </w:r>
      <w:r w:rsidR="00B45617" w:rsidRPr="004C1E6F">
        <w:rPr>
          <w:rFonts w:asciiTheme="minorEastAsia" w:eastAsiaTheme="minorEastAsia" w:hAnsiTheme="minorEastAsia" w:hint="eastAsia"/>
        </w:rPr>
        <w:t>商業施設の場合、</w:t>
      </w:r>
      <w:r w:rsidR="00B45617" w:rsidRPr="004C1E6F">
        <w:rPr>
          <w:rFonts w:asciiTheme="minorEastAsia" w:eastAsiaTheme="minorEastAsia" w:hAnsiTheme="minorEastAsia"/>
        </w:rPr>
        <w:t>2</w:t>
      </w:r>
      <w:r w:rsidR="00B45617" w:rsidRPr="004C1E6F">
        <w:rPr>
          <w:rFonts w:asciiTheme="minorEastAsia" w:eastAsiaTheme="minorEastAsia" w:hAnsiTheme="minorEastAsia" w:hint="eastAsia"/>
        </w:rPr>
        <w:t>面が外から見え、残り</w:t>
      </w:r>
      <w:r w:rsidR="00B45617" w:rsidRPr="004C1E6F">
        <w:rPr>
          <w:rFonts w:asciiTheme="minorEastAsia" w:eastAsiaTheme="minorEastAsia" w:hAnsiTheme="minorEastAsia"/>
        </w:rPr>
        <w:t>2</w:t>
      </w:r>
      <w:r w:rsidR="00B45617" w:rsidRPr="004C1E6F">
        <w:rPr>
          <w:rFonts w:asciiTheme="minorEastAsia" w:eastAsiaTheme="minorEastAsia" w:hAnsiTheme="minorEastAsia" w:hint="eastAsia"/>
        </w:rPr>
        <w:t>面は隣接ビルより隠れるケースが多く</w:t>
      </w:r>
      <w:r w:rsidR="00896747" w:rsidRPr="004C1E6F">
        <w:rPr>
          <w:rFonts w:asciiTheme="minorEastAsia" w:eastAsiaTheme="minorEastAsia" w:hAnsiTheme="minorEastAsia" w:hint="eastAsia"/>
        </w:rPr>
        <w:t>、</w:t>
      </w:r>
      <w:r w:rsidR="00C576DF" w:rsidRPr="004C1E6F">
        <w:rPr>
          <w:rFonts w:asciiTheme="minorEastAsia" w:eastAsiaTheme="minorEastAsia" w:hAnsiTheme="minorEastAsia" w:hint="eastAsia"/>
        </w:rPr>
        <w:t>全</w:t>
      </w:r>
      <w:r w:rsidR="00BA35B6" w:rsidRPr="004C1E6F">
        <w:rPr>
          <w:rFonts w:asciiTheme="minorEastAsia" w:eastAsiaTheme="minorEastAsia" w:hAnsiTheme="minorEastAsia" w:hint="eastAsia"/>
        </w:rPr>
        <w:t>面ガラス</w:t>
      </w:r>
      <w:r w:rsidR="00896747" w:rsidRPr="004C1E6F">
        <w:rPr>
          <w:rFonts w:asciiTheme="minorEastAsia" w:eastAsiaTheme="minorEastAsia" w:hAnsiTheme="minorEastAsia" w:hint="eastAsia"/>
        </w:rPr>
        <w:t>の</w:t>
      </w:r>
      <w:r w:rsidR="00BA35B6" w:rsidRPr="004C1E6F">
        <w:rPr>
          <w:rFonts w:asciiTheme="minorEastAsia" w:eastAsiaTheme="minorEastAsia" w:hAnsiTheme="minorEastAsia" w:hint="eastAsia"/>
        </w:rPr>
        <w:t>可能性</w:t>
      </w:r>
      <w:r w:rsidR="00AE5841" w:rsidRPr="004C1E6F">
        <w:rPr>
          <w:rFonts w:asciiTheme="minorEastAsia" w:eastAsiaTheme="minorEastAsia" w:hAnsiTheme="minorEastAsia" w:hint="eastAsia"/>
        </w:rPr>
        <w:t>は</w:t>
      </w:r>
      <w:r w:rsidR="00BA35B6" w:rsidRPr="004C1E6F">
        <w:rPr>
          <w:rFonts w:asciiTheme="minorEastAsia" w:eastAsiaTheme="minorEastAsia" w:hAnsiTheme="minorEastAsia" w:hint="eastAsia"/>
        </w:rPr>
        <w:t>少ない</w:t>
      </w:r>
      <w:r w:rsidR="00B45617" w:rsidRPr="004C1E6F">
        <w:rPr>
          <w:rFonts w:asciiTheme="minorEastAsia" w:eastAsiaTheme="minorEastAsia" w:hAnsiTheme="minorEastAsia" w:hint="eastAsia"/>
        </w:rPr>
        <w:t>。</w:t>
      </w:r>
    </w:p>
    <w:p w:rsidR="00A551F1" w:rsidRPr="00F42831" w:rsidRDefault="00B45617" w:rsidP="00F42831">
      <w:pPr>
        <w:pStyle w:val="a7"/>
        <w:adjustRightInd w:val="0"/>
        <w:ind w:leftChars="400" w:left="995" w:hangingChars="100" w:hanging="199"/>
        <w:rPr>
          <w:rFonts w:asciiTheme="minorEastAsia" w:hAnsiTheme="minorEastAsia"/>
        </w:rPr>
      </w:pPr>
      <w:r w:rsidRPr="00F42831">
        <w:rPr>
          <w:rFonts w:asciiTheme="minorEastAsia" w:eastAsiaTheme="minorEastAsia" w:hAnsiTheme="minorEastAsia" w:hint="eastAsia"/>
          <w:sz w:val="21"/>
        </w:rPr>
        <w:t>・不動産団体</w:t>
      </w:r>
      <w:r w:rsidR="004C21C6" w:rsidRPr="00F42831">
        <w:rPr>
          <w:rFonts w:asciiTheme="minorEastAsia" w:eastAsiaTheme="minorEastAsia" w:hAnsiTheme="minorEastAsia" w:hint="eastAsia"/>
          <w:sz w:val="21"/>
        </w:rPr>
        <w:t>の意見交換会で</w:t>
      </w:r>
      <w:r w:rsidRPr="00F42831">
        <w:rPr>
          <w:rFonts w:asciiTheme="minorEastAsia" w:eastAsiaTheme="minorEastAsia" w:hAnsiTheme="minorEastAsia" w:hint="eastAsia"/>
          <w:sz w:val="21"/>
        </w:rPr>
        <w:t>は特に意見なし。</w:t>
      </w:r>
    </w:p>
    <w:p w:rsidR="000D3506" w:rsidRPr="00BA35B6" w:rsidRDefault="00BA35B6" w:rsidP="00F42831">
      <w:pPr>
        <w:widowControl/>
        <w:ind w:leftChars="200" w:left="398"/>
        <w:jc w:val="left"/>
        <w:rPr>
          <w:b/>
        </w:rPr>
      </w:pPr>
      <w:r>
        <w:rPr>
          <w:rFonts w:hint="eastAsia"/>
          <w:b/>
        </w:rPr>
        <w:t>②</w:t>
      </w:r>
      <w:r>
        <w:rPr>
          <w:rFonts w:hint="eastAsia"/>
          <w:b/>
        </w:rPr>
        <w:t xml:space="preserve"> </w:t>
      </w:r>
      <w:r w:rsidR="00816523" w:rsidRPr="00BA35B6">
        <w:rPr>
          <w:rFonts w:hint="eastAsia"/>
          <w:b/>
        </w:rPr>
        <w:t>雁行している建築物等床面積に比して外皮面積が広い場合</w:t>
      </w:r>
    </w:p>
    <w:p w:rsidR="00AE5841" w:rsidRDefault="000D3506" w:rsidP="00F42831">
      <w:pPr>
        <w:pStyle w:val="a7"/>
        <w:ind w:leftChars="400" w:left="796"/>
        <w:rPr>
          <w:b/>
          <w:sz w:val="24"/>
          <w:szCs w:val="24"/>
        </w:rPr>
      </w:pPr>
      <w:r w:rsidRPr="00405809">
        <w:rPr>
          <w:rFonts w:asciiTheme="minorEastAsia" w:eastAsiaTheme="minorEastAsia" w:hAnsiTheme="minorEastAsia" w:hint="eastAsia"/>
          <w:sz w:val="21"/>
        </w:rPr>
        <w:t>出隅部分</w:t>
      </w:r>
      <w:r w:rsidR="00581C6D">
        <w:rPr>
          <w:rFonts w:asciiTheme="minorEastAsia" w:eastAsiaTheme="minorEastAsia" w:hAnsiTheme="minorEastAsia" w:hint="eastAsia"/>
          <w:sz w:val="21"/>
        </w:rPr>
        <w:t>は</w:t>
      </w:r>
      <w:r w:rsidRPr="00405809">
        <w:rPr>
          <w:rFonts w:asciiTheme="minorEastAsia" w:eastAsiaTheme="minorEastAsia" w:hAnsiTheme="minorEastAsia" w:hint="eastAsia"/>
          <w:sz w:val="21"/>
        </w:rPr>
        <w:t>重複カウントされるが、</w:t>
      </w:r>
      <w:r w:rsidR="009A29F0">
        <w:rPr>
          <w:rFonts w:asciiTheme="minorEastAsia" w:eastAsiaTheme="minorEastAsia" w:hAnsiTheme="minorEastAsia" w:hint="eastAsia"/>
          <w:kern w:val="0"/>
          <w:sz w:val="21"/>
        </w:rPr>
        <w:t>入隅部分をカウントしなくなるので、</w:t>
      </w:r>
      <w:r w:rsidR="00B149DB">
        <w:rPr>
          <w:rFonts w:asciiTheme="minorEastAsia" w:eastAsiaTheme="minorEastAsia" w:hAnsiTheme="minorEastAsia" w:hint="eastAsia"/>
          <w:sz w:val="21"/>
        </w:rPr>
        <w:t>矩形</w:t>
      </w:r>
      <w:r w:rsidR="00816523" w:rsidRPr="00405809">
        <w:rPr>
          <w:rFonts w:asciiTheme="minorEastAsia" w:eastAsiaTheme="minorEastAsia" w:hAnsiTheme="minorEastAsia" w:hint="eastAsia"/>
          <w:sz w:val="21"/>
        </w:rPr>
        <w:t>の建築物と同様に評価できる。</w:t>
      </w:r>
    </w:p>
    <w:p w:rsidR="00E04FCC" w:rsidRPr="00F42831" w:rsidRDefault="00EF46CE" w:rsidP="00F42831">
      <w:pPr>
        <w:widowControl/>
        <w:jc w:val="left"/>
        <w:rPr>
          <w:rFonts w:asciiTheme="majorEastAsia" w:eastAsiaTheme="majorEastAsia" w:hAnsiTheme="majorEastAsia"/>
          <w:b/>
          <w:sz w:val="24"/>
          <w:szCs w:val="24"/>
        </w:rPr>
      </w:pPr>
      <w:r w:rsidRPr="00F42831">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60288" behindDoc="0" locked="0" layoutInCell="1" allowOverlap="1" wp14:anchorId="3E2C5784" wp14:editId="46264170">
                <wp:simplePos x="0" y="0"/>
                <wp:positionH relativeFrom="column">
                  <wp:posOffset>4964430</wp:posOffset>
                </wp:positionH>
                <wp:positionV relativeFrom="paragraph">
                  <wp:posOffset>-179070</wp:posOffset>
                </wp:positionV>
                <wp:extent cx="1238250" cy="342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23825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46CE" w:rsidRPr="00F42831" w:rsidRDefault="004C53FD" w:rsidP="00F42831">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資料１－２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margin-left:390.9pt;margin-top:-14.1pt;width:97.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" filled="f" strokecolor="black [3213]" strokeweight="2pt">
                <v:textbox>
                  <w:txbxContent>
                    <w:p w:rsidR="00EF46CE" w:rsidRPr="00F42831" w:rsidRDefault="004C53FD" w:rsidP="00F42831">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資料１－２</w:t>
                      </w:r>
                    </w:p>
                  </w:txbxContent>
                </v:textbox>
              </v:rect>
            </w:pict>
          </mc:Fallback>
        </mc:AlternateContent>
      </w:r>
      <w:r w:rsidR="004C21C6">
        <w:rPr>
          <w:rFonts w:asciiTheme="majorEastAsia" w:eastAsiaTheme="majorEastAsia" w:hAnsiTheme="majorEastAsia" w:hint="eastAsia"/>
          <w:b/>
          <w:sz w:val="24"/>
          <w:szCs w:val="24"/>
        </w:rPr>
        <w:t>２．</w:t>
      </w:r>
      <w:r w:rsidR="008834EF">
        <w:rPr>
          <w:rFonts w:asciiTheme="majorEastAsia" w:eastAsiaTheme="majorEastAsia" w:hAnsiTheme="majorEastAsia" w:hint="eastAsia"/>
          <w:b/>
          <w:sz w:val="24"/>
          <w:szCs w:val="24"/>
        </w:rPr>
        <w:t>住宅における省エネ</w:t>
      </w:r>
      <w:r w:rsidR="00E04FCC" w:rsidRPr="00F42831">
        <w:rPr>
          <w:rFonts w:asciiTheme="majorEastAsia" w:eastAsiaTheme="majorEastAsia" w:hAnsiTheme="majorEastAsia" w:hint="eastAsia"/>
          <w:b/>
          <w:sz w:val="24"/>
          <w:szCs w:val="24"/>
        </w:rPr>
        <w:t>基準への適合について</w:t>
      </w:r>
    </w:p>
    <w:p w:rsidR="00E04FCC" w:rsidRPr="00E04FCC" w:rsidRDefault="00E04FCC" w:rsidP="00F42831">
      <w:pPr>
        <w:widowControl/>
        <w:jc w:val="left"/>
        <w:rPr>
          <w:b/>
        </w:rPr>
      </w:pPr>
      <w:r w:rsidRPr="000F4AB4">
        <w:rPr>
          <w:rFonts w:hint="eastAsia"/>
          <w:b/>
          <w:szCs w:val="21"/>
          <w:bdr w:val="single" w:sz="4" w:space="0" w:color="auto"/>
        </w:rPr>
        <w:t>対応の方向性</w:t>
      </w:r>
    </w:p>
    <w:p w:rsidR="00E04FCC" w:rsidRPr="000F4AB4" w:rsidRDefault="00E04FCC" w:rsidP="00BA0383">
      <w:pPr>
        <w:widowControl/>
        <w:ind w:leftChars="250" w:left="498" w:firstLineChars="100" w:firstLine="199"/>
        <w:jc w:val="left"/>
        <w:rPr>
          <w:szCs w:val="21"/>
        </w:rPr>
      </w:pPr>
      <w:r w:rsidRPr="000F4AB4">
        <w:rPr>
          <w:rFonts w:hint="eastAsia"/>
          <w:szCs w:val="21"/>
        </w:rPr>
        <w:t>国は、</w:t>
      </w:r>
      <w:r w:rsidRPr="000F4AB4">
        <w:rPr>
          <w:szCs w:val="21"/>
        </w:rPr>
        <w:t>2020</w:t>
      </w:r>
      <w:r w:rsidRPr="000F4AB4">
        <w:rPr>
          <w:rFonts w:hint="eastAsia"/>
          <w:szCs w:val="21"/>
        </w:rPr>
        <w:t>年度には、住宅を含めてすべての建築物について適合義務化を予定している。建築物省エネ法では、非住宅建築物</w:t>
      </w:r>
      <w:r w:rsidR="00B1291A">
        <w:rPr>
          <w:rFonts w:hint="eastAsia"/>
          <w:szCs w:val="21"/>
        </w:rPr>
        <w:t>の省エネ基準に</w:t>
      </w:r>
      <w:r w:rsidRPr="000F4AB4">
        <w:rPr>
          <w:rFonts w:hint="eastAsia"/>
          <w:szCs w:val="21"/>
        </w:rPr>
        <w:t>は外皮</w:t>
      </w:r>
      <w:r w:rsidR="00B1291A">
        <w:rPr>
          <w:rFonts w:hint="eastAsia"/>
          <w:szCs w:val="21"/>
        </w:rPr>
        <w:t>基準が含まれ</w:t>
      </w:r>
      <w:r w:rsidRPr="000F4AB4">
        <w:rPr>
          <w:rFonts w:hint="eastAsia"/>
          <w:szCs w:val="21"/>
        </w:rPr>
        <w:t>ていないが、住宅</w:t>
      </w:r>
      <w:r w:rsidR="00A478E0">
        <w:rPr>
          <w:rFonts w:hint="eastAsia"/>
          <w:szCs w:val="21"/>
        </w:rPr>
        <w:t>に</w:t>
      </w:r>
      <w:r w:rsidRPr="000F4AB4">
        <w:rPr>
          <w:rFonts w:hint="eastAsia"/>
          <w:szCs w:val="21"/>
        </w:rPr>
        <w:t>は外皮基準も</w:t>
      </w:r>
      <w:r w:rsidR="00A478E0">
        <w:rPr>
          <w:rFonts w:hint="eastAsia"/>
          <w:szCs w:val="21"/>
        </w:rPr>
        <w:t>含ま</w:t>
      </w:r>
      <w:r w:rsidRPr="000F4AB4">
        <w:rPr>
          <w:rFonts w:hint="eastAsia"/>
          <w:szCs w:val="21"/>
        </w:rPr>
        <w:t>れている。</w:t>
      </w:r>
    </w:p>
    <w:p w:rsidR="00F05DAC" w:rsidRPr="00F05DAC" w:rsidRDefault="00F05DAC" w:rsidP="00F05DAC">
      <w:pPr>
        <w:ind w:leftChars="235" w:left="468" w:firstLineChars="100" w:firstLine="199"/>
        <w:rPr>
          <w:szCs w:val="21"/>
        </w:rPr>
      </w:pPr>
      <w:r>
        <w:rPr>
          <w:rFonts w:hint="eastAsia"/>
          <w:szCs w:val="21"/>
        </w:rPr>
        <w:t>住宅についても</w:t>
      </w:r>
      <w:r w:rsidRPr="00F05DAC">
        <w:rPr>
          <w:rFonts w:hint="eastAsia"/>
          <w:szCs w:val="21"/>
        </w:rPr>
        <w:t>断熱化による外皮性能の向上は、温室効果ガスの排出抑制に加え、長く快適に住むことができ、ヒートショ</w:t>
      </w:r>
      <w:r w:rsidR="008834EF">
        <w:rPr>
          <w:rFonts w:hint="eastAsia"/>
          <w:szCs w:val="21"/>
        </w:rPr>
        <w:t>ックの予防にもなる。よって、国に先駆け省エネ基準への適合を義務化</w:t>
      </w:r>
      <w:r w:rsidRPr="00F05DAC">
        <w:rPr>
          <w:rFonts w:hint="eastAsia"/>
          <w:szCs w:val="21"/>
        </w:rPr>
        <w:t>するべきである。</w:t>
      </w:r>
    </w:p>
    <w:tbl>
      <w:tblPr>
        <w:tblStyle w:val="a6"/>
        <w:tblW w:w="0" w:type="auto"/>
        <w:shd w:val="clear" w:color="auto" w:fill="FFFF00"/>
        <w:tblLook w:val="04A0" w:firstRow="1" w:lastRow="0" w:firstColumn="1" w:lastColumn="0" w:noHBand="0" w:noVBand="1"/>
      </w:tblPr>
      <w:tblGrid>
        <w:gridCol w:w="9950"/>
      </w:tblGrid>
      <w:tr w:rsidR="003D1D3D" w:rsidTr="00F42831">
        <w:tc>
          <w:tcPr>
            <w:tcW w:w="9950" w:type="dxa"/>
            <w:shd w:val="clear" w:color="auto" w:fill="FFFF00"/>
          </w:tcPr>
          <w:p w:rsidR="003D1D3D" w:rsidRPr="00BA5D76" w:rsidRDefault="003D1D3D" w:rsidP="00F42831">
            <w:pPr>
              <w:widowControl/>
              <w:spacing w:beforeLines="50" w:before="145" w:afterLines="50" w:after="145"/>
              <w:ind w:firstLineChars="50" w:firstLine="100"/>
              <w:jc w:val="left"/>
              <w:rPr>
                <w:b/>
              </w:rPr>
            </w:pPr>
            <w:r w:rsidRPr="00714ADE">
              <w:rPr>
                <w:rFonts w:hint="eastAsia"/>
                <w:b/>
                <w:szCs w:val="21"/>
              </w:rPr>
              <w:t>（案）</w:t>
            </w:r>
            <w:r w:rsidRPr="00BA35B6">
              <w:rPr>
                <w:rFonts w:hint="eastAsia"/>
                <w:b/>
                <w:szCs w:val="21"/>
              </w:rPr>
              <w:t>・</w:t>
            </w:r>
            <w:r w:rsidRPr="00B149DB">
              <w:rPr>
                <w:rFonts w:hint="eastAsia"/>
                <w:b/>
                <w:szCs w:val="21"/>
              </w:rPr>
              <w:t>環境負荷が大きいと考えられる</w:t>
            </w:r>
            <w:r w:rsidRPr="00BA35B6">
              <w:rPr>
                <w:rFonts w:hint="eastAsia"/>
                <w:b/>
              </w:rPr>
              <w:t>10</w:t>
            </w:r>
            <w:r>
              <w:rPr>
                <w:rFonts w:hint="eastAsia"/>
                <w:b/>
              </w:rPr>
              <w:t>,</w:t>
            </w:r>
            <w:r w:rsidRPr="00BA35B6">
              <w:rPr>
                <w:rFonts w:hint="eastAsia"/>
                <w:b/>
              </w:rPr>
              <w:t>000</w:t>
            </w:r>
            <w:r w:rsidRPr="00BA35B6">
              <w:rPr>
                <w:rFonts w:hint="eastAsia"/>
                <w:b/>
              </w:rPr>
              <w:t>㎡かつ６０ｍ</w:t>
            </w:r>
            <w:r>
              <w:rPr>
                <w:rFonts w:hint="eastAsia"/>
                <w:b/>
              </w:rPr>
              <w:t>超</w:t>
            </w:r>
            <w:r w:rsidRPr="00BA35B6">
              <w:rPr>
                <w:rFonts w:hint="eastAsia"/>
                <w:b/>
              </w:rPr>
              <w:t>の住宅について適合義務化を行う。</w:t>
            </w:r>
          </w:p>
        </w:tc>
      </w:tr>
    </w:tbl>
    <w:p w:rsidR="006B0E4C" w:rsidRPr="00F42831" w:rsidRDefault="004C21C6" w:rsidP="00F42831">
      <w:pPr>
        <w:rPr>
          <w:rFonts w:asciiTheme="majorEastAsia" w:eastAsiaTheme="majorEastAsia" w:hAnsiTheme="majorEastAsia"/>
          <w:b/>
          <w:sz w:val="24"/>
          <w:szCs w:val="24"/>
        </w:rPr>
      </w:pPr>
      <w:r w:rsidRPr="004C21C6">
        <w:rPr>
          <w:rFonts w:asciiTheme="majorEastAsia" w:eastAsiaTheme="majorEastAsia" w:hAnsiTheme="majorEastAsia" w:hint="eastAsia"/>
          <w:b/>
          <w:szCs w:val="21"/>
        </w:rPr>
        <w:t>３．</w:t>
      </w:r>
      <w:r w:rsidR="006B0E4C" w:rsidRPr="00F42831">
        <w:rPr>
          <w:rFonts w:asciiTheme="majorEastAsia" w:eastAsiaTheme="majorEastAsia" w:hAnsiTheme="majorEastAsia" w:hint="eastAsia"/>
          <w:b/>
          <w:sz w:val="24"/>
          <w:szCs w:val="24"/>
        </w:rPr>
        <w:t>ラベリング</w:t>
      </w:r>
    </w:p>
    <w:p w:rsidR="008246D1" w:rsidRPr="008246D1" w:rsidRDefault="008246D1" w:rsidP="00F42831">
      <w:pPr>
        <w:pStyle w:val="a5"/>
        <w:widowControl/>
        <w:ind w:leftChars="0" w:left="0"/>
        <w:jc w:val="left"/>
        <w:rPr>
          <w:b/>
          <w:sz w:val="24"/>
          <w:szCs w:val="24"/>
        </w:rPr>
      </w:pPr>
      <w:r w:rsidRPr="000F4AB4">
        <w:rPr>
          <w:rFonts w:hint="eastAsia"/>
          <w:b/>
          <w:szCs w:val="21"/>
          <w:bdr w:val="single" w:sz="4" w:space="0" w:color="auto"/>
        </w:rPr>
        <w:t>対応の方向性</w:t>
      </w:r>
    </w:p>
    <w:p w:rsidR="006B0E4C" w:rsidRDefault="006B0E4C" w:rsidP="006B0E4C">
      <w:pPr>
        <w:pStyle w:val="a5"/>
        <w:widowControl/>
        <w:numPr>
          <w:ilvl w:val="0"/>
          <w:numId w:val="3"/>
        </w:numPr>
        <w:ind w:leftChars="0"/>
        <w:jc w:val="left"/>
        <w:rPr>
          <w:b/>
        </w:rPr>
      </w:pPr>
      <w:r>
        <w:rPr>
          <w:rFonts w:hint="eastAsia"/>
          <w:b/>
        </w:rPr>
        <w:t>人目に触れる機会の増大</w:t>
      </w:r>
    </w:p>
    <w:tbl>
      <w:tblPr>
        <w:tblStyle w:val="a6"/>
        <w:tblW w:w="0" w:type="auto"/>
        <w:shd w:val="clear" w:color="auto" w:fill="FFFF00"/>
        <w:tblLook w:val="04A0" w:firstRow="1" w:lastRow="0" w:firstColumn="1" w:lastColumn="0" w:noHBand="0" w:noVBand="1"/>
      </w:tblPr>
      <w:tblGrid>
        <w:gridCol w:w="9950"/>
      </w:tblGrid>
      <w:tr w:rsidR="003D1D3D" w:rsidTr="00F42831">
        <w:tc>
          <w:tcPr>
            <w:tcW w:w="9950" w:type="dxa"/>
            <w:shd w:val="clear" w:color="auto" w:fill="FFFF00"/>
          </w:tcPr>
          <w:p w:rsidR="003D1D3D" w:rsidRPr="003D1D3D" w:rsidRDefault="003D1D3D" w:rsidP="00F42831">
            <w:pPr>
              <w:pStyle w:val="a5"/>
              <w:widowControl/>
              <w:spacing w:beforeLines="50" w:before="145" w:afterLines="50" w:after="145"/>
              <w:ind w:leftChars="0" w:left="0"/>
              <w:jc w:val="left"/>
              <w:rPr>
                <w:b/>
                <w:szCs w:val="21"/>
              </w:rPr>
            </w:pPr>
            <w:r w:rsidRPr="003D1D3D">
              <w:rPr>
                <w:rFonts w:hint="eastAsia"/>
                <w:b/>
                <w:szCs w:val="21"/>
              </w:rPr>
              <w:t>（案）</w:t>
            </w:r>
            <w:r w:rsidRPr="003D1D3D">
              <w:rPr>
                <w:rFonts w:hint="eastAsia"/>
                <w:b/>
              </w:rPr>
              <w:t>・工事現場への表示について報告案に記載する。</w:t>
            </w:r>
          </w:p>
        </w:tc>
      </w:tr>
    </w:tbl>
    <w:p w:rsidR="00396EA6" w:rsidRPr="00F42831" w:rsidRDefault="00396EA6" w:rsidP="00F42831">
      <w:pPr>
        <w:widowControl/>
        <w:spacing w:beforeLines="50" w:before="145"/>
        <w:ind w:leftChars="200" w:left="398" w:firstLineChars="50" w:firstLine="100"/>
        <w:jc w:val="left"/>
      </w:pPr>
      <w:r w:rsidRPr="00F42831">
        <w:rPr>
          <w:rFonts w:hint="eastAsia"/>
        </w:rPr>
        <w:t>一定の内容の広告の場合</w:t>
      </w:r>
      <w:r w:rsidR="006823EC" w:rsidRPr="00F42831">
        <w:rPr>
          <w:rFonts w:hint="eastAsia"/>
        </w:rPr>
        <w:t>のみの表示であったものを全ての工事現場で表示する。</w:t>
      </w:r>
    </w:p>
    <w:p w:rsidR="00396EA6" w:rsidRPr="00396EA6" w:rsidRDefault="00396EA6" w:rsidP="00F42831">
      <w:pPr>
        <w:pStyle w:val="a5"/>
        <w:widowControl/>
        <w:ind w:leftChars="0" w:left="450"/>
        <w:jc w:val="left"/>
        <w:rPr>
          <w:b/>
        </w:rPr>
      </w:pPr>
      <w:r w:rsidRPr="00396EA6">
        <w:rPr>
          <w:rFonts w:hint="eastAsia"/>
          <w:b/>
        </w:rPr>
        <w:t>＜参考＞</w:t>
      </w:r>
    </w:p>
    <w:p w:rsidR="000D3506" w:rsidRPr="00F42831" w:rsidRDefault="000D3506" w:rsidP="00F42831">
      <w:pPr>
        <w:widowControl/>
        <w:ind w:firstLineChars="300" w:firstLine="600"/>
        <w:jc w:val="left"/>
        <w:rPr>
          <w:b/>
        </w:rPr>
      </w:pPr>
      <w:r w:rsidRPr="00F42831">
        <w:rPr>
          <w:rFonts w:hint="eastAsia"/>
          <w:b/>
        </w:rPr>
        <w:t>現在のラベリングの認知度は低い。</w:t>
      </w:r>
      <w:r w:rsidR="005E3C91" w:rsidRPr="00F42831">
        <w:rPr>
          <w:rFonts w:hint="eastAsia"/>
          <w:b/>
        </w:rPr>
        <w:t>一方、ラベリングを参考にしたい、わかりやすいという方は多数。</w:t>
      </w:r>
    </w:p>
    <w:p w:rsidR="000D3506" w:rsidRDefault="000D3506" w:rsidP="00142EC7">
      <w:pPr>
        <w:pStyle w:val="a5"/>
        <w:widowControl/>
        <w:ind w:leftChars="0" w:left="780"/>
        <w:jc w:val="left"/>
      </w:pPr>
      <w:r w:rsidRPr="000D3506">
        <w:rPr>
          <w:rFonts w:hint="eastAsia"/>
        </w:rPr>
        <w:t>アンケート</w:t>
      </w:r>
      <w:r w:rsidR="00142EC7">
        <w:rPr>
          <w:rFonts w:hint="eastAsia"/>
        </w:rPr>
        <w:t>結果（於：</w:t>
      </w:r>
      <w:r w:rsidR="00B1291A">
        <w:rPr>
          <w:rFonts w:hint="eastAsia"/>
        </w:rPr>
        <w:t>2016/</w:t>
      </w:r>
      <w:r w:rsidR="00142EC7">
        <w:rPr>
          <w:rFonts w:hint="eastAsia"/>
        </w:rPr>
        <w:t>8</w:t>
      </w:r>
      <w:r w:rsidR="00B1291A">
        <w:rPr>
          <w:rFonts w:hint="eastAsia"/>
        </w:rPr>
        <w:t>/</w:t>
      </w:r>
      <w:r w:rsidR="00142EC7">
        <w:rPr>
          <w:rFonts w:hint="eastAsia"/>
        </w:rPr>
        <w:t>21</w:t>
      </w:r>
      <w:r w:rsidRPr="000D3506">
        <w:rPr>
          <w:rFonts w:hint="eastAsia"/>
        </w:rPr>
        <w:t>エネルギー関連イベント</w:t>
      </w:r>
      <w:r w:rsidR="00142EC7">
        <w:rPr>
          <w:rFonts w:hint="eastAsia"/>
        </w:rPr>
        <w:t>）</w:t>
      </w:r>
      <w:r w:rsidR="005E3C91">
        <w:rPr>
          <w:rFonts w:hint="eastAsia"/>
        </w:rPr>
        <w:t xml:space="preserve">　</w:t>
      </w:r>
      <w:r w:rsidR="005E3C91">
        <w:rPr>
          <w:rFonts w:hint="eastAsia"/>
        </w:rPr>
        <w:t>127</w:t>
      </w:r>
      <w:r w:rsidR="005E3C91">
        <w:rPr>
          <w:rFonts w:hint="eastAsia"/>
        </w:rPr>
        <w:t>人が回答。</w:t>
      </w:r>
    </w:p>
    <w:p w:rsidR="005E3C91" w:rsidRDefault="005E3C91" w:rsidP="00F42831">
      <w:pPr>
        <w:pStyle w:val="a5"/>
        <w:widowControl/>
        <w:ind w:left="985" w:hangingChars="100" w:hanging="189"/>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r w:rsidRPr="00816523">
        <w:rPr>
          <w:rFonts w:asciiTheme="minorEastAsia" w:hAnsiTheme="minorEastAsia" w:cs="ＭＳ Ｐゴシック" w:hint="eastAsia"/>
          <w:color w:val="000000"/>
          <w:kern w:val="0"/>
          <w:sz w:val="20"/>
          <w:szCs w:val="20"/>
        </w:rPr>
        <w:t>住まいを選択する際に建築物の環境性能</w:t>
      </w:r>
      <w:r>
        <w:rPr>
          <w:rFonts w:asciiTheme="minorEastAsia" w:hAnsiTheme="minorEastAsia" w:cs="ＭＳ Ｐゴシック" w:hint="eastAsia"/>
          <w:color w:val="000000"/>
          <w:kern w:val="0"/>
          <w:sz w:val="20"/>
          <w:szCs w:val="20"/>
        </w:rPr>
        <w:t>や省エネルギー性能を考慮される方は9割。</w:t>
      </w:r>
    </w:p>
    <w:p w:rsidR="005E3C91" w:rsidRDefault="005E3C91" w:rsidP="00F42831">
      <w:pPr>
        <w:pStyle w:val="a5"/>
        <w:widowControl/>
        <w:ind w:left="995" w:hangingChars="100" w:hanging="199"/>
        <w:jc w:val="left"/>
        <w:rPr>
          <w:rFonts w:asciiTheme="minorEastAsia" w:hAnsiTheme="minorEastAsia" w:cs="ＭＳ Ｐゴシック"/>
          <w:color w:val="000000"/>
          <w:kern w:val="0"/>
          <w:sz w:val="20"/>
          <w:szCs w:val="20"/>
        </w:rPr>
      </w:pPr>
      <w:r>
        <w:rPr>
          <w:rFonts w:hint="eastAsia"/>
        </w:rPr>
        <w:t>・</w:t>
      </w:r>
      <w:r>
        <w:rPr>
          <w:rFonts w:asciiTheme="minorEastAsia" w:hAnsiTheme="minorEastAsia" w:cs="ＭＳ Ｐゴシック" w:hint="eastAsia"/>
          <w:color w:val="000000"/>
          <w:kern w:val="0"/>
          <w:sz w:val="20"/>
          <w:szCs w:val="20"/>
        </w:rPr>
        <w:t>マンションの広告等でこのようなラベルを見たことがある方は2割。</w:t>
      </w:r>
    </w:p>
    <w:p w:rsidR="005E3C91" w:rsidRDefault="005E3C91" w:rsidP="00F42831">
      <w:pPr>
        <w:pStyle w:val="a5"/>
        <w:widowControl/>
        <w:ind w:left="995" w:hangingChars="100" w:hanging="199"/>
        <w:jc w:val="left"/>
        <w:rPr>
          <w:rFonts w:asciiTheme="minorEastAsia" w:hAnsiTheme="minorEastAsia" w:cs="ＭＳ Ｐゴシック"/>
          <w:color w:val="000000"/>
          <w:kern w:val="0"/>
          <w:sz w:val="20"/>
          <w:szCs w:val="20"/>
        </w:rPr>
      </w:pPr>
      <w:r>
        <w:rPr>
          <w:rFonts w:hint="eastAsia"/>
        </w:rPr>
        <w:t>・</w:t>
      </w:r>
      <w:r>
        <w:rPr>
          <w:rFonts w:asciiTheme="minorEastAsia" w:hAnsiTheme="minorEastAsia" w:cs="ＭＳ Ｐゴシック" w:hint="eastAsia"/>
          <w:color w:val="000000"/>
          <w:kern w:val="0"/>
          <w:sz w:val="20"/>
          <w:szCs w:val="20"/>
        </w:rPr>
        <w:t>このラベルはわかりやすいと思う方は7割。</w:t>
      </w:r>
    </w:p>
    <w:p w:rsidR="005E3C91" w:rsidRPr="00142EC7" w:rsidRDefault="005E3C91" w:rsidP="00F42831">
      <w:pPr>
        <w:pStyle w:val="a5"/>
        <w:widowControl/>
        <w:ind w:left="995" w:hangingChars="100" w:hanging="199"/>
        <w:jc w:val="left"/>
      </w:pPr>
      <w:r>
        <w:rPr>
          <w:rFonts w:hint="eastAsia"/>
        </w:rPr>
        <w:t>・</w:t>
      </w:r>
      <w:r>
        <w:rPr>
          <w:rFonts w:asciiTheme="minorEastAsia" w:hAnsiTheme="minorEastAsia" w:cs="ＭＳ Ｐゴシック" w:hint="eastAsia"/>
          <w:color w:val="000000"/>
          <w:kern w:val="0"/>
          <w:sz w:val="20"/>
          <w:szCs w:val="20"/>
        </w:rPr>
        <w:t>このラベルを見てマンションの購入等の参考と</w:t>
      </w:r>
      <w:r w:rsidR="004C21C6">
        <w:rPr>
          <w:rFonts w:asciiTheme="minorEastAsia" w:hAnsiTheme="minorEastAsia" w:cs="ＭＳ Ｐゴシック" w:hint="eastAsia"/>
          <w:color w:val="000000"/>
          <w:kern w:val="0"/>
          <w:sz w:val="20"/>
          <w:szCs w:val="20"/>
        </w:rPr>
        <w:t>し</w:t>
      </w:r>
      <w:r>
        <w:rPr>
          <w:rFonts w:asciiTheme="minorEastAsia" w:hAnsiTheme="minorEastAsia" w:cs="ＭＳ Ｐゴシック" w:hint="eastAsia"/>
          <w:color w:val="000000"/>
          <w:kern w:val="0"/>
          <w:sz w:val="20"/>
          <w:szCs w:val="20"/>
        </w:rPr>
        <w:t>たことがある、または、今後購入する際の参考</w:t>
      </w:r>
      <w:r w:rsidR="004C21C6">
        <w:rPr>
          <w:rFonts w:asciiTheme="minorEastAsia" w:hAnsiTheme="minorEastAsia" w:cs="ＭＳ Ｐゴシック" w:hint="eastAsia"/>
          <w:color w:val="000000"/>
          <w:kern w:val="0"/>
          <w:sz w:val="20"/>
          <w:szCs w:val="20"/>
        </w:rPr>
        <w:t>と</w:t>
      </w:r>
      <w:r>
        <w:rPr>
          <w:rFonts w:asciiTheme="minorEastAsia" w:hAnsiTheme="minorEastAsia" w:cs="ＭＳ Ｐゴシック" w:hint="eastAsia"/>
          <w:color w:val="000000"/>
          <w:kern w:val="0"/>
          <w:sz w:val="20"/>
          <w:szCs w:val="20"/>
        </w:rPr>
        <w:t>しようと思う方は、6割</w:t>
      </w:r>
      <w:r w:rsidRPr="006C0F75">
        <w:rPr>
          <w:rFonts w:asciiTheme="minorEastAsia" w:hAnsiTheme="minorEastAsia" w:cs="ＭＳ Ｐゴシック" w:hint="eastAsia"/>
          <w:color w:val="000000"/>
          <w:kern w:val="0"/>
          <w:sz w:val="20"/>
          <w:szCs w:val="20"/>
        </w:rPr>
        <w:t>。</w:t>
      </w:r>
    </w:p>
    <w:p w:rsidR="006B0E4C" w:rsidRDefault="006B0E4C" w:rsidP="00F42831">
      <w:pPr>
        <w:pStyle w:val="a5"/>
        <w:widowControl/>
        <w:numPr>
          <w:ilvl w:val="0"/>
          <w:numId w:val="3"/>
        </w:numPr>
        <w:spacing w:beforeLines="50" w:before="145"/>
        <w:ind w:leftChars="0" w:left="448" w:hanging="448"/>
        <w:jc w:val="left"/>
        <w:rPr>
          <w:b/>
        </w:rPr>
      </w:pPr>
      <w:r w:rsidRPr="006B0E4C">
        <w:rPr>
          <w:rFonts w:hint="eastAsia"/>
          <w:b/>
        </w:rPr>
        <w:t>表示内容について</w:t>
      </w:r>
    </w:p>
    <w:p w:rsidR="00FC28D7" w:rsidRPr="00F42831" w:rsidRDefault="00633A7A" w:rsidP="009E040F">
      <w:pPr>
        <w:pStyle w:val="a5"/>
        <w:widowControl/>
        <w:numPr>
          <w:ilvl w:val="1"/>
          <w:numId w:val="3"/>
        </w:numPr>
        <w:ind w:leftChars="0"/>
        <w:jc w:val="left"/>
        <w:rPr>
          <w:b/>
        </w:rPr>
      </w:pPr>
      <w:r w:rsidRPr="00AE5841">
        <w:rPr>
          <w:rFonts w:hint="eastAsia"/>
          <w:b/>
        </w:rPr>
        <w:t>エネルギー削減率の記載</w:t>
      </w:r>
    </w:p>
    <w:p w:rsidR="00633A7A" w:rsidRPr="00FC28D7" w:rsidRDefault="00FC28D7" w:rsidP="00FC28D7">
      <w:pPr>
        <w:pStyle w:val="a5"/>
        <w:widowControl/>
        <w:ind w:leftChars="0" w:left="780"/>
        <w:jc w:val="left"/>
      </w:pPr>
      <w:r w:rsidRPr="00FC28D7">
        <w:rPr>
          <w:rFonts w:hint="eastAsia"/>
        </w:rPr>
        <w:t>エネルギー消費がどれだけ節約できるか</w:t>
      </w:r>
      <w:r w:rsidR="00494AC2">
        <w:rPr>
          <w:rFonts w:hint="eastAsia"/>
        </w:rPr>
        <w:t>（建物の燃費）</w:t>
      </w:r>
      <w:r w:rsidRPr="00FC28D7">
        <w:rPr>
          <w:rFonts w:hint="eastAsia"/>
        </w:rPr>
        <w:t>という表示が必要</w:t>
      </w:r>
      <w:r w:rsidR="001A799A">
        <w:rPr>
          <w:rFonts w:hint="eastAsia"/>
        </w:rPr>
        <w:t>。</w:t>
      </w:r>
    </w:p>
    <w:p w:rsidR="00291AD4" w:rsidRPr="00E30E09" w:rsidRDefault="00BC02D6" w:rsidP="00F42831">
      <w:pPr>
        <w:widowControl/>
        <w:ind w:leftChars="427" w:left="991" w:rightChars="250" w:right="498" w:hangingChars="83" w:hanging="141"/>
        <w:jc w:val="left"/>
        <w:rPr>
          <w:b/>
          <w:sz w:val="18"/>
          <w:szCs w:val="18"/>
        </w:rPr>
      </w:pPr>
      <w:r w:rsidRPr="00E30E09">
        <w:rPr>
          <w:rFonts w:hint="eastAsia"/>
          <w:b/>
          <w:sz w:val="18"/>
          <w:szCs w:val="18"/>
        </w:rPr>
        <w:t>＜</w:t>
      </w:r>
      <w:r w:rsidRPr="00E30E09">
        <w:rPr>
          <w:rFonts w:asciiTheme="minorEastAsia" w:hAnsiTheme="minorEastAsia" w:cs="MS-Mincho" w:hint="eastAsia"/>
          <w:kern w:val="0"/>
          <w:sz w:val="18"/>
          <w:szCs w:val="18"/>
        </w:rPr>
        <w:t>横浜市建築物環境性能表示＞</w:t>
      </w:r>
      <w:r w:rsidR="00E30E09" w:rsidRPr="00E30E09">
        <w:rPr>
          <w:rFonts w:hint="eastAsia"/>
          <w:b/>
          <w:sz w:val="18"/>
          <w:szCs w:val="18"/>
        </w:rPr>
        <w:t xml:space="preserve">　</w:t>
      </w:r>
      <w:r w:rsidR="005B224E">
        <w:rPr>
          <w:rFonts w:asciiTheme="minorEastAsia" w:hAnsiTheme="minorEastAsia" w:cs="MS-Mincho" w:hint="eastAsia"/>
          <w:kern w:val="0"/>
          <w:sz w:val="18"/>
          <w:szCs w:val="18"/>
        </w:rPr>
        <w:t>設計一次エネルギー消費量からの削減率を表示</w:t>
      </w:r>
      <w:r w:rsidR="00291AD4" w:rsidRPr="00E30E09">
        <w:rPr>
          <w:rFonts w:asciiTheme="minorEastAsia" w:hAnsiTheme="minorEastAsia" w:cs="MS-Mincho" w:hint="eastAsia"/>
          <w:kern w:val="0"/>
          <w:sz w:val="18"/>
          <w:szCs w:val="18"/>
        </w:rPr>
        <w:t>。なお、設計一次エネルギー消費量が基準一次エネルギー消費量を超える場合においては、増加率</w:t>
      </w:r>
      <w:r w:rsidR="005B224E">
        <w:rPr>
          <w:rFonts w:asciiTheme="minorEastAsia" w:hAnsiTheme="minorEastAsia" w:cs="MS-Mincho" w:hint="eastAsia"/>
          <w:kern w:val="0"/>
          <w:sz w:val="18"/>
          <w:szCs w:val="18"/>
        </w:rPr>
        <w:t>を表示</w:t>
      </w:r>
      <w:r w:rsidR="00291AD4" w:rsidRPr="00E30E09">
        <w:rPr>
          <w:rFonts w:asciiTheme="minorEastAsia" w:hAnsiTheme="minorEastAsia" w:cs="MS-Mincho" w:hint="eastAsia"/>
          <w:kern w:val="0"/>
          <w:sz w:val="18"/>
          <w:szCs w:val="18"/>
        </w:rPr>
        <w:t>。</w:t>
      </w:r>
    </w:p>
    <w:p w:rsidR="00402FB7" w:rsidRPr="00E30E09" w:rsidRDefault="00291AD4" w:rsidP="00F42831">
      <w:pPr>
        <w:pStyle w:val="a5"/>
        <w:autoSpaceDE w:val="0"/>
        <w:autoSpaceDN w:val="0"/>
        <w:adjustRightInd w:val="0"/>
        <w:ind w:leftChars="0" w:left="450"/>
        <w:jc w:val="center"/>
        <w:rPr>
          <w:rFonts w:asciiTheme="minorEastAsia" w:hAnsiTheme="minorEastAsia" w:cs="MS-Mincho"/>
          <w:kern w:val="0"/>
          <w:szCs w:val="21"/>
        </w:rPr>
      </w:pPr>
      <w:r>
        <w:rPr>
          <w:noProof/>
        </w:rPr>
        <w:drawing>
          <wp:inline distT="0" distB="0" distL="0" distR="0" wp14:anchorId="6C92706A" wp14:editId="48EF7DCE">
            <wp:extent cx="2247265" cy="1400175"/>
            <wp:effectExtent l="0" t="0" r="635" b="9525"/>
            <wp:docPr id="5" name="図 5" descr="\\localhost\LIB\New!!建築環境・設備G\01 企画\2016_不動産協会_意見交換会\自治体事例\ラベル画像\yokohama_h28shugo.jpg"/>
            <wp:cNvGraphicFramePr/>
            <a:graphic xmlns:a="http://schemas.openxmlformats.org/drawingml/2006/main">
              <a:graphicData uri="http://schemas.openxmlformats.org/drawingml/2006/picture">
                <pic:pic xmlns:pic="http://schemas.openxmlformats.org/drawingml/2006/picture">
                  <pic:nvPicPr>
                    <pic:cNvPr id="5" name="図 5" descr="\\localhost\LIB\New!!建築環境・設備G\01 企画\2016_不動産協会_意見交換会\自治体事例\ラベル画像\yokohama_h28shugo.jpg"/>
                    <pic:cNvPicPr/>
                  </pic:nvPicPr>
                  <pic:blipFill rotWithShape="1">
                    <a:blip r:embed="rId9">
                      <a:extLst>
                        <a:ext uri="{28A0092B-C50C-407E-A947-70E740481C1C}">
                          <a14:useLocalDpi xmlns:a14="http://schemas.microsoft.com/office/drawing/2010/main" val="0"/>
                        </a:ext>
                      </a:extLst>
                    </a:blip>
                    <a:srcRect l="-2035" r="-2035"/>
                    <a:stretch/>
                  </pic:blipFill>
                  <pic:spPr bwMode="auto">
                    <a:xfrm>
                      <a:off x="0" y="0"/>
                      <a:ext cx="2247265" cy="1400175"/>
                    </a:xfrm>
                    <a:prstGeom prst="rect">
                      <a:avLst/>
                    </a:prstGeom>
                    <a:noFill/>
                    <a:ln>
                      <a:noFill/>
                    </a:ln>
                  </pic:spPr>
                </pic:pic>
              </a:graphicData>
            </a:graphic>
          </wp:inline>
        </w:drawing>
      </w:r>
      <w:r w:rsidR="00BC02D6">
        <w:rPr>
          <w:noProof/>
        </w:rPr>
        <w:drawing>
          <wp:inline distT="0" distB="0" distL="0" distR="0" wp14:anchorId="26BA25DF" wp14:editId="4E4BB447">
            <wp:extent cx="2159635" cy="1345565"/>
            <wp:effectExtent l="0" t="0" r="0" b="6985"/>
            <wp:docPr id="8" name="図 8" descr="\\localhost\LIB\New!!建築環境・設備G\01 企画\2016_不動産協会_意見交換会\自治体事例\ラベル画像\osaka_new_label.png"/>
            <wp:cNvGraphicFramePr/>
            <a:graphic xmlns:a="http://schemas.openxmlformats.org/drawingml/2006/main">
              <a:graphicData uri="http://schemas.openxmlformats.org/drawingml/2006/picture">
                <pic:pic xmlns:pic="http://schemas.openxmlformats.org/drawingml/2006/picture">
                  <pic:nvPicPr>
                    <pic:cNvPr id="8" name="図 8" descr="\\localhost\LIB\New!!建築環境・設備G\01 企画\2016_不動産協会_意見交換会\自治体事例\ラベル画像\osaka_new_label.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635" cy="1345565"/>
                    </a:xfrm>
                    <a:prstGeom prst="rect">
                      <a:avLst/>
                    </a:prstGeom>
                    <a:noFill/>
                    <a:ln>
                      <a:noFill/>
                    </a:ln>
                  </pic:spPr>
                </pic:pic>
              </a:graphicData>
            </a:graphic>
          </wp:inline>
        </w:drawing>
      </w:r>
    </w:p>
    <w:p w:rsidR="00633A7A" w:rsidRDefault="00633A7A" w:rsidP="00633A7A">
      <w:pPr>
        <w:pStyle w:val="a5"/>
        <w:widowControl/>
        <w:numPr>
          <w:ilvl w:val="1"/>
          <w:numId w:val="3"/>
        </w:numPr>
        <w:ind w:leftChars="0"/>
        <w:jc w:val="left"/>
        <w:rPr>
          <w:b/>
        </w:rPr>
      </w:pPr>
      <w:r w:rsidRPr="00E30E09">
        <w:rPr>
          <w:rFonts w:hint="eastAsia"/>
          <w:b/>
        </w:rPr>
        <w:t>健康の表示</w:t>
      </w:r>
    </w:p>
    <w:p w:rsidR="001A799A" w:rsidRDefault="005E3C91" w:rsidP="00F42831">
      <w:pPr>
        <w:pStyle w:val="a5"/>
        <w:widowControl/>
        <w:ind w:leftChars="200" w:left="597" w:hangingChars="100" w:hanging="199"/>
        <w:jc w:val="left"/>
      </w:pPr>
      <w:r>
        <w:rPr>
          <w:rFonts w:hint="eastAsia"/>
        </w:rPr>
        <w:t>・断熱性能の向上は健康に寄与するかもしれないが、その他の要因で不健康になることもある。健康についてのラベル表示は、</w:t>
      </w:r>
      <w:r w:rsidR="004C21C6">
        <w:rPr>
          <w:rFonts w:hint="eastAsia"/>
        </w:rPr>
        <w:t>不動産団体との</w:t>
      </w:r>
      <w:r>
        <w:rPr>
          <w:rFonts w:hint="eastAsia"/>
        </w:rPr>
        <w:t>意見交換会で入居者が不健康となった場合、誇大広告であるというクレームが想定される</w:t>
      </w:r>
      <w:r w:rsidR="004C21C6">
        <w:rPr>
          <w:rFonts w:hint="eastAsia"/>
        </w:rPr>
        <w:t>との意見があり</w:t>
      </w:r>
      <w:r>
        <w:rPr>
          <w:rFonts w:hint="eastAsia"/>
        </w:rPr>
        <w:t>困難。</w:t>
      </w:r>
      <w:bookmarkStart w:id="0" w:name="_GoBack"/>
      <w:bookmarkEnd w:id="0"/>
    </w:p>
    <w:p w:rsidR="001A799A" w:rsidRDefault="005E3C91" w:rsidP="00F42831">
      <w:pPr>
        <w:pStyle w:val="a5"/>
        <w:widowControl/>
        <w:ind w:leftChars="200" w:left="597" w:hangingChars="100" w:hanging="199"/>
        <w:jc w:val="left"/>
      </w:pPr>
      <w:r>
        <w:rPr>
          <w:rFonts w:hint="eastAsia"/>
        </w:rPr>
        <w:t>・横浜市のラベルの健康の部分は、</w:t>
      </w:r>
      <w:r>
        <w:rPr>
          <w:rFonts w:hint="eastAsia"/>
        </w:rPr>
        <w:t>CASBEE</w:t>
      </w:r>
      <w:r>
        <w:rPr>
          <w:rFonts w:hint="eastAsia"/>
        </w:rPr>
        <w:t>以外の評価を別途作成する必要があり、地方色がある上、手間がかかる。</w:t>
      </w:r>
    </w:p>
    <w:tbl>
      <w:tblPr>
        <w:tblStyle w:val="a6"/>
        <w:tblW w:w="0" w:type="auto"/>
        <w:tblInd w:w="420" w:type="dxa"/>
        <w:shd w:val="clear" w:color="auto" w:fill="FFFF00"/>
        <w:tblLook w:val="04A0" w:firstRow="1" w:lastRow="0" w:firstColumn="1" w:lastColumn="0" w:noHBand="0" w:noVBand="1"/>
      </w:tblPr>
      <w:tblGrid>
        <w:gridCol w:w="9548"/>
      </w:tblGrid>
      <w:tr w:rsidR="007E7527" w:rsidRPr="007E7527" w:rsidTr="00F42831">
        <w:tc>
          <w:tcPr>
            <w:tcW w:w="9950" w:type="dxa"/>
            <w:shd w:val="clear" w:color="auto" w:fill="FFFF00"/>
          </w:tcPr>
          <w:p w:rsidR="004F7E7F" w:rsidRPr="007E7527" w:rsidRDefault="00A0502B" w:rsidP="00A0502B">
            <w:pPr>
              <w:spacing w:beforeLines="50" w:before="145"/>
              <w:ind w:left="699" w:hangingChars="350" w:hanging="699"/>
              <w:rPr>
                <w:b/>
              </w:rPr>
            </w:pPr>
            <w:r>
              <w:rPr>
                <w:rFonts w:hint="eastAsia"/>
                <w:b/>
              </w:rPr>
              <w:t>（案）</w:t>
            </w:r>
            <w:r w:rsidRPr="00A0502B">
              <w:rPr>
                <w:rFonts w:hint="eastAsia"/>
                <w:b/>
                <w:color w:val="FF0000"/>
              </w:rPr>
              <w:t>表示内容を消費者の目線を意識したものと</w:t>
            </w:r>
            <w:r>
              <w:rPr>
                <w:rFonts w:hint="eastAsia"/>
                <w:b/>
                <w:color w:val="FF0000"/>
              </w:rPr>
              <w:t>する。</w:t>
            </w:r>
            <w:r w:rsidRPr="00A0502B">
              <w:rPr>
                <w:rFonts w:hint="eastAsia"/>
                <w:b/>
                <w:color w:val="FF0000"/>
              </w:rPr>
              <w:br/>
            </w:r>
            <w:r w:rsidRPr="00A0502B">
              <w:rPr>
                <w:rFonts w:hint="eastAsia"/>
                <w:b/>
                <w:color w:val="FF0000"/>
              </w:rPr>
              <w:t>・エネルギー削減率をラベル表示に追加する。</w:t>
            </w:r>
            <w:r>
              <w:rPr>
                <w:b/>
                <w:color w:val="FF0000"/>
              </w:rPr>
              <w:br/>
            </w:r>
            <w:r w:rsidR="005B224E" w:rsidRPr="00A0502B">
              <w:rPr>
                <w:rFonts w:hint="eastAsia"/>
                <w:b/>
                <w:color w:val="FF0000"/>
              </w:rPr>
              <w:t>・</w:t>
            </w:r>
            <w:r w:rsidR="004F7E7F" w:rsidRPr="00A0502B">
              <w:rPr>
                <w:rFonts w:hint="eastAsia"/>
                <w:b/>
                <w:color w:val="FF0000"/>
              </w:rPr>
              <w:t>大</w:t>
            </w:r>
            <w:r w:rsidR="004F7E7F" w:rsidRPr="004F7E7F">
              <w:rPr>
                <w:rFonts w:hint="eastAsia"/>
                <w:b/>
                <w:color w:val="FF0000"/>
              </w:rPr>
              <w:t>阪府重点評価の内容は、事業者が高評価を受けたくなるようなものとなるよう、また、断熱性能や遮熱性能は健康にも寄与するものと考えられるので、課題も含め引き続き検討を行う。</w:t>
            </w:r>
          </w:p>
        </w:tc>
      </w:tr>
    </w:tbl>
    <w:p w:rsidR="003D1D3D" w:rsidRPr="00533D12" w:rsidRDefault="003D1D3D" w:rsidP="00F42831">
      <w:pPr>
        <w:pStyle w:val="a5"/>
        <w:widowControl/>
        <w:ind w:leftChars="200" w:left="597" w:hangingChars="100" w:hanging="199"/>
        <w:jc w:val="left"/>
      </w:pPr>
    </w:p>
    <w:sectPr w:rsidR="003D1D3D" w:rsidRPr="00533D12" w:rsidSect="00BA0383">
      <w:pgSz w:w="11906" w:h="16838" w:code="9"/>
      <w:pgMar w:top="567" w:right="1077" w:bottom="567" w:left="1077" w:header="851" w:footer="992" w:gutter="0"/>
      <w:cols w:space="425"/>
      <w:docGrid w:type="linesAndChars" w:linePitch="290" w:charSpace="-2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11D" w:rsidRDefault="0091611D" w:rsidP="003D1D3D">
      <w:r>
        <w:separator/>
      </w:r>
    </w:p>
  </w:endnote>
  <w:endnote w:type="continuationSeparator" w:id="0">
    <w:p w:rsidR="0091611D" w:rsidRDefault="0091611D" w:rsidP="003D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11D" w:rsidRDefault="0091611D" w:rsidP="003D1D3D">
      <w:r>
        <w:separator/>
      </w:r>
    </w:p>
  </w:footnote>
  <w:footnote w:type="continuationSeparator" w:id="0">
    <w:p w:rsidR="0091611D" w:rsidRDefault="0091611D" w:rsidP="003D1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04D2"/>
    <w:multiLevelType w:val="hybridMultilevel"/>
    <w:tmpl w:val="390831EC"/>
    <w:lvl w:ilvl="0" w:tplc="33D01934">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B802E4"/>
    <w:multiLevelType w:val="hybridMultilevel"/>
    <w:tmpl w:val="BD94521C"/>
    <w:lvl w:ilvl="0" w:tplc="4864A1E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nsid w:val="1FF70700"/>
    <w:multiLevelType w:val="hybridMultilevel"/>
    <w:tmpl w:val="84FAE7DA"/>
    <w:lvl w:ilvl="0" w:tplc="4AD0A020">
      <w:start w:val="1"/>
      <w:numFmt w:val="decimalFullWidth"/>
      <w:lvlText w:val="%1）"/>
      <w:lvlJc w:val="left"/>
      <w:pPr>
        <w:ind w:left="450" w:hanging="450"/>
      </w:pPr>
      <w:rPr>
        <w:rFonts w:hint="default"/>
        <w:lang w:val="en-US"/>
      </w:rPr>
    </w:lvl>
    <w:lvl w:ilvl="1" w:tplc="E7E49E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25544FF"/>
    <w:multiLevelType w:val="hybridMultilevel"/>
    <w:tmpl w:val="E32A3CA6"/>
    <w:lvl w:ilvl="0" w:tplc="16D679CC">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nsid w:val="2A1D6680"/>
    <w:multiLevelType w:val="hybridMultilevel"/>
    <w:tmpl w:val="CD2CB638"/>
    <w:lvl w:ilvl="0" w:tplc="CF1ABF6A">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9A818B3"/>
    <w:multiLevelType w:val="hybridMultilevel"/>
    <w:tmpl w:val="7EC6F318"/>
    <w:lvl w:ilvl="0" w:tplc="DC4046BE">
      <w:start w:val="1"/>
      <w:numFmt w:val="decimalEnclosedCircle"/>
      <w:lvlText w:val="%1"/>
      <w:lvlJc w:val="left"/>
      <w:pPr>
        <w:ind w:left="1966" w:hanging="360"/>
      </w:pPr>
      <w:rPr>
        <w:rFonts w:hint="default"/>
      </w:rPr>
    </w:lvl>
    <w:lvl w:ilvl="1" w:tplc="04090017" w:tentative="1">
      <w:start w:val="1"/>
      <w:numFmt w:val="aiueoFullWidth"/>
      <w:lvlText w:val="(%2)"/>
      <w:lvlJc w:val="left"/>
      <w:pPr>
        <w:ind w:left="2446" w:hanging="420"/>
      </w:pPr>
    </w:lvl>
    <w:lvl w:ilvl="2" w:tplc="04090011" w:tentative="1">
      <w:start w:val="1"/>
      <w:numFmt w:val="decimalEnclosedCircle"/>
      <w:lvlText w:val="%3"/>
      <w:lvlJc w:val="left"/>
      <w:pPr>
        <w:ind w:left="2866" w:hanging="420"/>
      </w:pPr>
    </w:lvl>
    <w:lvl w:ilvl="3" w:tplc="0409000F" w:tentative="1">
      <w:start w:val="1"/>
      <w:numFmt w:val="decimal"/>
      <w:lvlText w:val="%4."/>
      <w:lvlJc w:val="left"/>
      <w:pPr>
        <w:ind w:left="3286" w:hanging="420"/>
      </w:pPr>
    </w:lvl>
    <w:lvl w:ilvl="4" w:tplc="04090017" w:tentative="1">
      <w:start w:val="1"/>
      <w:numFmt w:val="aiueoFullWidth"/>
      <w:lvlText w:val="(%5)"/>
      <w:lvlJc w:val="left"/>
      <w:pPr>
        <w:ind w:left="3706" w:hanging="420"/>
      </w:pPr>
    </w:lvl>
    <w:lvl w:ilvl="5" w:tplc="04090011" w:tentative="1">
      <w:start w:val="1"/>
      <w:numFmt w:val="decimalEnclosedCircle"/>
      <w:lvlText w:val="%6"/>
      <w:lvlJc w:val="left"/>
      <w:pPr>
        <w:ind w:left="4126" w:hanging="420"/>
      </w:pPr>
    </w:lvl>
    <w:lvl w:ilvl="6" w:tplc="0409000F" w:tentative="1">
      <w:start w:val="1"/>
      <w:numFmt w:val="decimal"/>
      <w:lvlText w:val="%7."/>
      <w:lvlJc w:val="left"/>
      <w:pPr>
        <w:ind w:left="4546" w:hanging="420"/>
      </w:pPr>
    </w:lvl>
    <w:lvl w:ilvl="7" w:tplc="04090017" w:tentative="1">
      <w:start w:val="1"/>
      <w:numFmt w:val="aiueoFullWidth"/>
      <w:lvlText w:val="(%8)"/>
      <w:lvlJc w:val="left"/>
      <w:pPr>
        <w:ind w:left="4966" w:hanging="420"/>
      </w:pPr>
    </w:lvl>
    <w:lvl w:ilvl="8" w:tplc="04090011" w:tentative="1">
      <w:start w:val="1"/>
      <w:numFmt w:val="decimalEnclosedCircle"/>
      <w:lvlText w:val="%9"/>
      <w:lvlJc w:val="left"/>
      <w:pPr>
        <w:ind w:left="5386" w:hanging="420"/>
      </w:pPr>
    </w:lvl>
  </w:abstractNum>
  <w:abstractNum w:abstractNumId="6">
    <w:nsid w:val="3D967157"/>
    <w:multiLevelType w:val="hybridMultilevel"/>
    <w:tmpl w:val="E174BF62"/>
    <w:lvl w:ilvl="0" w:tplc="CB08A0D6">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F2C3D3B"/>
    <w:multiLevelType w:val="hybridMultilevel"/>
    <w:tmpl w:val="31EA6AF6"/>
    <w:lvl w:ilvl="0" w:tplc="D2DCD0B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05B6BA8"/>
    <w:multiLevelType w:val="hybridMultilevel"/>
    <w:tmpl w:val="49D4CE12"/>
    <w:lvl w:ilvl="0" w:tplc="97842BC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5934685C"/>
    <w:multiLevelType w:val="hybridMultilevel"/>
    <w:tmpl w:val="5BDC7BD2"/>
    <w:lvl w:ilvl="0" w:tplc="96ACEA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594A3427"/>
    <w:multiLevelType w:val="hybridMultilevel"/>
    <w:tmpl w:val="6A8CFA12"/>
    <w:lvl w:ilvl="0" w:tplc="6598F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C41371C"/>
    <w:multiLevelType w:val="hybridMultilevel"/>
    <w:tmpl w:val="C596A876"/>
    <w:lvl w:ilvl="0" w:tplc="E7E49EB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1AD40AF"/>
    <w:multiLevelType w:val="hybridMultilevel"/>
    <w:tmpl w:val="D346AD40"/>
    <w:lvl w:ilvl="0" w:tplc="41EAFE00">
      <w:start w:val="1"/>
      <w:numFmt w:val="decimal"/>
      <w:lvlText w:val="%1"/>
      <w:lvlJc w:val="left"/>
      <w:pPr>
        <w:ind w:left="1665" w:hanging="360"/>
      </w:pPr>
      <w:rPr>
        <w:rFonts w:hint="default"/>
      </w:rPr>
    </w:lvl>
    <w:lvl w:ilvl="1" w:tplc="04090017" w:tentative="1">
      <w:start w:val="1"/>
      <w:numFmt w:val="aiueoFullWidth"/>
      <w:lvlText w:val="(%2)"/>
      <w:lvlJc w:val="left"/>
      <w:pPr>
        <w:ind w:left="2145" w:hanging="420"/>
      </w:pPr>
    </w:lvl>
    <w:lvl w:ilvl="2" w:tplc="04090011" w:tentative="1">
      <w:start w:val="1"/>
      <w:numFmt w:val="decimalEnclosedCircle"/>
      <w:lvlText w:val="%3"/>
      <w:lvlJc w:val="left"/>
      <w:pPr>
        <w:ind w:left="2565" w:hanging="420"/>
      </w:pPr>
    </w:lvl>
    <w:lvl w:ilvl="3" w:tplc="0409000F" w:tentative="1">
      <w:start w:val="1"/>
      <w:numFmt w:val="decimal"/>
      <w:lvlText w:val="%4."/>
      <w:lvlJc w:val="left"/>
      <w:pPr>
        <w:ind w:left="2985" w:hanging="420"/>
      </w:pPr>
    </w:lvl>
    <w:lvl w:ilvl="4" w:tplc="04090017" w:tentative="1">
      <w:start w:val="1"/>
      <w:numFmt w:val="aiueoFullWidth"/>
      <w:lvlText w:val="(%5)"/>
      <w:lvlJc w:val="left"/>
      <w:pPr>
        <w:ind w:left="3405" w:hanging="420"/>
      </w:pPr>
    </w:lvl>
    <w:lvl w:ilvl="5" w:tplc="04090011" w:tentative="1">
      <w:start w:val="1"/>
      <w:numFmt w:val="decimalEnclosedCircle"/>
      <w:lvlText w:val="%6"/>
      <w:lvlJc w:val="left"/>
      <w:pPr>
        <w:ind w:left="3825" w:hanging="420"/>
      </w:pPr>
    </w:lvl>
    <w:lvl w:ilvl="6" w:tplc="0409000F" w:tentative="1">
      <w:start w:val="1"/>
      <w:numFmt w:val="decimal"/>
      <w:lvlText w:val="%7."/>
      <w:lvlJc w:val="left"/>
      <w:pPr>
        <w:ind w:left="4245" w:hanging="420"/>
      </w:pPr>
    </w:lvl>
    <w:lvl w:ilvl="7" w:tplc="04090017" w:tentative="1">
      <w:start w:val="1"/>
      <w:numFmt w:val="aiueoFullWidth"/>
      <w:lvlText w:val="(%8)"/>
      <w:lvlJc w:val="left"/>
      <w:pPr>
        <w:ind w:left="4665" w:hanging="420"/>
      </w:pPr>
    </w:lvl>
    <w:lvl w:ilvl="8" w:tplc="04090011" w:tentative="1">
      <w:start w:val="1"/>
      <w:numFmt w:val="decimalEnclosedCircle"/>
      <w:lvlText w:val="%9"/>
      <w:lvlJc w:val="left"/>
      <w:pPr>
        <w:ind w:left="5085" w:hanging="420"/>
      </w:pPr>
    </w:lvl>
  </w:abstractNum>
  <w:abstractNum w:abstractNumId="13">
    <w:nsid w:val="7CD973E4"/>
    <w:multiLevelType w:val="hybridMultilevel"/>
    <w:tmpl w:val="CBE6F5B4"/>
    <w:lvl w:ilvl="0" w:tplc="5134BAD4">
      <w:start w:val="1"/>
      <w:numFmt w:val="decimalEnclosedCircle"/>
      <w:lvlText w:val="%1"/>
      <w:lvlJc w:val="left"/>
      <w:pPr>
        <w:ind w:left="1665" w:hanging="360"/>
      </w:pPr>
      <w:rPr>
        <w:rFonts w:hint="default"/>
      </w:rPr>
    </w:lvl>
    <w:lvl w:ilvl="1" w:tplc="04090017" w:tentative="1">
      <w:start w:val="1"/>
      <w:numFmt w:val="aiueoFullWidth"/>
      <w:lvlText w:val="(%2)"/>
      <w:lvlJc w:val="left"/>
      <w:pPr>
        <w:ind w:left="2145" w:hanging="420"/>
      </w:pPr>
    </w:lvl>
    <w:lvl w:ilvl="2" w:tplc="04090011" w:tentative="1">
      <w:start w:val="1"/>
      <w:numFmt w:val="decimalEnclosedCircle"/>
      <w:lvlText w:val="%3"/>
      <w:lvlJc w:val="left"/>
      <w:pPr>
        <w:ind w:left="2565" w:hanging="420"/>
      </w:pPr>
    </w:lvl>
    <w:lvl w:ilvl="3" w:tplc="0409000F" w:tentative="1">
      <w:start w:val="1"/>
      <w:numFmt w:val="decimal"/>
      <w:lvlText w:val="%4."/>
      <w:lvlJc w:val="left"/>
      <w:pPr>
        <w:ind w:left="2985" w:hanging="420"/>
      </w:pPr>
    </w:lvl>
    <w:lvl w:ilvl="4" w:tplc="04090017" w:tentative="1">
      <w:start w:val="1"/>
      <w:numFmt w:val="aiueoFullWidth"/>
      <w:lvlText w:val="(%5)"/>
      <w:lvlJc w:val="left"/>
      <w:pPr>
        <w:ind w:left="3405" w:hanging="420"/>
      </w:pPr>
    </w:lvl>
    <w:lvl w:ilvl="5" w:tplc="04090011" w:tentative="1">
      <w:start w:val="1"/>
      <w:numFmt w:val="decimalEnclosedCircle"/>
      <w:lvlText w:val="%6"/>
      <w:lvlJc w:val="left"/>
      <w:pPr>
        <w:ind w:left="3825" w:hanging="420"/>
      </w:pPr>
    </w:lvl>
    <w:lvl w:ilvl="6" w:tplc="0409000F" w:tentative="1">
      <w:start w:val="1"/>
      <w:numFmt w:val="decimal"/>
      <w:lvlText w:val="%7."/>
      <w:lvlJc w:val="left"/>
      <w:pPr>
        <w:ind w:left="4245" w:hanging="420"/>
      </w:pPr>
    </w:lvl>
    <w:lvl w:ilvl="7" w:tplc="04090017" w:tentative="1">
      <w:start w:val="1"/>
      <w:numFmt w:val="aiueoFullWidth"/>
      <w:lvlText w:val="(%8)"/>
      <w:lvlJc w:val="left"/>
      <w:pPr>
        <w:ind w:left="4665" w:hanging="420"/>
      </w:pPr>
    </w:lvl>
    <w:lvl w:ilvl="8" w:tplc="04090011" w:tentative="1">
      <w:start w:val="1"/>
      <w:numFmt w:val="decimalEnclosedCircle"/>
      <w:lvlText w:val="%9"/>
      <w:lvlJc w:val="left"/>
      <w:pPr>
        <w:ind w:left="5085" w:hanging="420"/>
      </w:pPr>
    </w:lvl>
  </w:abstractNum>
  <w:num w:numId="1">
    <w:abstractNumId w:val="7"/>
  </w:num>
  <w:num w:numId="2">
    <w:abstractNumId w:val="1"/>
  </w:num>
  <w:num w:numId="3">
    <w:abstractNumId w:val="2"/>
  </w:num>
  <w:num w:numId="4">
    <w:abstractNumId w:val="8"/>
  </w:num>
  <w:num w:numId="5">
    <w:abstractNumId w:val="4"/>
  </w:num>
  <w:num w:numId="6">
    <w:abstractNumId w:val="9"/>
  </w:num>
  <w:num w:numId="7">
    <w:abstractNumId w:val="3"/>
  </w:num>
  <w:num w:numId="8">
    <w:abstractNumId w:val="5"/>
  </w:num>
  <w:num w:numId="9">
    <w:abstractNumId w:val="6"/>
  </w:num>
  <w:num w:numId="10">
    <w:abstractNumId w:val="12"/>
  </w:num>
  <w:num w:numId="11">
    <w:abstractNumId w:val="13"/>
  </w:num>
  <w:num w:numId="12">
    <w:abstractNumId w:val="10"/>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20"/>
    <w:rsid w:val="00047F2E"/>
    <w:rsid w:val="00076620"/>
    <w:rsid w:val="000C7DE5"/>
    <w:rsid w:val="000D3506"/>
    <w:rsid w:val="000F4AB4"/>
    <w:rsid w:val="000F7CB8"/>
    <w:rsid w:val="00104E2E"/>
    <w:rsid w:val="00127756"/>
    <w:rsid w:val="0013231A"/>
    <w:rsid w:val="00142DAD"/>
    <w:rsid w:val="00142EC7"/>
    <w:rsid w:val="00150827"/>
    <w:rsid w:val="00176716"/>
    <w:rsid w:val="00183F9A"/>
    <w:rsid w:val="001A17D6"/>
    <w:rsid w:val="001A799A"/>
    <w:rsid w:val="001B5460"/>
    <w:rsid w:val="00210FB2"/>
    <w:rsid w:val="00222D68"/>
    <w:rsid w:val="00223C76"/>
    <w:rsid w:val="002525DF"/>
    <w:rsid w:val="002545EB"/>
    <w:rsid w:val="00266AF9"/>
    <w:rsid w:val="0027238C"/>
    <w:rsid w:val="002749BD"/>
    <w:rsid w:val="00291AD4"/>
    <w:rsid w:val="002A0F34"/>
    <w:rsid w:val="002D031D"/>
    <w:rsid w:val="00322034"/>
    <w:rsid w:val="00324FAC"/>
    <w:rsid w:val="003647E4"/>
    <w:rsid w:val="00380BA9"/>
    <w:rsid w:val="00382C84"/>
    <w:rsid w:val="00392F57"/>
    <w:rsid w:val="00396EA6"/>
    <w:rsid w:val="003A49D9"/>
    <w:rsid w:val="003B7E62"/>
    <w:rsid w:val="003D1D3D"/>
    <w:rsid w:val="003D501E"/>
    <w:rsid w:val="00402FB7"/>
    <w:rsid w:val="004041ED"/>
    <w:rsid w:val="00405809"/>
    <w:rsid w:val="00412A62"/>
    <w:rsid w:val="00422ADA"/>
    <w:rsid w:val="004232F5"/>
    <w:rsid w:val="00435BE6"/>
    <w:rsid w:val="00454997"/>
    <w:rsid w:val="00461452"/>
    <w:rsid w:val="00494AC2"/>
    <w:rsid w:val="004A7D5D"/>
    <w:rsid w:val="004C1E6F"/>
    <w:rsid w:val="004C21C6"/>
    <w:rsid w:val="004C53FD"/>
    <w:rsid w:val="004C67DB"/>
    <w:rsid w:val="004D6F5F"/>
    <w:rsid w:val="004E1C59"/>
    <w:rsid w:val="004F7E7F"/>
    <w:rsid w:val="005075D2"/>
    <w:rsid w:val="00515A8E"/>
    <w:rsid w:val="00533D12"/>
    <w:rsid w:val="00563CFF"/>
    <w:rsid w:val="00581C6D"/>
    <w:rsid w:val="00587CE0"/>
    <w:rsid w:val="0059063F"/>
    <w:rsid w:val="00597E5B"/>
    <w:rsid w:val="005B224E"/>
    <w:rsid w:val="005C1063"/>
    <w:rsid w:val="005D5952"/>
    <w:rsid w:val="005D7966"/>
    <w:rsid w:val="005E3C91"/>
    <w:rsid w:val="005F01A1"/>
    <w:rsid w:val="00633A7A"/>
    <w:rsid w:val="006421FD"/>
    <w:rsid w:val="00674F7D"/>
    <w:rsid w:val="006823EC"/>
    <w:rsid w:val="006A32D9"/>
    <w:rsid w:val="006B0E4C"/>
    <w:rsid w:val="006B60FE"/>
    <w:rsid w:val="006C0F75"/>
    <w:rsid w:val="006F0411"/>
    <w:rsid w:val="006F1942"/>
    <w:rsid w:val="006F36E8"/>
    <w:rsid w:val="007112B2"/>
    <w:rsid w:val="0071436C"/>
    <w:rsid w:val="00717111"/>
    <w:rsid w:val="0072148F"/>
    <w:rsid w:val="0077380D"/>
    <w:rsid w:val="007817E4"/>
    <w:rsid w:val="00782E46"/>
    <w:rsid w:val="007A142B"/>
    <w:rsid w:val="007D6938"/>
    <w:rsid w:val="007E7527"/>
    <w:rsid w:val="00816523"/>
    <w:rsid w:val="00817D13"/>
    <w:rsid w:val="008246D1"/>
    <w:rsid w:val="0086794B"/>
    <w:rsid w:val="0088171B"/>
    <w:rsid w:val="008834EF"/>
    <w:rsid w:val="00896747"/>
    <w:rsid w:val="008B012D"/>
    <w:rsid w:val="008C617F"/>
    <w:rsid w:val="008F26CC"/>
    <w:rsid w:val="00906761"/>
    <w:rsid w:val="00906ED2"/>
    <w:rsid w:val="0091611D"/>
    <w:rsid w:val="009219EA"/>
    <w:rsid w:val="0094413E"/>
    <w:rsid w:val="009544EF"/>
    <w:rsid w:val="009A29F0"/>
    <w:rsid w:val="009A700C"/>
    <w:rsid w:val="009B66ED"/>
    <w:rsid w:val="009E040F"/>
    <w:rsid w:val="009F6E86"/>
    <w:rsid w:val="009F75BA"/>
    <w:rsid w:val="00A0502B"/>
    <w:rsid w:val="00A45A93"/>
    <w:rsid w:val="00A478E0"/>
    <w:rsid w:val="00A551F1"/>
    <w:rsid w:val="00A64E6C"/>
    <w:rsid w:val="00AE5841"/>
    <w:rsid w:val="00B1291A"/>
    <w:rsid w:val="00B149DB"/>
    <w:rsid w:val="00B2110E"/>
    <w:rsid w:val="00B34257"/>
    <w:rsid w:val="00B45617"/>
    <w:rsid w:val="00B808ED"/>
    <w:rsid w:val="00B964CF"/>
    <w:rsid w:val="00BA0383"/>
    <w:rsid w:val="00BA35B6"/>
    <w:rsid w:val="00BA5D76"/>
    <w:rsid w:val="00BC02D6"/>
    <w:rsid w:val="00BE6587"/>
    <w:rsid w:val="00BF1B8A"/>
    <w:rsid w:val="00BF5B1F"/>
    <w:rsid w:val="00C43655"/>
    <w:rsid w:val="00C576DF"/>
    <w:rsid w:val="00C768A3"/>
    <w:rsid w:val="00CA575A"/>
    <w:rsid w:val="00CB7387"/>
    <w:rsid w:val="00CD1841"/>
    <w:rsid w:val="00CF493E"/>
    <w:rsid w:val="00CF7EB9"/>
    <w:rsid w:val="00D13694"/>
    <w:rsid w:val="00D21CF7"/>
    <w:rsid w:val="00D24001"/>
    <w:rsid w:val="00D41F88"/>
    <w:rsid w:val="00D71BE2"/>
    <w:rsid w:val="00D75EC5"/>
    <w:rsid w:val="00DC6FEA"/>
    <w:rsid w:val="00DD4244"/>
    <w:rsid w:val="00DD785D"/>
    <w:rsid w:val="00E04FCC"/>
    <w:rsid w:val="00E30E09"/>
    <w:rsid w:val="00E77752"/>
    <w:rsid w:val="00E95F74"/>
    <w:rsid w:val="00EA0710"/>
    <w:rsid w:val="00EB3E45"/>
    <w:rsid w:val="00EC133A"/>
    <w:rsid w:val="00ED110B"/>
    <w:rsid w:val="00EF46CE"/>
    <w:rsid w:val="00F00C4E"/>
    <w:rsid w:val="00F05DAC"/>
    <w:rsid w:val="00F10620"/>
    <w:rsid w:val="00F42831"/>
    <w:rsid w:val="00F62B9B"/>
    <w:rsid w:val="00F97F85"/>
    <w:rsid w:val="00FC28D7"/>
    <w:rsid w:val="00FD4103"/>
    <w:rsid w:val="00FE2D0F"/>
    <w:rsid w:val="00FF3D02"/>
    <w:rsid w:val="00FF6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73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7387"/>
    <w:rPr>
      <w:rFonts w:asciiTheme="majorHAnsi" w:eastAsiaTheme="majorEastAsia" w:hAnsiTheme="majorHAnsi" w:cstheme="majorBidi"/>
      <w:sz w:val="18"/>
      <w:szCs w:val="18"/>
    </w:rPr>
  </w:style>
  <w:style w:type="paragraph" w:styleId="a5">
    <w:name w:val="List Paragraph"/>
    <w:basedOn w:val="a"/>
    <w:uiPriority w:val="34"/>
    <w:qFormat/>
    <w:rsid w:val="00CB7387"/>
    <w:pPr>
      <w:ind w:leftChars="400" w:left="840"/>
    </w:pPr>
  </w:style>
  <w:style w:type="table" w:styleId="a6">
    <w:name w:val="Table Grid"/>
    <w:basedOn w:val="a1"/>
    <w:uiPriority w:val="59"/>
    <w:rsid w:val="00252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uiPriority w:val="99"/>
    <w:unhideWhenUsed/>
    <w:rsid w:val="009F6E86"/>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9F6E86"/>
    <w:rPr>
      <w:rFonts w:ascii="ＭＳ ゴシック" w:eastAsia="ＭＳ ゴシック" w:hAnsi="Courier New" w:cs="Courier New"/>
      <w:sz w:val="20"/>
      <w:szCs w:val="21"/>
    </w:rPr>
  </w:style>
  <w:style w:type="paragraph" w:styleId="a9">
    <w:name w:val="header"/>
    <w:basedOn w:val="a"/>
    <w:link w:val="aa"/>
    <w:uiPriority w:val="99"/>
    <w:unhideWhenUsed/>
    <w:rsid w:val="003D1D3D"/>
    <w:pPr>
      <w:tabs>
        <w:tab w:val="center" w:pos="4252"/>
        <w:tab w:val="right" w:pos="8504"/>
      </w:tabs>
      <w:snapToGrid w:val="0"/>
    </w:pPr>
  </w:style>
  <w:style w:type="character" w:customStyle="1" w:styleId="aa">
    <w:name w:val="ヘッダー (文字)"/>
    <w:basedOn w:val="a0"/>
    <w:link w:val="a9"/>
    <w:uiPriority w:val="99"/>
    <w:rsid w:val="003D1D3D"/>
  </w:style>
  <w:style w:type="paragraph" w:styleId="ab">
    <w:name w:val="footer"/>
    <w:basedOn w:val="a"/>
    <w:link w:val="ac"/>
    <w:uiPriority w:val="99"/>
    <w:unhideWhenUsed/>
    <w:rsid w:val="003D1D3D"/>
    <w:pPr>
      <w:tabs>
        <w:tab w:val="center" w:pos="4252"/>
        <w:tab w:val="right" w:pos="8504"/>
      </w:tabs>
      <w:snapToGrid w:val="0"/>
    </w:pPr>
  </w:style>
  <w:style w:type="character" w:customStyle="1" w:styleId="ac">
    <w:name w:val="フッター (文字)"/>
    <w:basedOn w:val="a0"/>
    <w:link w:val="ab"/>
    <w:uiPriority w:val="99"/>
    <w:rsid w:val="003D1D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73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7387"/>
    <w:rPr>
      <w:rFonts w:asciiTheme="majorHAnsi" w:eastAsiaTheme="majorEastAsia" w:hAnsiTheme="majorHAnsi" w:cstheme="majorBidi"/>
      <w:sz w:val="18"/>
      <w:szCs w:val="18"/>
    </w:rPr>
  </w:style>
  <w:style w:type="paragraph" w:styleId="a5">
    <w:name w:val="List Paragraph"/>
    <w:basedOn w:val="a"/>
    <w:uiPriority w:val="34"/>
    <w:qFormat/>
    <w:rsid w:val="00CB7387"/>
    <w:pPr>
      <w:ind w:leftChars="400" w:left="840"/>
    </w:pPr>
  </w:style>
  <w:style w:type="table" w:styleId="a6">
    <w:name w:val="Table Grid"/>
    <w:basedOn w:val="a1"/>
    <w:uiPriority w:val="59"/>
    <w:rsid w:val="00252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uiPriority w:val="99"/>
    <w:unhideWhenUsed/>
    <w:rsid w:val="009F6E86"/>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9F6E86"/>
    <w:rPr>
      <w:rFonts w:ascii="ＭＳ ゴシック" w:eastAsia="ＭＳ ゴシック" w:hAnsi="Courier New" w:cs="Courier New"/>
      <w:sz w:val="20"/>
      <w:szCs w:val="21"/>
    </w:rPr>
  </w:style>
  <w:style w:type="paragraph" w:styleId="a9">
    <w:name w:val="header"/>
    <w:basedOn w:val="a"/>
    <w:link w:val="aa"/>
    <w:uiPriority w:val="99"/>
    <w:unhideWhenUsed/>
    <w:rsid w:val="003D1D3D"/>
    <w:pPr>
      <w:tabs>
        <w:tab w:val="center" w:pos="4252"/>
        <w:tab w:val="right" w:pos="8504"/>
      </w:tabs>
      <w:snapToGrid w:val="0"/>
    </w:pPr>
  </w:style>
  <w:style w:type="character" w:customStyle="1" w:styleId="aa">
    <w:name w:val="ヘッダー (文字)"/>
    <w:basedOn w:val="a0"/>
    <w:link w:val="a9"/>
    <w:uiPriority w:val="99"/>
    <w:rsid w:val="003D1D3D"/>
  </w:style>
  <w:style w:type="paragraph" w:styleId="ab">
    <w:name w:val="footer"/>
    <w:basedOn w:val="a"/>
    <w:link w:val="ac"/>
    <w:uiPriority w:val="99"/>
    <w:unhideWhenUsed/>
    <w:rsid w:val="003D1D3D"/>
    <w:pPr>
      <w:tabs>
        <w:tab w:val="center" w:pos="4252"/>
        <w:tab w:val="right" w:pos="8504"/>
      </w:tabs>
      <w:snapToGrid w:val="0"/>
    </w:pPr>
  </w:style>
  <w:style w:type="character" w:customStyle="1" w:styleId="ac">
    <w:name w:val="フッター (文字)"/>
    <w:basedOn w:val="a0"/>
    <w:link w:val="ab"/>
    <w:uiPriority w:val="99"/>
    <w:rsid w:val="003D1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0194">
      <w:bodyDiv w:val="1"/>
      <w:marLeft w:val="0"/>
      <w:marRight w:val="0"/>
      <w:marTop w:val="0"/>
      <w:marBottom w:val="0"/>
      <w:divBdr>
        <w:top w:val="none" w:sz="0" w:space="0" w:color="auto"/>
        <w:left w:val="none" w:sz="0" w:space="0" w:color="auto"/>
        <w:bottom w:val="none" w:sz="0" w:space="0" w:color="auto"/>
        <w:right w:val="none" w:sz="0" w:space="0" w:color="auto"/>
      </w:divBdr>
    </w:div>
    <w:div w:id="219177292">
      <w:bodyDiv w:val="1"/>
      <w:marLeft w:val="0"/>
      <w:marRight w:val="0"/>
      <w:marTop w:val="0"/>
      <w:marBottom w:val="0"/>
      <w:divBdr>
        <w:top w:val="none" w:sz="0" w:space="0" w:color="auto"/>
        <w:left w:val="none" w:sz="0" w:space="0" w:color="auto"/>
        <w:bottom w:val="none" w:sz="0" w:space="0" w:color="auto"/>
        <w:right w:val="none" w:sz="0" w:space="0" w:color="auto"/>
      </w:divBdr>
    </w:div>
    <w:div w:id="273447083">
      <w:bodyDiv w:val="1"/>
      <w:marLeft w:val="0"/>
      <w:marRight w:val="0"/>
      <w:marTop w:val="0"/>
      <w:marBottom w:val="0"/>
      <w:divBdr>
        <w:top w:val="none" w:sz="0" w:space="0" w:color="auto"/>
        <w:left w:val="none" w:sz="0" w:space="0" w:color="auto"/>
        <w:bottom w:val="none" w:sz="0" w:space="0" w:color="auto"/>
        <w:right w:val="none" w:sz="0" w:space="0" w:color="auto"/>
      </w:divBdr>
    </w:div>
    <w:div w:id="278686226">
      <w:bodyDiv w:val="1"/>
      <w:marLeft w:val="0"/>
      <w:marRight w:val="0"/>
      <w:marTop w:val="0"/>
      <w:marBottom w:val="0"/>
      <w:divBdr>
        <w:top w:val="none" w:sz="0" w:space="0" w:color="auto"/>
        <w:left w:val="none" w:sz="0" w:space="0" w:color="auto"/>
        <w:bottom w:val="none" w:sz="0" w:space="0" w:color="auto"/>
        <w:right w:val="none" w:sz="0" w:space="0" w:color="auto"/>
      </w:divBdr>
    </w:div>
    <w:div w:id="595409519">
      <w:bodyDiv w:val="1"/>
      <w:marLeft w:val="0"/>
      <w:marRight w:val="0"/>
      <w:marTop w:val="0"/>
      <w:marBottom w:val="0"/>
      <w:divBdr>
        <w:top w:val="none" w:sz="0" w:space="0" w:color="auto"/>
        <w:left w:val="none" w:sz="0" w:space="0" w:color="auto"/>
        <w:bottom w:val="none" w:sz="0" w:space="0" w:color="auto"/>
        <w:right w:val="none" w:sz="0" w:space="0" w:color="auto"/>
      </w:divBdr>
    </w:div>
    <w:div w:id="772893997">
      <w:bodyDiv w:val="1"/>
      <w:marLeft w:val="0"/>
      <w:marRight w:val="0"/>
      <w:marTop w:val="0"/>
      <w:marBottom w:val="0"/>
      <w:divBdr>
        <w:top w:val="none" w:sz="0" w:space="0" w:color="auto"/>
        <w:left w:val="none" w:sz="0" w:space="0" w:color="auto"/>
        <w:bottom w:val="none" w:sz="0" w:space="0" w:color="auto"/>
        <w:right w:val="none" w:sz="0" w:space="0" w:color="auto"/>
      </w:divBdr>
    </w:div>
    <w:div w:id="1155032159">
      <w:bodyDiv w:val="1"/>
      <w:marLeft w:val="0"/>
      <w:marRight w:val="0"/>
      <w:marTop w:val="0"/>
      <w:marBottom w:val="0"/>
      <w:divBdr>
        <w:top w:val="none" w:sz="0" w:space="0" w:color="auto"/>
        <w:left w:val="none" w:sz="0" w:space="0" w:color="auto"/>
        <w:bottom w:val="none" w:sz="0" w:space="0" w:color="auto"/>
        <w:right w:val="none" w:sz="0" w:space="0" w:color="auto"/>
      </w:divBdr>
    </w:div>
    <w:div w:id="1339848717">
      <w:bodyDiv w:val="1"/>
      <w:marLeft w:val="0"/>
      <w:marRight w:val="0"/>
      <w:marTop w:val="0"/>
      <w:marBottom w:val="0"/>
      <w:divBdr>
        <w:top w:val="none" w:sz="0" w:space="0" w:color="auto"/>
        <w:left w:val="none" w:sz="0" w:space="0" w:color="auto"/>
        <w:bottom w:val="none" w:sz="0" w:space="0" w:color="auto"/>
        <w:right w:val="none" w:sz="0" w:space="0" w:color="auto"/>
      </w:divBdr>
    </w:div>
    <w:div w:id="1457135654">
      <w:bodyDiv w:val="1"/>
      <w:marLeft w:val="0"/>
      <w:marRight w:val="0"/>
      <w:marTop w:val="0"/>
      <w:marBottom w:val="0"/>
      <w:divBdr>
        <w:top w:val="none" w:sz="0" w:space="0" w:color="auto"/>
        <w:left w:val="none" w:sz="0" w:space="0" w:color="auto"/>
        <w:bottom w:val="none" w:sz="0" w:space="0" w:color="auto"/>
        <w:right w:val="none" w:sz="0" w:space="0" w:color="auto"/>
      </w:divBdr>
    </w:div>
    <w:div w:id="1482966285">
      <w:bodyDiv w:val="1"/>
      <w:marLeft w:val="0"/>
      <w:marRight w:val="0"/>
      <w:marTop w:val="0"/>
      <w:marBottom w:val="0"/>
      <w:divBdr>
        <w:top w:val="none" w:sz="0" w:space="0" w:color="auto"/>
        <w:left w:val="none" w:sz="0" w:space="0" w:color="auto"/>
        <w:bottom w:val="none" w:sz="0" w:space="0" w:color="auto"/>
        <w:right w:val="none" w:sz="0" w:space="0" w:color="auto"/>
      </w:divBdr>
    </w:div>
    <w:div w:id="156271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03D10-7317-493E-AC4F-3C4A03E3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377</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晴子</dc:creator>
  <cp:lastModifiedBy>松尾　博司</cp:lastModifiedBy>
  <cp:revision>14</cp:revision>
  <cp:lastPrinted>2016-08-30T08:32:00Z</cp:lastPrinted>
  <dcterms:created xsi:type="dcterms:W3CDTF">2016-08-25T09:50:00Z</dcterms:created>
  <dcterms:modified xsi:type="dcterms:W3CDTF">2016-08-30T08:32:00Z</dcterms:modified>
</cp:coreProperties>
</file>