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821F03" w:rsidRDefault="00705DC7" w:rsidP="00821F03">
      <w:pPr>
        <w:spacing w:afterLines="50" w:after="180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bookmarkStart w:id="0" w:name="_GoBack"/>
      <w:bookmarkEnd w:id="0"/>
      <w:r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おおさかヒートアイランド対策推進計画の対策指標</w:t>
      </w:r>
      <w:r w:rsidR="00027B3C"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について</w:t>
      </w:r>
      <w:r w:rsidR="00883A09" w:rsidRPr="00821F03">
        <w:rPr>
          <w:rFonts w:ascii="ＭＳ ゴシック" w:eastAsia="ＭＳ ゴシック" w:hAnsi="ＭＳ 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E64D9" wp14:editId="520FA9FB">
                <wp:simplePos x="0" y="0"/>
                <wp:positionH relativeFrom="column">
                  <wp:posOffset>5372100</wp:posOffset>
                </wp:positionH>
                <wp:positionV relativeFrom="paragraph">
                  <wp:posOffset>-295275</wp:posOffset>
                </wp:positionV>
                <wp:extent cx="1047750" cy="2952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3A09" w:rsidRPr="0055770A" w:rsidRDefault="00883A09" w:rsidP="00883A0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参考</w:t>
                            </w:r>
                            <w:r w:rsidRPr="0055770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705DC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6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pt;margin-top:-23.25pt;width:8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" fillcolor="white [3212]" strokecolor="black [3213]" strokeweight="1pt">
                <v:textbox inset="0,0,0,0">
                  <w:txbxContent>
                    <w:p w:rsidR="00883A09" w:rsidRPr="0055770A" w:rsidRDefault="00883A09" w:rsidP="00883A0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参考</w:t>
                      </w:r>
                      <w:r w:rsidRPr="0055770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705DC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27B3C" w:rsidRPr="001949B1" w:rsidRDefault="003C6E27" w:rsidP="00027B3C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>システム計算値による熱帯夜日数の削減状況</w:t>
      </w:r>
    </w:p>
    <w:p w:rsidR="00027B3C" w:rsidRPr="001949B1" w:rsidRDefault="00027B3C" w:rsidP="001949B1">
      <w:pPr>
        <w:spacing w:line="340" w:lineRule="exact"/>
        <w:ind w:firstLineChars="100" w:firstLine="210"/>
        <w:jc w:val="left"/>
        <w:rPr>
          <w:color w:val="000000" w:themeColor="text1"/>
        </w:rPr>
      </w:pPr>
      <w:r w:rsidRPr="001949B1">
        <w:rPr>
          <w:rFonts w:hint="eastAsia"/>
          <w:color w:val="000000" w:themeColor="text1"/>
        </w:rPr>
        <w:t>熱帯夜日数は気象の影響を受けるため、府域におけるヒートアイランド対策の進捗状況（透水性・保水性舗装の普及率、市街地における緑被率等）から大気熱負荷量や気温の変化量を算出する「メッシュ熱負荷・気温予測システム」（以下「システム」</w:t>
      </w:r>
      <w:r w:rsidR="00B244C9" w:rsidRPr="001949B1">
        <w:rPr>
          <w:rFonts w:hint="eastAsia"/>
          <w:color w:val="000000" w:themeColor="text1"/>
        </w:rPr>
        <w:t>という。</w:t>
      </w:r>
      <w:r w:rsidRPr="001949B1">
        <w:rPr>
          <w:rFonts w:hint="eastAsia"/>
          <w:color w:val="000000" w:themeColor="text1"/>
        </w:rPr>
        <w:t>）を用いて対策実施</w:t>
      </w:r>
      <w:r w:rsidR="009B7B49" w:rsidRPr="001949B1">
        <w:rPr>
          <w:rFonts w:ascii="ＭＳ 明朝" w:hAnsi="ＭＳ 明朝" w:hint="eastAsia"/>
          <w:color w:val="000000" w:themeColor="text1"/>
          <w:szCs w:val="21"/>
          <w:vertAlign w:val="superscript"/>
        </w:rPr>
        <w:t>※１</w:t>
      </w:r>
      <w:r w:rsidRPr="001949B1">
        <w:rPr>
          <w:rFonts w:hint="eastAsia"/>
          <w:color w:val="000000" w:themeColor="text1"/>
        </w:rPr>
        <w:t>による気温低下量を算出</w:t>
      </w:r>
      <w:r w:rsidR="009536A2" w:rsidRPr="001949B1">
        <w:rPr>
          <w:rFonts w:hint="eastAsia"/>
          <w:color w:val="000000" w:themeColor="text1"/>
        </w:rPr>
        <w:t>（図１）</w:t>
      </w:r>
      <w:r w:rsidR="00D620B7" w:rsidRPr="001949B1">
        <w:rPr>
          <w:rFonts w:hint="eastAsia"/>
          <w:color w:val="000000" w:themeColor="text1"/>
        </w:rPr>
        <w:t>して</w:t>
      </w:r>
      <w:r w:rsidRPr="001949B1">
        <w:rPr>
          <w:rFonts w:hint="eastAsia"/>
          <w:color w:val="000000" w:themeColor="text1"/>
        </w:rPr>
        <w:t>熱帯夜日数（システム計算値による熱帯夜日数）</w:t>
      </w:r>
      <w:r w:rsidR="00F0271E" w:rsidRPr="001949B1">
        <w:rPr>
          <w:rFonts w:hint="eastAsia"/>
          <w:color w:val="000000" w:themeColor="text1"/>
        </w:rPr>
        <w:t>を推測した</w:t>
      </w:r>
      <w:r w:rsidR="00D620B7" w:rsidRPr="001949B1">
        <w:rPr>
          <w:rFonts w:hint="eastAsia"/>
          <w:color w:val="000000" w:themeColor="text1"/>
        </w:rPr>
        <w:t>。その結果を</w:t>
      </w:r>
      <w:r w:rsidR="00150ADD" w:rsidRPr="001949B1">
        <w:rPr>
          <w:rFonts w:hint="eastAsia"/>
          <w:color w:val="000000" w:themeColor="text1"/>
        </w:rPr>
        <w:t>表１に示す</w:t>
      </w:r>
      <w:r w:rsidRPr="001949B1">
        <w:rPr>
          <w:rFonts w:hint="eastAsia"/>
          <w:color w:val="000000" w:themeColor="text1"/>
        </w:rPr>
        <w:t>。</w:t>
      </w:r>
    </w:p>
    <w:p w:rsidR="00840039" w:rsidRPr="001949B1" w:rsidRDefault="00150ADD" w:rsidP="001949B1">
      <w:pPr>
        <w:snapToGrid w:val="0"/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1949B1">
        <w:rPr>
          <w:rFonts w:hint="eastAsia"/>
          <w:color w:val="000000" w:themeColor="text1"/>
        </w:rPr>
        <w:t>システム計算値による熱帯夜日数</w:t>
      </w:r>
      <w:r w:rsidR="00F0271E" w:rsidRPr="001949B1">
        <w:rPr>
          <w:rFonts w:hint="eastAsia"/>
          <w:color w:val="000000" w:themeColor="text1"/>
        </w:rPr>
        <w:t>の推測値</w:t>
      </w:r>
      <w:r w:rsidRPr="001949B1">
        <w:rPr>
          <w:rFonts w:ascii="ＭＳ 明朝" w:hAnsi="ＭＳ 明朝" w:hint="eastAsia"/>
          <w:color w:val="000000" w:themeColor="text1"/>
        </w:rPr>
        <w:t>は</w:t>
      </w:r>
      <w:r w:rsidRPr="001949B1">
        <w:rPr>
          <w:rFonts w:ascii="ＭＳ 明朝" w:hAnsi="ＭＳ 明朝"/>
          <w:color w:val="000000" w:themeColor="text1"/>
        </w:rPr>
        <w:t>2000</w:t>
      </w:r>
      <w:r w:rsidRPr="001949B1">
        <w:rPr>
          <w:rFonts w:ascii="ＭＳ 明朝" w:hAnsi="ＭＳ 明朝" w:hint="eastAsia"/>
          <w:color w:val="000000" w:themeColor="text1"/>
        </w:rPr>
        <w:t>年の</w:t>
      </w:r>
      <w:r w:rsidRPr="001949B1">
        <w:rPr>
          <w:rFonts w:ascii="ＭＳ 明朝" w:hAnsi="ＭＳ 明朝" w:hint="eastAsia"/>
          <w:color w:val="000000" w:themeColor="text1"/>
          <w:szCs w:val="21"/>
        </w:rPr>
        <w:t>37</w:t>
      </w:r>
      <w:r w:rsidR="00F0271E" w:rsidRPr="001949B1">
        <w:rPr>
          <w:rFonts w:ascii="ＭＳ 明朝" w:hAnsi="ＭＳ 明朝" w:hint="eastAsia"/>
          <w:color w:val="000000" w:themeColor="text1"/>
          <w:szCs w:val="21"/>
        </w:rPr>
        <w:t>日に対し、2017</w:t>
      </w:r>
      <w:r w:rsidRPr="001949B1">
        <w:rPr>
          <w:rFonts w:ascii="ＭＳ 明朝" w:hAnsi="ＭＳ 明朝" w:hint="eastAsia"/>
          <w:color w:val="000000" w:themeColor="text1"/>
          <w:szCs w:val="21"/>
        </w:rPr>
        <w:t>年は35日と</w:t>
      </w:r>
      <w:r w:rsidR="00F0271E" w:rsidRPr="001949B1">
        <w:rPr>
          <w:rFonts w:ascii="ＭＳ 明朝" w:hAnsi="ＭＳ 明朝" w:hint="eastAsia"/>
          <w:color w:val="000000" w:themeColor="text1"/>
          <w:szCs w:val="21"/>
        </w:rPr>
        <w:t>なり、</w:t>
      </w:r>
      <w:r w:rsidR="00D620B7" w:rsidRPr="001949B1">
        <w:rPr>
          <w:rFonts w:ascii="ＭＳ 明朝" w:hAnsi="ＭＳ 明朝" w:hint="eastAsia"/>
          <w:color w:val="000000" w:themeColor="text1"/>
          <w:szCs w:val="21"/>
        </w:rPr>
        <w:t>２日分（</w:t>
      </w:r>
      <w:r w:rsidRPr="001949B1">
        <w:rPr>
          <w:rFonts w:ascii="ＭＳ 明朝" w:hAnsi="ＭＳ 明朝" w:hint="eastAsia"/>
          <w:b/>
          <w:color w:val="000000" w:themeColor="text1"/>
          <w:szCs w:val="21"/>
          <w:u w:val="single"/>
        </w:rPr>
        <w:t>約0.5割</w:t>
      </w:r>
      <w:r w:rsidR="00D620B7" w:rsidRPr="001949B1">
        <w:rPr>
          <w:rFonts w:ascii="ＭＳ 明朝" w:hAnsi="ＭＳ 明朝" w:hint="eastAsia"/>
          <w:b/>
          <w:color w:val="000000" w:themeColor="text1"/>
          <w:szCs w:val="21"/>
        </w:rPr>
        <w:t>）</w:t>
      </w:r>
      <w:r w:rsidRPr="001949B1">
        <w:rPr>
          <w:rFonts w:ascii="ＭＳ 明朝" w:hAnsi="ＭＳ 明朝" w:hint="eastAsia"/>
          <w:color w:val="000000" w:themeColor="text1"/>
          <w:szCs w:val="21"/>
        </w:rPr>
        <w:t>減少し</w:t>
      </w:r>
      <w:r w:rsidR="00F0271E" w:rsidRPr="001949B1">
        <w:rPr>
          <w:rFonts w:ascii="ＭＳ 明朝" w:hAnsi="ＭＳ 明朝" w:hint="eastAsia"/>
          <w:color w:val="000000" w:themeColor="text1"/>
          <w:szCs w:val="21"/>
        </w:rPr>
        <w:t>た</w:t>
      </w:r>
      <w:r w:rsidRPr="001949B1">
        <w:rPr>
          <w:rFonts w:ascii="ＭＳ 明朝" w:hAnsi="ＭＳ 明朝" w:hint="eastAsia"/>
          <w:color w:val="000000" w:themeColor="text1"/>
          <w:szCs w:val="21"/>
        </w:rPr>
        <w:t>。</w:t>
      </w:r>
    </w:p>
    <w:p w:rsidR="00027B3C" w:rsidRPr="001949B1" w:rsidRDefault="009B7B49" w:rsidP="00027B3C">
      <w:pPr>
        <w:snapToGrid w:val="0"/>
        <w:spacing w:beforeLines="30" w:before="108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※１</w:t>
      </w:r>
      <w:r w:rsidR="00027B3C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27B3C" w:rsidRPr="001949B1">
        <w:rPr>
          <w:rFonts w:hint="eastAsia"/>
          <w:color w:val="000000" w:themeColor="text1"/>
          <w:sz w:val="18"/>
          <w:szCs w:val="18"/>
        </w:rPr>
        <w:t>システム計算において反映している対策指標は以下の８項目である</w:t>
      </w:r>
    </w:p>
    <w:p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:rsidR="00027B3C" w:rsidRPr="001949B1" w:rsidRDefault="00B60772" w:rsidP="00027B3C">
      <w:pPr>
        <w:spacing w:beforeLines="50" w:before="180" w:line="340" w:lineRule="exact"/>
        <w:jc w:val="center"/>
        <w:rPr>
          <w:noProof/>
          <w:color w:val="000000" w:themeColor="text1"/>
          <w:sz w:val="16"/>
          <w:szCs w:val="16"/>
        </w:rPr>
      </w:pPr>
      <w:r w:rsidRPr="001949B1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927340</wp:posOffset>
                </wp:positionH>
                <wp:positionV relativeFrom="paragraph">
                  <wp:posOffset>1723642</wp:posOffset>
                </wp:positionV>
                <wp:extent cx="4537494" cy="53483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494" cy="53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DD" w:rsidRPr="005769BD" w:rsidRDefault="00150ADD" w:rsidP="00454CB8">
                            <w:pPr>
                              <w:spacing w:line="240" w:lineRule="exact"/>
                              <w:ind w:left="450" w:hangingChars="250" w:hanging="45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※</w:t>
                            </w:r>
                            <w:r w:rsidR="00AF34DE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２ </w:t>
                            </w: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システム計算において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は、対策指標以外の工場・自動車からの排熱対策を除いた1.6割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を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削減目標としている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3pt;margin-top:135.7pt;width:357.3pt;height:4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" filled="f" stroked="f">
                <v:textbox>
                  <w:txbxContent>
                    <w:p w:rsidR="00150ADD" w:rsidRPr="005769BD" w:rsidRDefault="00150ADD" w:rsidP="00454CB8">
                      <w:pPr>
                        <w:spacing w:line="240" w:lineRule="exact"/>
                        <w:ind w:left="450" w:hangingChars="250" w:hanging="450"/>
                        <w:rPr>
                          <w:rFonts w:ascii="ＭＳ 明朝" w:hAnsi="ＭＳ 明朝"/>
                          <w:sz w:val="18"/>
                        </w:rPr>
                      </w:pP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※</w:t>
                      </w:r>
                      <w:r w:rsidR="00AF34DE" w:rsidRPr="005769BD">
                        <w:rPr>
                          <w:rFonts w:ascii="ＭＳ 明朝" w:hAnsi="ＭＳ 明朝" w:hint="eastAsia"/>
                          <w:sz w:val="18"/>
                        </w:rPr>
                        <w:t xml:space="preserve">２ </w:t>
                      </w: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システム計算において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は、対策指標以外の工場・自動車からの排熱対策を除いた1.6割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を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削減目標としている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 xml:space="preserve">表１　</w:t>
      </w:r>
      <w:r w:rsidR="00027B3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システム計算値による熱帯夜日数</w:t>
      </w:r>
    </w:p>
    <w:tbl>
      <w:tblPr>
        <w:tblStyle w:val="a9"/>
        <w:tblW w:w="7345" w:type="dxa"/>
        <w:tblInd w:w="1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0"/>
        <w:gridCol w:w="1346"/>
        <w:gridCol w:w="1346"/>
        <w:gridCol w:w="1346"/>
        <w:gridCol w:w="1347"/>
      </w:tblGrid>
      <w:tr w:rsidR="001949B1" w:rsidRPr="001949B1" w:rsidTr="002B304A">
        <w:trPr>
          <w:trHeight w:val="22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システム計算値による熱帯夜日数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B304A" w:rsidRPr="001949B1" w:rsidRDefault="002B304A" w:rsidP="002B304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2000年</w:t>
            </w:r>
          </w:p>
          <w:p w:rsidR="002B304A" w:rsidRPr="001949B1" w:rsidRDefault="002B304A" w:rsidP="002B304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（基準年）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B304A" w:rsidRPr="001949B1" w:rsidRDefault="002B304A" w:rsidP="002B304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</w:rPr>
              <w:t>2016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B304A" w:rsidRPr="001949B1" w:rsidRDefault="002B304A" w:rsidP="002B304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</w:rPr>
              <w:t>201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7年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B304A" w:rsidRPr="001949B1" w:rsidRDefault="002B304A" w:rsidP="002B304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2025年</w:t>
            </w:r>
          </w:p>
          <w:p w:rsidR="002B304A" w:rsidRPr="001949B1" w:rsidRDefault="002B304A" w:rsidP="002B304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（目標年）</w:t>
            </w:r>
          </w:p>
        </w:tc>
      </w:tr>
      <w:tr w:rsidR="001949B1" w:rsidRPr="001949B1" w:rsidTr="00072006">
        <w:trPr>
          <w:trHeight w:val="283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熱帯夜日数（日）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35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31</w:t>
            </w:r>
          </w:p>
        </w:tc>
      </w:tr>
      <w:tr w:rsidR="001949B1" w:rsidRPr="001949B1" w:rsidTr="00072006">
        <w:trPr>
          <w:trHeight w:val="283"/>
        </w:trPr>
        <w:tc>
          <w:tcPr>
            <w:tcW w:w="1960" w:type="dxa"/>
            <w:tcBorders>
              <w:left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fitText w:val="1050" w:id="2067609089"/>
              </w:rPr>
              <w:t>削減割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050" w:id="2067609089"/>
              </w:rPr>
              <w:t>合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（割）</w:t>
            </w:r>
          </w:p>
        </w:tc>
        <w:tc>
          <w:tcPr>
            <w:tcW w:w="1346" w:type="dxa"/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0.5</w:t>
            </w:r>
          </w:p>
        </w:tc>
        <w:tc>
          <w:tcPr>
            <w:tcW w:w="1346" w:type="dxa"/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0.5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1.6</w:t>
            </w:r>
            <w:r w:rsidR="00150ADD" w:rsidRPr="00D74F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vertAlign w:val="superscript"/>
              </w:rPr>
              <w:t>※</w:t>
            </w:r>
            <w:r w:rsidR="00AF34DE" w:rsidRPr="00D74F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vertAlign w:val="superscript"/>
              </w:rPr>
              <w:t>2</w:t>
            </w:r>
          </w:p>
        </w:tc>
      </w:tr>
      <w:tr w:rsidR="002B304A" w:rsidRPr="001949B1" w:rsidTr="00072006">
        <w:trPr>
          <w:trHeight w:val="283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達　成　率（％）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33.3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33.3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04A" w:rsidRPr="001949B1" w:rsidRDefault="002B304A" w:rsidP="002B304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100</w:t>
            </w:r>
          </w:p>
        </w:tc>
      </w:tr>
    </w:tbl>
    <w:p w:rsidR="00150ADD" w:rsidRPr="001949B1" w:rsidRDefault="00150ADD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E37EC5" w:rsidRPr="001949B1" w:rsidRDefault="00E37EC5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027B3C" w:rsidRPr="001949B1" w:rsidRDefault="00C33070" w:rsidP="00C33070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0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表２　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>システム計算において反映している対策指標のデータ</w:t>
      </w:r>
    </w:p>
    <w:tbl>
      <w:tblPr>
        <w:tblW w:w="10070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254"/>
        <w:gridCol w:w="1069"/>
        <w:gridCol w:w="1106"/>
        <w:gridCol w:w="1107"/>
        <w:gridCol w:w="1706"/>
      </w:tblGrid>
      <w:tr w:rsidR="001949B1" w:rsidRPr="001949B1" w:rsidTr="005D6E82">
        <w:trPr>
          <w:trHeight w:val="705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単位</w:t>
            </w:r>
          </w:p>
        </w:tc>
        <w:tc>
          <w:tcPr>
            <w:tcW w:w="106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2000年</w:t>
            </w:r>
          </w:p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（基準年）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2016年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2017年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2025年</w:t>
            </w: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（目標年）</w:t>
            </w:r>
          </w:p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の推計値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人工排熱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①省エネ活動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実施率（％）</w:t>
            </w:r>
          </w:p>
        </w:tc>
        <w:tc>
          <w:tcPr>
            <w:tcW w:w="106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17.2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34.3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28.0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86.7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建築物および</w:t>
            </w:r>
          </w:p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その敷地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②高反射塗装・瓦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普及率（％）</w:t>
            </w:r>
          </w:p>
        </w:tc>
        <w:tc>
          <w:tcPr>
            <w:tcW w:w="1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4.6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5.2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13.8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③屋上緑化</w:t>
            </w: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0.2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0.2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0.2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④壁面緑化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0.04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0.04</w:t>
            </w:r>
          </w:p>
        </w:tc>
        <w:tc>
          <w:tcPr>
            <w:tcW w:w="1706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0.04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⑤太陽光パネル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2.4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2.5</w:t>
            </w:r>
          </w:p>
        </w:tc>
        <w:tc>
          <w:tcPr>
            <w:tcW w:w="1706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5.4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地表面対策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⑥透水性・保水性舗装（道路）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1.6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1.7</w:t>
            </w:r>
          </w:p>
        </w:tc>
        <w:tc>
          <w:tcPr>
            <w:tcW w:w="1706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3.2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⑦高反射舗装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 xml:space="preserve">0.03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 xml:space="preserve">0.03 </w:t>
            </w:r>
          </w:p>
        </w:tc>
        <w:tc>
          <w:tcPr>
            <w:tcW w:w="1706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 xml:space="preserve">0.03 </w:t>
            </w:r>
          </w:p>
        </w:tc>
      </w:tr>
      <w:tr w:rsidR="001949B1" w:rsidRPr="001949B1" w:rsidTr="005D6E82"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50AA" w:rsidRPr="001949B1" w:rsidRDefault="002D50AA" w:rsidP="00A972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⑧緑化（低・高木緑化）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緑被率（％）</w:t>
            </w:r>
          </w:p>
        </w:tc>
        <w:tc>
          <w:tcPr>
            <w:tcW w:w="106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50AA" w:rsidRPr="001949B1" w:rsidRDefault="002D50AA" w:rsidP="00A97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</w:pPr>
            <w:r w:rsidRPr="001949B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0"/>
              </w:rPr>
              <w:t>20</w:t>
            </w:r>
          </w:p>
        </w:tc>
      </w:tr>
    </w:tbl>
    <w:p w:rsidR="00A33C5D" w:rsidRPr="001949B1" w:rsidRDefault="000E36CA" w:rsidP="001108F3">
      <w:pPr>
        <w:snapToGrid w:val="0"/>
        <w:spacing w:beforeLines="30" w:before="108"/>
        <w:ind w:leftChars="28" w:left="599" w:hangingChars="300" w:hanging="540"/>
        <w:jc w:val="left"/>
        <w:rPr>
          <w:rFonts w:ascii="ＭＳ 明朝" w:hAnsi="ＭＳ 明朝"/>
          <w:color w:val="000000" w:themeColor="text1"/>
          <w:sz w:val="20"/>
          <w:szCs w:val="20"/>
        </w:rPr>
        <w:sectPr w:rsidR="00A33C5D" w:rsidRPr="001949B1" w:rsidSect="00DF0E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AF34DE" w:rsidRPr="001949B1">
        <w:rPr>
          <w:rFonts w:ascii="ＭＳ 明朝" w:hAnsi="ＭＳ 明朝" w:hint="eastAsia"/>
          <w:color w:val="000000" w:themeColor="text1"/>
          <w:sz w:val="18"/>
          <w:szCs w:val="21"/>
        </w:rPr>
        <w:t>３</w:t>
      </w: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E93430" w:rsidRPr="001949B1">
        <w:rPr>
          <w:rFonts w:ascii="ＭＳ 明朝" w:hAnsi="ＭＳ 明朝" w:hint="eastAsia"/>
          <w:color w:val="000000" w:themeColor="text1"/>
          <w:sz w:val="18"/>
          <w:szCs w:val="21"/>
        </w:rPr>
        <w:t>指標は</w:t>
      </w:r>
      <w:r w:rsidR="004538A6" w:rsidRPr="001949B1">
        <w:rPr>
          <w:rFonts w:ascii="ＭＳ 明朝" w:hAnsi="ＭＳ 明朝" w:hint="eastAsia"/>
          <w:color w:val="000000" w:themeColor="text1"/>
          <w:sz w:val="18"/>
          <w:szCs w:val="21"/>
        </w:rPr>
        <w:t>次</w:t>
      </w: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の</w:t>
      </w:r>
      <w:r w:rsidR="00CF7887" w:rsidRPr="001949B1">
        <w:rPr>
          <w:rFonts w:ascii="ＭＳ 明朝" w:hAnsi="ＭＳ 明朝" w:hint="eastAsia"/>
          <w:color w:val="000000" w:themeColor="text1"/>
          <w:sz w:val="18"/>
          <w:szCs w:val="21"/>
        </w:rPr>
        <w:t>資料</w:t>
      </w:r>
      <w:r w:rsidR="00F6557B" w:rsidRPr="001949B1">
        <w:rPr>
          <w:rFonts w:ascii="ＭＳ 明朝" w:hAnsi="ＭＳ 明朝" w:hint="eastAsia"/>
          <w:color w:val="000000" w:themeColor="text1"/>
          <w:sz w:val="18"/>
          <w:szCs w:val="21"/>
        </w:rPr>
        <w:t>より推計</w:t>
      </w:r>
      <w:r w:rsidR="002D3BF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Pr="001949B1">
        <w:rPr>
          <w:rFonts w:hint="eastAsia"/>
          <w:color w:val="000000" w:themeColor="text1"/>
          <w:sz w:val="18"/>
          <w:szCs w:val="21"/>
        </w:rPr>
        <w:t>①</w:t>
      </w:r>
      <w:r w:rsidR="00164FC0" w:rsidRPr="001949B1">
        <w:rPr>
          <w:rFonts w:hint="eastAsia"/>
          <w:color w:val="000000" w:themeColor="text1"/>
          <w:sz w:val="18"/>
          <w:szCs w:val="21"/>
        </w:rPr>
        <w:t>Q</w:t>
      </w:r>
      <w:r w:rsidR="00164FC0" w:rsidRPr="001949B1">
        <w:rPr>
          <w:rFonts w:hint="eastAsia"/>
          <w:color w:val="000000" w:themeColor="text1"/>
          <w:sz w:val="18"/>
          <w:szCs w:val="21"/>
        </w:rPr>
        <w:t>ネットアンケート</w:t>
      </w:r>
      <w:r w:rsidRPr="001949B1">
        <w:rPr>
          <w:rFonts w:hint="eastAsia"/>
          <w:color w:val="000000" w:themeColor="text1"/>
          <w:sz w:val="18"/>
          <w:szCs w:val="21"/>
        </w:rPr>
        <w:t>、②</w:t>
      </w:r>
      <w:r w:rsidR="004538A6" w:rsidRPr="001949B1">
        <w:rPr>
          <w:rFonts w:hint="eastAsia"/>
          <w:color w:val="000000" w:themeColor="text1"/>
          <w:sz w:val="18"/>
          <w:szCs w:val="21"/>
        </w:rPr>
        <w:t>高日射反射率塗料の出荷量推移（日本塗料工業会）</w:t>
      </w:r>
      <w:r w:rsidRPr="001949B1">
        <w:rPr>
          <w:rFonts w:hint="eastAsia"/>
          <w:color w:val="000000" w:themeColor="text1"/>
          <w:sz w:val="18"/>
          <w:szCs w:val="21"/>
        </w:rPr>
        <w:t>、③</w:t>
      </w:r>
      <w:r w:rsidR="00E84FFB" w:rsidRPr="001949B1">
        <w:rPr>
          <w:rFonts w:hint="eastAsia"/>
          <w:color w:val="000000" w:themeColor="text1"/>
          <w:sz w:val="18"/>
          <w:szCs w:val="21"/>
        </w:rPr>
        <w:t>④</w:t>
      </w:r>
      <w:r w:rsidR="004538A6" w:rsidRPr="001949B1">
        <w:rPr>
          <w:rFonts w:hint="eastAsia"/>
          <w:color w:val="000000" w:themeColor="text1"/>
          <w:sz w:val="18"/>
          <w:szCs w:val="21"/>
        </w:rPr>
        <w:t>全国屋上・壁面緑化施工実績調査（国土交通省）</w:t>
      </w:r>
      <w:r w:rsidRPr="001949B1">
        <w:rPr>
          <w:rFonts w:hint="eastAsia"/>
          <w:color w:val="000000" w:themeColor="text1"/>
          <w:sz w:val="18"/>
          <w:szCs w:val="21"/>
        </w:rPr>
        <w:t>、⑤</w:t>
      </w:r>
      <w:r w:rsidR="00416ADC" w:rsidRPr="001949B1">
        <w:rPr>
          <w:rFonts w:hint="eastAsia"/>
          <w:color w:val="000000" w:themeColor="text1"/>
          <w:sz w:val="18"/>
          <w:szCs w:val="21"/>
        </w:rPr>
        <w:t>府</w:t>
      </w:r>
      <w:r w:rsidR="00416ADC" w:rsidRPr="001949B1">
        <w:rPr>
          <w:rFonts w:hint="eastAsia"/>
          <w:color w:val="000000" w:themeColor="text1"/>
          <w:sz w:val="18"/>
          <w:szCs w:val="21"/>
        </w:rPr>
        <w:t>HP</w:t>
      </w:r>
      <w:r w:rsidRPr="001949B1">
        <w:rPr>
          <w:rFonts w:hint="eastAsia"/>
          <w:color w:val="000000" w:themeColor="text1"/>
          <w:sz w:val="18"/>
          <w:szCs w:val="21"/>
        </w:rPr>
        <w:t>、⑥</w:t>
      </w:r>
      <w:r w:rsidR="00AF0DC1" w:rsidRPr="001949B1">
        <w:rPr>
          <w:rFonts w:hint="eastAsia"/>
          <w:color w:val="000000" w:themeColor="text1"/>
          <w:sz w:val="18"/>
          <w:szCs w:val="21"/>
        </w:rPr>
        <w:t>透水性・</w:t>
      </w:r>
      <w:r w:rsidR="00A155A4" w:rsidRPr="001949B1">
        <w:rPr>
          <w:rFonts w:hint="eastAsia"/>
          <w:color w:val="000000" w:themeColor="text1"/>
          <w:sz w:val="18"/>
          <w:szCs w:val="21"/>
        </w:rPr>
        <w:t>保水性舗装施工実績（府内</w:t>
      </w:r>
      <w:r w:rsidR="00EB6206" w:rsidRPr="001949B1">
        <w:rPr>
          <w:rFonts w:hint="eastAsia"/>
          <w:color w:val="000000" w:themeColor="text1"/>
          <w:sz w:val="18"/>
          <w:szCs w:val="21"/>
        </w:rPr>
        <w:t>市町村</w:t>
      </w:r>
      <w:r w:rsidR="00E84FFB" w:rsidRPr="001949B1">
        <w:rPr>
          <w:rFonts w:hint="eastAsia"/>
          <w:color w:val="000000" w:themeColor="text1"/>
          <w:sz w:val="18"/>
          <w:szCs w:val="21"/>
        </w:rPr>
        <w:t>）</w:t>
      </w:r>
      <w:r w:rsidRPr="001949B1">
        <w:rPr>
          <w:rFonts w:hint="eastAsia"/>
          <w:color w:val="000000" w:themeColor="text1"/>
          <w:sz w:val="18"/>
          <w:szCs w:val="21"/>
        </w:rPr>
        <w:t>、⑦</w:t>
      </w:r>
      <w:r w:rsidR="001108F3" w:rsidRPr="001949B1">
        <w:rPr>
          <w:rFonts w:hint="eastAsia"/>
          <w:color w:val="000000" w:themeColor="text1"/>
          <w:sz w:val="18"/>
          <w:szCs w:val="21"/>
        </w:rPr>
        <w:t>遮熱性舗装施工実績（路面温度上昇抑制舗装研究会）</w:t>
      </w:r>
      <w:r w:rsidRPr="001949B1">
        <w:rPr>
          <w:rFonts w:hint="eastAsia"/>
          <w:color w:val="000000" w:themeColor="text1"/>
          <w:sz w:val="18"/>
          <w:szCs w:val="21"/>
        </w:rPr>
        <w:t>⑧</w:t>
      </w:r>
      <w:r w:rsidR="005E5B7B" w:rsidRPr="001949B1">
        <w:rPr>
          <w:rFonts w:hint="eastAsia"/>
          <w:color w:val="000000" w:themeColor="text1"/>
          <w:sz w:val="18"/>
          <w:szCs w:val="21"/>
        </w:rPr>
        <w:t>府</w:t>
      </w:r>
      <w:r w:rsidR="001108F3" w:rsidRPr="001949B1">
        <w:rPr>
          <w:rFonts w:hint="eastAsia"/>
          <w:color w:val="000000" w:themeColor="text1"/>
          <w:sz w:val="18"/>
          <w:szCs w:val="21"/>
        </w:rPr>
        <w:t>環境白書</w:t>
      </w:r>
    </w:p>
    <w:p w:rsidR="008D2DF2" w:rsidRPr="001949B1" w:rsidRDefault="003C6E27" w:rsidP="0009053C">
      <w:pPr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1949B1">
        <w:rPr>
          <w:rFonts w:ascii="ＭＳ ゴシック" w:eastAsia="ＭＳ ゴシック" w:hAnsi="ＭＳ ゴシック"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36864</wp:posOffset>
            </wp:positionV>
            <wp:extent cx="4833553" cy="3101540"/>
            <wp:effectExtent l="0" t="0" r="5715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53" cy="31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F2" w:rsidRPr="001949B1" w:rsidRDefault="008D2DF2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33C5D" w:rsidRPr="001949B1" w:rsidRDefault="00A33C5D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D2DF2" w:rsidRPr="001949B1" w:rsidRDefault="008D2DF2" w:rsidP="008D2DF2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1"/>
        </w:rPr>
        <w:t>図１　メッシュ熱負荷・気温予測システムのイメージ</w:t>
      </w:r>
    </w:p>
    <w:p w:rsidR="00027B3C" w:rsidRPr="001949B1" w:rsidRDefault="008D2DF2" w:rsidP="00A33C5D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1"/>
        </w:rPr>
        <w:t>（おおさか</w:t>
      </w:r>
      <w:r w:rsidR="001B018D" w:rsidRPr="001949B1">
        <w:rPr>
          <w:rFonts w:ascii="ＭＳ ゴシック" w:eastAsia="ＭＳ ゴシック" w:hAnsi="ＭＳ ゴシック" w:hint="eastAsia"/>
          <w:color w:val="000000" w:themeColor="text1"/>
          <w:szCs w:val="21"/>
        </w:rPr>
        <w:t>ヒートアイランド対策推進計画より引用</w:t>
      </w:r>
      <w:r w:rsidRPr="001949B1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:rsidR="003C6E27" w:rsidRPr="001949B1" w:rsidRDefault="003C6E27" w:rsidP="003C6E27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</w:p>
    <w:p w:rsidR="003C6E27" w:rsidRPr="001949B1" w:rsidRDefault="003C6E27" w:rsidP="009E1037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</w:rPr>
        <w:t>２．気象台データによる大阪府の</w:t>
      </w:r>
      <w:r w:rsidR="008342F4" w:rsidRPr="001949B1">
        <w:rPr>
          <w:rFonts w:ascii="ＭＳ ゴシック" w:eastAsia="ＭＳ ゴシック" w:hAnsi="ＭＳ ゴシック" w:hint="eastAsia"/>
          <w:color w:val="000000" w:themeColor="text1"/>
        </w:rPr>
        <w:t>現状</w:t>
      </w:r>
    </w:p>
    <w:p w:rsidR="0015720B" w:rsidRPr="001949B1" w:rsidRDefault="00E77984" w:rsidP="001949B1">
      <w:pPr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1949B1">
        <w:rPr>
          <w:rFonts w:ascii="ＭＳ 明朝" w:hAnsi="ＭＳ 明朝"/>
          <w:color w:val="000000" w:themeColor="text1"/>
        </w:rPr>
        <w:t>2018</w:t>
      </w:r>
      <w:r w:rsidRPr="001949B1">
        <w:rPr>
          <w:rFonts w:ascii="ＭＳ 明朝" w:hAnsi="ＭＳ 明朝" w:hint="eastAsia"/>
          <w:color w:val="000000" w:themeColor="text1"/>
        </w:rPr>
        <w:t>年の熱帯夜日数は</w:t>
      </w:r>
      <w:r w:rsidR="0015720B" w:rsidRPr="001949B1">
        <w:rPr>
          <w:rFonts w:ascii="ＭＳ 明朝" w:hAnsi="ＭＳ 明朝" w:hint="eastAsia"/>
          <w:color w:val="000000" w:themeColor="text1"/>
        </w:rPr>
        <w:t>３地点</w:t>
      </w:r>
      <w:r w:rsidR="00590A48" w:rsidRPr="001949B1">
        <w:rPr>
          <w:rFonts w:ascii="ＭＳ 明朝" w:hAnsi="ＭＳ 明朝" w:hint="eastAsia"/>
          <w:color w:val="000000" w:themeColor="text1"/>
        </w:rPr>
        <w:t>（大阪、</w:t>
      </w:r>
      <w:r w:rsidR="0015720B" w:rsidRPr="001949B1">
        <w:rPr>
          <w:rFonts w:ascii="ＭＳ 明朝" w:hAnsi="ＭＳ 明朝" w:hint="eastAsia"/>
          <w:color w:val="000000" w:themeColor="text1"/>
        </w:rPr>
        <w:t>豊中、枚方</w:t>
      </w:r>
      <w:r w:rsidR="00590A48" w:rsidRPr="001949B1">
        <w:rPr>
          <w:rFonts w:ascii="ＭＳ 明朝" w:hAnsi="ＭＳ 明朝" w:hint="eastAsia"/>
          <w:color w:val="000000" w:themeColor="text1"/>
        </w:rPr>
        <w:t>）</w:t>
      </w:r>
      <w:r w:rsidRPr="001949B1">
        <w:rPr>
          <w:rFonts w:ascii="ＭＳ 明朝" w:hAnsi="ＭＳ 明朝" w:hint="eastAsia"/>
          <w:color w:val="000000" w:themeColor="text1"/>
        </w:rPr>
        <w:t>の平均で</w:t>
      </w:r>
      <w:r w:rsidR="0015720B" w:rsidRPr="001949B1">
        <w:rPr>
          <w:rFonts w:ascii="ＭＳ 明朝" w:hAnsi="ＭＳ 明朝" w:hint="eastAsia"/>
          <w:color w:val="000000" w:themeColor="text1"/>
        </w:rPr>
        <w:t>44.3日であった。</w:t>
      </w:r>
      <w:r w:rsidR="009E1037" w:rsidRPr="001949B1">
        <w:rPr>
          <w:rFonts w:ascii="ＭＳ 明朝" w:hAnsi="ＭＳ 明朝" w:hint="eastAsia"/>
          <w:color w:val="000000" w:themeColor="text1"/>
        </w:rPr>
        <w:t>ヒートアイランド対策の進捗について確認するため、</w:t>
      </w:r>
      <w:r w:rsidR="005922E9" w:rsidRPr="001949B1">
        <w:rPr>
          <w:rFonts w:ascii="ＭＳ 明朝" w:hAnsi="ＭＳ 明朝" w:hint="eastAsia"/>
          <w:color w:val="000000" w:themeColor="text1"/>
        </w:rPr>
        <w:t>2000年</w:t>
      </w:r>
      <w:r w:rsidRPr="001949B1">
        <w:rPr>
          <w:rFonts w:ascii="ＭＳ 明朝" w:hAnsi="ＭＳ 明朝" w:hint="eastAsia"/>
          <w:color w:val="000000" w:themeColor="text1"/>
        </w:rPr>
        <w:t>以降で、</w:t>
      </w:r>
      <w:r w:rsidR="009E1037" w:rsidRPr="001949B1">
        <w:rPr>
          <w:rFonts w:ascii="ＭＳ 明朝" w:hAnsi="ＭＳ 明朝" w:hint="eastAsia"/>
          <w:color w:val="000000" w:themeColor="text1"/>
        </w:rPr>
        <w:t>一番近い</w:t>
      </w:r>
      <w:r w:rsidR="00453101" w:rsidRPr="001949B1">
        <w:rPr>
          <w:rFonts w:ascii="ＭＳ 明朝" w:hAnsi="ＭＳ 明朝" w:hint="eastAsia"/>
          <w:color w:val="000000" w:themeColor="text1"/>
        </w:rPr>
        <w:t>熱帯夜日数であった</w:t>
      </w:r>
      <w:r w:rsidRPr="001949B1">
        <w:rPr>
          <w:rFonts w:ascii="ＭＳ 明朝" w:hAnsi="ＭＳ 明朝" w:hint="eastAsia"/>
          <w:color w:val="000000" w:themeColor="text1"/>
        </w:rPr>
        <w:t>2002年</w:t>
      </w:r>
      <w:r w:rsidR="009E1037" w:rsidRPr="001949B1">
        <w:rPr>
          <w:rFonts w:ascii="ＭＳ 明朝" w:hAnsi="ＭＳ 明朝" w:hint="eastAsia"/>
          <w:color w:val="000000" w:themeColor="text1"/>
        </w:rPr>
        <w:t>（</w:t>
      </w:r>
      <w:r w:rsidRPr="001949B1">
        <w:rPr>
          <w:rFonts w:ascii="ＭＳ 明朝" w:hAnsi="ＭＳ 明朝" w:hint="eastAsia"/>
          <w:color w:val="000000" w:themeColor="text1"/>
        </w:rPr>
        <w:t>３地点平均熱帯夜日数は44.7</w:t>
      </w:r>
      <w:r w:rsidR="009E1037" w:rsidRPr="001949B1">
        <w:rPr>
          <w:rFonts w:ascii="ＭＳ 明朝" w:hAnsi="ＭＳ 明朝" w:hint="eastAsia"/>
          <w:color w:val="000000" w:themeColor="text1"/>
        </w:rPr>
        <w:t>日）と比較するため、</w:t>
      </w:r>
      <w:r w:rsidR="00453101" w:rsidRPr="001949B1">
        <w:rPr>
          <w:rFonts w:ascii="ＭＳ 明朝" w:hAnsi="ＭＳ 明朝" w:hint="eastAsia"/>
          <w:color w:val="000000" w:themeColor="text1"/>
        </w:rPr>
        <w:t>気温等</w:t>
      </w:r>
      <w:r w:rsidR="009E1037" w:rsidRPr="001949B1">
        <w:rPr>
          <w:rFonts w:ascii="ＭＳ 明朝" w:hAnsi="ＭＳ 明朝" w:hint="eastAsia"/>
          <w:color w:val="000000" w:themeColor="text1"/>
        </w:rPr>
        <w:t>データの整理を行った。</w:t>
      </w:r>
    </w:p>
    <w:p w:rsidR="00610D96" w:rsidRPr="001949B1" w:rsidRDefault="007058E7" w:rsidP="001949B1">
      <w:pPr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1949B1">
        <w:rPr>
          <w:rFonts w:ascii="ＭＳ 明朝" w:hAnsi="ＭＳ 明朝" w:hint="eastAsia"/>
          <w:color w:val="000000" w:themeColor="text1"/>
        </w:rPr>
        <w:t>大阪府内に</w:t>
      </w:r>
      <w:r w:rsidR="00E534CD" w:rsidRPr="001949B1">
        <w:rPr>
          <w:rFonts w:ascii="ＭＳ 明朝" w:hAnsi="ＭＳ 明朝" w:hint="eastAsia"/>
          <w:color w:val="000000" w:themeColor="text1"/>
        </w:rPr>
        <w:t>位置</w:t>
      </w:r>
      <w:r w:rsidRPr="001949B1">
        <w:rPr>
          <w:rFonts w:ascii="ＭＳ 明朝" w:hAnsi="ＭＳ 明朝" w:hint="eastAsia"/>
          <w:color w:val="000000" w:themeColor="text1"/>
        </w:rPr>
        <w:t>する</w:t>
      </w:r>
      <w:r w:rsidRPr="001949B1">
        <w:rPr>
          <w:rFonts w:ascii="ＭＳ 明朝" w:hAnsi="ＭＳ 明朝"/>
          <w:color w:val="000000" w:themeColor="text1"/>
        </w:rPr>
        <w:t>アメダス観測所</w:t>
      </w:r>
      <w:r w:rsidR="00E534CD" w:rsidRPr="001949B1">
        <w:rPr>
          <w:rFonts w:ascii="ＭＳ 明朝" w:hAnsi="ＭＳ 明朝" w:hint="eastAsia"/>
          <w:color w:val="000000" w:themeColor="text1"/>
        </w:rPr>
        <w:t>の内、2002年と2018年の</w:t>
      </w:r>
      <w:r w:rsidRPr="001949B1">
        <w:rPr>
          <w:rFonts w:ascii="ＭＳ 明朝" w:hAnsi="ＭＳ 明朝" w:hint="eastAsia"/>
          <w:color w:val="000000" w:themeColor="text1"/>
        </w:rPr>
        <w:t>気温</w:t>
      </w:r>
      <w:r w:rsidR="00E534CD" w:rsidRPr="001949B1">
        <w:rPr>
          <w:rFonts w:ascii="ＭＳ 明朝" w:hAnsi="ＭＳ 明朝" w:hint="eastAsia"/>
          <w:color w:val="000000" w:themeColor="text1"/>
        </w:rPr>
        <w:t>データが</w:t>
      </w:r>
      <w:r w:rsidR="00177E9E" w:rsidRPr="001949B1">
        <w:rPr>
          <w:rFonts w:ascii="ＭＳ 明朝" w:hAnsi="ＭＳ 明朝" w:hint="eastAsia"/>
          <w:color w:val="000000" w:themeColor="text1"/>
        </w:rPr>
        <w:t>比較できる６</w:t>
      </w:r>
      <w:r w:rsidR="00E534CD" w:rsidRPr="001949B1">
        <w:rPr>
          <w:rFonts w:ascii="ＭＳ 明朝" w:hAnsi="ＭＳ 明朝" w:hint="eastAsia"/>
          <w:color w:val="000000" w:themeColor="text1"/>
        </w:rPr>
        <w:t>地点</w:t>
      </w:r>
      <w:r w:rsidR="00177E9E" w:rsidRPr="001949B1">
        <w:rPr>
          <w:rFonts w:ascii="ＭＳ 明朝" w:hAnsi="ＭＳ 明朝" w:hint="eastAsia"/>
          <w:color w:val="000000" w:themeColor="text1"/>
        </w:rPr>
        <w:t>（大阪、豊中、枚方、能勢、生駒山、</w:t>
      </w:r>
      <w:r w:rsidR="00177A8C" w:rsidRPr="001949B1">
        <w:rPr>
          <w:rFonts w:ascii="ＭＳ 明朝" w:hAnsi="ＭＳ 明朝" w:hint="eastAsia"/>
          <w:color w:val="000000" w:themeColor="text1"/>
        </w:rPr>
        <w:t>熊取）</w:t>
      </w:r>
      <w:r w:rsidR="00651201" w:rsidRPr="001949B1">
        <w:rPr>
          <w:rFonts w:ascii="ＭＳ 明朝" w:hAnsi="ＭＳ 明朝" w:hint="eastAsia"/>
          <w:color w:val="000000" w:themeColor="text1"/>
        </w:rPr>
        <w:t>の７～９月の</w:t>
      </w:r>
      <w:r w:rsidR="009E1037" w:rsidRPr="001949B1">
        <w:rPr>
          <w:rFonts w:ascii="ＭＳ 明朝" w:hAnsi="ＭＳ 明朝" w:hint="eastAsia"/>
          <w:color w:val="000000" w:themeColor="text1"/>
        </w:rPr>
        <w:t>最高気温、最低気温についてデータの整理を行った</w:t>
      </w:r>
      <w:r w:rsidR="00E534CD" w:rsidRPr="001949B1">
        <w:rPr>
          <w:rFonts w:ascii="ＭＳ 明朝" w:hAnsi="ＭＳ 明朝" w:hint="eastAsia"/>
          <w:color w:val="000000" w:themeColor="text1"/>
        </w:rPr>
        <w:t>（図２、３）。</w:t>
      </w:r>
      <w:r w:rsidR="00177E9E" w:rsidRPr="001949B1">
        <w:rPr>
          <w:rFonts w:ascii="ＭＳ 明朝" w:hAnsi="ＭＳ 明朝" w:hint="eastAsia"/>
          <w:color w:val="000000" w:themeColor="text1"/>
          <w:sz w:val="18"/>
        </w:rPr>
        <w:t>※堺は2008年に観測所が移転していたため含めなかった。</w:t>
      </w:r>
    </w:p>
    <w:p w:rsidR="00895536" w:rsidRPr="001949B1" w:rsidRDefault="00E60A9E" w:rsidP="00610D96">
      <w:pPr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1949B1">
        <w:rPr>
          <w:rFonts w:ascii="ＭＳ 明朝" w:hAnsi="ＭＳ 明朝" w:hint="eastAsia"/>
          <w:color w:val="000000" w:themeColor="text1"/>
        </w:rPr>
        <w:t>参考に、</w:t>
      </w:r>
      <w:r w:rsidR="005B6253" w:rsidRPr="001949B1">
        <w:rPr>
          <w:rFonts w:ascii="ＭＳ 明朝" w:hAnsi="ＭＳ 明朝" w:hint="eastAsia"/>
          <w:color w:val="000000" w:themeColor="text1"/>
        </w:rPr>
        <w:t>同</w:t>
      </w:r>
      <w:r w:rsidR="00787D0D" w:rsidRPr="001949B1">
        <w:rPr>
          <w:rFonts w:ascii="ＭＳ 明朝" w:hAnsi="ＭＳ 明朝" w:hint="eastAsia"/>
          <w:color w:val="000000" w:themeColor="text1"/>
        </w:rPr>
        <w:t>６</w:t>
      </w:r>
      <w:r w:rsidR="00E64904" w:rsidRPr="001949B1">
        <w:rPr>
          <w:rFonts w:ascii="ＭＳ 明朝" w:hAnsi="ＭＳ 明朝" w:hint="eastAsia"/>
          <w:color w:val="000000" w:themeColor="text1"/>
        </w:rPr>
        <w:t>地点における７～９月の平均気温、年間の熱帯夜日数を</w:t>
      </w:r>
      <w:r w:rsidRPr="001949B1">
        <w:rPr>
          <w:rFonts w:ascii="ＭＳ 明朝" w:hAnsi="ＭＳ 明朝" w:hint="eastAsia"/>
          <w:color w:val="000000" w:themeColor="text1"/>
        </w:rPr>
        <w:t>示した</w:t>
      </w:r>
      <w:r w:rsidR="00E64904" w:rsidRPr="001949B1">
        <w:rPr>
          <w:rFonts w:ascii="ＭＳ 明朝" w:hAnsi="ＭＳ 明朝" w:hint="eastAsia"/>
          <w:color w:val="000000" w:themeColor="text1"/>
        </w:rPr>
        <w:t>（</w:t>
      </w:r>
      <w:r w:rsidR="00610D96" w:rsidRPr="001949B1">
        <w:rPr>
          <w:rFonts w:ascii="ＭＳ 明朝" w:hAnsi="ＭＳ 明朝" w:hint="eastAsia"/>
          <w:color w:val="000000" w:themeColor="text1"/>
        </w:rPr>
        <w:t>参考</w:t>
      </w:r>
      <w:r w:rsidR="00E64904" w:rsidRPr="001949B1">
        <w:rPr>
          <w:rFonts w:ascii="ＭＳ 明朝" w:hAnsi="ＭＳ 明朝" w:hint="eastAsia"/>
          <w:color w:val="000000" w:themeColor="text1"/>
        </w:rPr>
        <w:t>図４、５）</w:t>
      </w:r>
      <w:r w:rsidR="00610D96" w:rsidRPr="001949B1">
        <w:rPr>
          <w:rFonts w:ascii="ＭＳ 明朝" w:hAnsi="ＭＳ 明朝" w:hint="eastAsia"/>
          <w:color w:val="000000" w:themeColor="text1"/>
        </w:rPr>
        <w:t>。</w:t>
      </w:r>
    </w:p>
    <w:p w:rsidR="0049062E" w:rsidRPr="001949B1" w:rsidRDefault="0049062E" w:rsidP="0049062E">
      <w:pPr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:rsidR="003C6E27" w:rsidRPr="001949B1" w:rsidRDefault="00C9380F" w:rsidP="003C6E27">
      <w:pPr>
        <w:widowControl/>
        <w:rPr>
          <w:noProof/>
          <w:color w:val="000000" w:themeColor="text1"/>
        </w:rPr>
      </w:pPr>
      <w:r w:rsidRPr="001949B1">
        <w:rPr>
          <w:noProof/>
          <w:color w:val="000000" w:themeColor="text1"/>
        </w:rPr>
        <w:drawing>
          <wp:inline distT="0" distB="0" distL="0" distR="0" wp14:anchorId="4EB05B99">
            <wp:extent cx="3024000" cy="216616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B1">
        <w:rPr>
          <w:noProof/>
          <w:color w:val="000000" w:themeColor="text1"/>
        </w:rPr>
        <w:drawing>
          <wp:inline distT="0" distB="0" distL="0" distR="0" wp14:anchorId="631E764B">
            <wp:extent cx="3024000" cy="2167509"/>
            <wp:effectExtent l="0" t="0" r="508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11" w:rsidRPr="001949B1" w:rsidRDefault="00651201" w:rsidP="00651201">
      <w:pPr>
        <w:widowControl/>
        <w:rPr>
          <w:noProof/>
          <w:color w:val="000000" w:themeColor="text1"/>
        </w:rPr>
      </w:pP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図２ 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各測定地点７～９月の</w:t>
      </w: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日</w:t>
      </w:r>
      <w:r w:rsidR="003E21BB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最高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気温</w:t>
      </w: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の平均値　　　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図３</w:t>
      </w: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 </w:t>
      </w:r>
      <w:r w:rsidR="003E21BB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各測定地点７～９月の</w:t>
      </w: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日</w:t>
      </w:r>
      <w:r w:rsidR="003E21BB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最低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気温</w:t>
      </w: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の平均値</w:t>
      </w:r>
      <w:r w:rsidR="008B3390" w:rsidRPr="001949B1">
        <w:rPr>
          <w:noProof/>
          <w:color w:val="000000" w:themeColor="text1"/>
        </w:rPr>
        <w:t xml:space="preserve"> </w:t>
      </w:r>
    </w:p>
    <w:p w:rsidR="00507F69" w:rsidRPr="001949B1" w:rsidRDefault="00C9380F" w:rsidP="00507F69">
      <w:pPr>
        <w:widowControl/>
        <w:rPr>
          <w:rFonts w:ascii="ＭＳ ゴシック" w:eastAsia="ＭＳ ゴシック" w:hAnsi="ＭＳ ゴシック"/>
          <w:noProof/>
          <w:color w:val="000000" w:themeColor="text1"/>
        </w:rPr>
      </w:pPr>
      <w:r w:rsidRPr="001949B1">
        <w:rPr>
          <w:rFonts w:ascii="ＭＳ ゴシック" w:eastAsia="ＭＳ ゴシック" w:hAnsi="ＭＳ ゴシック"/>
          <w:noProof/>
          <w:color w:val="000000" w:themeColor="text1"/>
        </w:rPr>
        <w:lastRenderedPageBreak/>
        <w:drawing>
          <wp:inline distT="0" distB="0" distL="0" distR="0" wp14:anchorId="567B9893">
            <wp:extent cx="3024000" cy="2166165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B1">
        <w:rPr>
          <w:rFonts w:ascii="ＭＳ ゴシック" w:eastAsia="ＭＳ ゴシック" w:hAnsi="ＭＳ ゴシック"/>
          <w:noProof/>
          <w:color w:val="000000" w:themeColor="text1"/>
        </w:rPr>
        <w:drawing>
          <wp:inline distT="0" distB="0" distL="0" distR="0" wp14:anchorId="2DC8B2E2">
            <wp:extent cx="3024000" cy="2153743"/>
            <wp:effectExtent l="0" t="0" r="508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1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2C" w:rsidRPr="001949B1" w:rsidRDefault="00A85397" w:rsidP="00651201">
      <w:pPr>
        <w:widowControl/>
        <w:rPr>
          <w:rFonts w:ascii="ＭＳ ゴシック" w:eastAsia="ＭＳ ゴシック" w:hAnsi="ＭＳ ゴシック"/>
          <w:noProof/>
          <w:color w:val="000000" w:themeColor="text1"/>
        </w:rPr>
      </w:pPr>
      <w:r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（参考）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図４</w:t>
      </w:r>
      <w:r w:rsidR="00C9380F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 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各測定地点７～９月の</w:t>
      </w:r>
      <w:r w:rsidR="00651201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日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平均気温</w:t>
      </w:r>
      <w:r w:rsidR="00C9380F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の平均値</w:t>
      </w:r>
      <w:r w:rsidR="00651201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　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（参考）図</w:t>
      </w:r>
      <w:r w:rsidR="0047650E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５</w:t>
      </w:r>
      <w:r w:rsidR="00651201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 xml:space="preserve"> 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各測定地点の</w:t>
      </w:r>
      <w:r w:rsidR="00651201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年間</w:t>
      </w:r>
      <w:r w:rsidR="00AC642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熱帯夜日数</w:t>
      </w:r>
    </w:p>
    <w:p w:rsidR="00AC642C" w:rsidRPr="001949B1" w:rsidRDefault="00AC642C" w:rsidP="003C6E27">
      <w:pPr>
        <w:widowControl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AC642C" w:rsidRPr="001949B1" w:rsidSect="003C6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75" w:rsidRDefault="00DF0E75" w:rsidP="00DF0E75">
      <w:r>
        <w:separator/>
      </w:r>
    </w:p>
  </w:endnote>
  <w:endnote w:type="continuationSeparator" w:id="0">
    <w:p w:rsidR="00DF0E75" w:rsidRDefault="00DF0E75" w:rsidP="00D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7F" w:rsidRDefault="009776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26410"/>
      <w:docPartObj>
        <w:docPartGallery w:val="Page Numbers (Bottom of Page)"/>
        <w:docPartUnique/>
      </w:docPartObj>
    </w:sdtPr>
    <w:sdtEndPr>
      <w:rPr>
        <w:b/>
      </w:rPr>
    </w:sdtEndPr>
    <w:sdtContent>
      <w:p w:rsidR="00CB1841" w:rsidRPr="0097767F" w:rsidRDefault="00CB1841">
        <w:pPr>
          <w:pStyle w:val="a5"/>
          <w:jc w:val="center"/>
          <w:rPr>
            <w:b/>
          </w:rPr>
        </w:pPr>
        <w:r w:rsidRPr="0097767F">
          <w:rPr>
            <w:rFonts w:ascii="ＭＳ ゴシック" w:eastAsia="ＭＳ ゴシック" w:hAnsi="ＭＳ ゴシック"/>
            <w:b/>
          </w:rPr>
          <w:fldChar w:fldCharType="begin"/>
        </w:r>
        <w:r w:rsidRPr="0097767F">
          <w:rPr>
            <w:rFonts w:ascii="ＭＳ ゴシック" w:eastAsia="ＭＳ ゴシック" w:hAnsi="ＭＳ ゴシック"/>
            <w:b/>
          </w:rPr>
          <w:instrText>PAGE   \* MERGEFORMAT</w:instrText>
        </w:r>
        <w:r w:rsidRPr="0097767F">
          <w:rPr>
            <w:rFonts w:ascii="ＭＳ ゴシック" w:eastAsia="ＭＳ ゴシック" w:hAnsi="ＭＳ ゴシック"/>
            <w:b/>
          </w:rPr>
          <w:fldChar w:fldCharType="separate"/>
        </w:r>
        <w:r w:rsidR="00122C64" w:rsidRPr="00122C64">
          <w:rPr>
            <w:rFonts w:ascii="ＭＳ ゴシック" w:eastAsia="ＭＳ ゴシック" w:hAnsi="ＭＳ ゴシック"/>
            <w:b/>
            <w:noProof/>
            <w:lang w:val="ja-JP"/>
          </w:rPr>
          <w:t>1</w:t>
        </w:r>
        <w:r w:rsidRPr="0097767F">
          <w:rPr>
            <w:rFonts w:ascii="ＭＳ ゴシック" w:eastAsia="ＭＳ ゴシック" w:hAnsi="ＭＳ ゴシック"/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7F" w:rsidRDefault="00977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75" w:rsidRDefault="00DF0E75" w:rsidP="00DF0E75">
      <w:r>
        <w:separator/>
      </w:r>
    </w:p>
  </w:footnote>
  <w:footnote w:type="continuationSeparator" w:id="0">
    <w:p w:rsidR="00DF0E75" w:rsidRDefault="00DF0E75" w:rsidP="00DF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7F" w:rsidRDefault="009776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7F" w:rsidRDefault="009776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7F" w:rsidRDefault="009776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75"/>
    <w:rsid w:val="000270C6"/>
    <w:rsid w:val="00027B3C"/>
    <w:rsid w:val="00057DBA"/>
    <w:rsid w:val="00072006"/>
    <w:rsid w:val="0009053C"/>
    <w:rsid w:val="00094605"/>
    <w:rsid w:val="000A791D"/>
    <w:rsid w:val="000E36CA"/>
    <w:rsid w:val="001108F3"/>
    <w:rsid w:val="0011206D"/>
    <w:rsid w:val="00122C64"/>
    <w:rsid w:val="00150ADD"/>
    <w:rsid w:val="00155EE3"/>
    <w:rsid w:val="0015720B"/>
    <w:rsid w:val="00164FC0"/>
    <w:rsid w:val="001706F0"/>
    <w:rsid w:val="00177A8C"/>
    <w:rsid w:val="00177E9E"/>
    <w:rsid w:val="001949B1"/>
    <w:rsid w:val="001A0ED6"/>
    <w:rsid w:val="001B018D"/>
    <w:rsid w:val="001C1096"/>
    <w:rsid w:val="001C313C"/>
    <w:rsid w:val="00220692"/>
    <w:rsid w:val="00226A6B"/>
    <w:rsid w:val="00250F7D"/>
    <w:rsid w:val="00296A6F"/>
    <w:rsid w:val="002A6311"/>
    <w:rsid w:val="002B304A"/>
    <w:rsid w:val="002D3BFA"/>
    <w:rsid w:val="002D50AA"/>
    <w:rsid w:val="002E5C0B"/>
    <w:rsid w:val="002E6671"/>
    <w:rsid w:val="002F0019"/>
    <w:rsid w:val="002F7655"/>
    <w:rsid w:val="0033169C"/>
    <w:rsid w:val="003751A5"/>
    <w:rsid w:val="003758D7"/>
    <w:rsid w:val="00394060"/>
    <w:rsid w:val="003C6E27"/>
    <w:rsid w:val="003D4BC1"/>
    <w:rsid w:val="003E21BB"/>
    <w:rsid w:val="00416ADC"/>
    <w:rsid w:val="00445C46"/>
    <w:rsid w:val="00451121"/>
    <w:rsid w:val="00453101"/>
    <w:rsid w:val="004538A6"/>
    <w:rsid w:val="00454CB8"/>
    <w:rsid w:val="0047650E"/>
    <w:rsid w:val="00487FB1"/>
    <w:rsid w:val="0049062E"/>
    <w:rsid w:val="0049415E"/>
    <w:rsid w:val="004E4D0B"/>
    <w:rsid w:val="00502F50"/>
    <w:rsid w:val="005062F6"/>
    <w:rsid w:val="00506E1D"/>
    <w:rsid w:val="00507F69"/>
    <w:rsid w:val="00515A74"/>
    <w:rsid w:val="00517851"/>
    <w:rsid w:val="005769BD"/>
    <w:rsid w:val="00590A48"/>
    <w:rsid w:val="005922E9"/>
    <w:rsid w:val="005B6253"/>
    <w:rsid w:val="005B686F"/>
    <w:rsid w:val="005D5A43"/>
    <w:rsid w:val="005D6E82"/>
    <w:rsid w:val="005E5B7B"/>
    <w:rsid w:val="005F5EFA"/>
    <w:rsid w:val="00610D96"/>
    <w:rsid w:val="00612DAA"/>
    <w:rsid w:val="0062533D"/>
    <w:rsid w:val="00651201"/>
    <w:rsid w:val="006570F5"/>
    <w:rsid w:val="00674FE5"/>
    <w:rsid w:val="006B3724"/>
    <w:rsid w:val="006D61B7"/>
    <w:rsid w:val="00703054"/>
    <w:rsid w:val="00703DEE"/>
    <w:rsid w:val="007058E7"/>
    <w:rsid w:val="00705DC7"/>
    <w:rsid w:val="00751A9C"/>
    <w:rsid w:val="00787D0D"/>
    <w:rsid w:val="007E3860"/>
    <w:rsid w:val="007E7641"/>
    <w:rsid w:val="00801D32"/>
    <w:rsid w:val="00803B5D"/>
    <w:rsid w:val="00810CAC"/>
    <w:rsid w:val="00821F03"/>
    <w:rsid w:val="008274A2"/>
    <w:rsid w:val="008342F4"/>
    <w:rsid w:val="00840039"/>
    <w:rsid w:val="00883A09"/>
    <w:rsid w:val="00895536"/>
    <w:rsid w:val="008B3390"/>
    <w:rsid w:val="008D2DF2"/>
    <w:rsid w:val="008D7C56"/>
    <w:rsid w:val="008E4532"/>
    <w:rsid w:val="008F1D73"/>
    <w:rsid w:val="008F7E02"/>
    <w:rsid w:val="00906807"/>
    <w:rsid w:val="00915A86"/>
    <w:rsid w:val="009536A2"/>
    <w:rsid w:val="009546F1"/>
    <w:rsid w:val="00955180"/>
    <w:rsid w:val="009648C1"/>
    <w:rsid w:val="0097767F"/>
    <w:rsid w:val="009B7B49"/>
    <w:rsid w:val="009C264B"/>
    <w:rsid w:val="009C36DD"/>
    <w:rsid w:val="009E1037"/>
    <w:rsid w:val="00A13CCE"/>
    <w:rsid w:val="00A155A4"/>
    <w:rsid w:val="00A32389"/>
    <w:rsid w:val="00A33C5D"/>
    <w:rsid w:val="00A345BF"/>
    <w:rsid w:val="00A3673D"/>
    <w:rsid w:val="00A450C6"/>
    <w:rsid w:val="00A53D2A"/>
    <w:rsid w:val="00A71482"/>
    <w:rsid w:val="00A84A54"/>
    <w:rsid w:val="00A85397"/>
    <w:rsid w:val="00A97166"/>
    <w:rsid w:val="00AA6497"/>
    <w:rsid w:val="00AB03F6"/>
    <w:rsid w:val="00AC40FC"/>
    <w:rsid w:val="00AC642C"/>
    <w:rsid w:val="00AF0DC1"/>
    <w:rsid w:val="00AF34DE"/>
    <w:rsid w:val="00AF5C7D"/>
    <w:rsid w:val="00B12AB3"/>
    <w:rsid w:val="00B16CCA"/>
    <w:rsid w:val="00B244C9"/>
    <w:rsid w:val="00B54269"/>
    <w:rsid w:val="00B60772"/>
    <w:rsid w:val="00C33070"/>
    <w:rsid w:val="00C510A4"/>
    <w:rsid w:val="00C6610B"/>
    <w:rsid w:val="00C6689F"/>
    <w:rsid w:val="00C66AE2"/>
    <w:rsid w:val="00C9380F"/>
    <w:rsid w:val="00CB1841"/>
    <w:rsid w:val="00CB3964"/>
    <w:rsid w:val="00CC0E71"/>
    <w:rsid w:val="00CD49FD"/>
    <w:rsid w:val="00CD4AA1"/>
    <w:rsid w:val="00CF135B"/>
    <w:rsid w:val="00CF7887"/>
    <w:rsid w:val="00D14EE2"/>
    <w:rsid w:val="00D31862"/>
    <w:rsid w:val="00D33E2F"/>
    <w:rsid w:val="00D35FE5"/>
    <w:rsid w:val="00D42BC7"/>
    <w:rsid w:val="00D620B7"/>
    <w:rsid w:val="00D653F1"/>
    <w:rsid w:val="00D74F1B"/>
    <w:rsid w:val="00D7690E"/>
    <w:rsid w:val="00D92112"/>
    <w:rsid w:val="00D96389"/>
    <w:rsid w:val="00DB5851"/>
    <w:rsid w:val="00DE7741"/>
    <w:rsid w:val="00DF0E75"/>
    <w:rsid w:val="00E00611"/>
    <w:rsid w:val="00E12AE9"/>
    <w:rsid w:val="00E37EC5"/>
    <w:rsid w:val="00E534CD"/>
    <w:rsid w:val="00E60A9E"/>
    <w:rsid w:val="00E64904"/>
    <w:rsid w:val="00E77984"/>
    <w:rsid w:val="00E84FFB"/>
    <w:rsid w:val="00E93430"/>
    <w:rsid w:val="00EB6206"/>
    <w:rsid w:val="00EE6D05"/>
    <w:rsid w:val="00F0252B"/>
    <w:rsid w:val="00F0271E"/>
    <w:rsid w:val="00F07A4F"/>
    <w:rsid w:val="00F6557B"/>
    <w:rsid w:val="00F839E5"/>
    <w:rsid w:val="00FA0B25"/>
    <w:rsid w:val="00FC2636"/>
    <w:rsid w:val="00FC3E6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75"/>
  </w:style>
  <w:style w:type="paragraph" w:styleId="a5">
    <w:name w:val="footer"/>
    <w:basedOn w:val="a"/>
    <w:link w:val="a6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75"/>
  </w:style>
  <w:style w:type="paragraph" w:styleId="a7">
    <w:name w:val="Balloon Text"/>
    <w:basedOn w:val="a"/>
    <w:link w:val="a8"/>
    <w:uiPriority w:val="99"/>
    <w:semiHidden/>
    <w:unhideWhenUsed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paragraphnum">
    <w:name w:val="paragraphnum"/>
    <w:basedOn w:val="a0"/>
    <w:rsid w:val="00094605"/>
  </w:style>
  <w:style w:type="character" w:customStyle="1" w:styleId="articletitle">
    <w:name w:val="articletitle"/>
    <w:basedOn w:val="a0"/>
    <w:rsid w:val="00810CAC"/>
  </w:style>
  <w:style w:type="paragraph" w:styleId="Web">
    <w:name w:val="Normal (Web)"/>
    <w:basedOn w:val="a"/>
    <w:uiPriority w:val="99"/>
    <w:semiHidden/>
    <w:unhideWhenUsed/>
    <w:rsid w:val="00883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27B3C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5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1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2019-11-25T01:42:00Z</dcterms:created>
  <dcterms:modified xsi:type="dcterms:W3CDTF">2019-11-25T01:42:00Z</dcterms:modified>
</cp:coreProperties>
</file>