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B4D" w:rsidRPr="00CE65AF" w:rsidRDefault="00C52B4D" w:rsidP="00C52B4D">
      <w:pPr>
        <w:jc w:val="center"/>
        <w:rPr>
          <w:rFonts w:ascii="ＭＳ ゴシック" w:eastAsia="ＭＳ ゴシック" w:hAnsi="ＭＳ ゴシック" w:cs="ＭＳ Ｐ明朝"/>
          <w:sz w:val="28"/>
          <w:szCs w:val="28"/>
        </w:rPr>
      </w:pPr>
      <w:r w:rsidRPr="00CE65AF">
        <w:rPr>
          <w:rFonts w:ascii="ＭＳ ゴシック" w:eastAsia="ＭＳ ゴシック" w:hAnsi="ＭＳ ゴシック" w:cs="ＭＳ Ｐ明朝" w:hint="eastAsia"/>
          <w:sz w:val="28"/>
          <w:szCs w:val="28"/>
        </w:rPr>
        <w:t>大阪府域の状況</w:t>
      </w:r>
      <w:r w:rsidR="005F3BC2">
        <w:rPr>
          <w:noProof/>
        </w:rPr>
        <mc:AlternateContent>
          <mc:Choice Requires="wps">
            <w:drawing>
              <wp:anchor distT="0" distB="0" distL="114300" distR="114300" simplePos="0" relativeHeight="251657216" behindDoc="0" locked="0" layoutInCell="1" allowOverlap="1">
                <wp:simplePos x="0" y="0"/>
                <wp:positionH relativeFrom="column">
                  <wp:posOffset>5019675</wp:posOffset>
                </wp:positionH>
                <wp:positionV relativeFrom="paragraph">
                  <wp:posOffset>-481965</wp:posOffset>
                </wp:positionV>
                <wp:extent cx="1170305" cy="358140"/>
                <wp:effectExtent l="0" t="0" r="10795" b="2286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0305" cy="358140"/>
                        </a:xfrm>
                        <a:prstGeom prst="rect">
                          <a:avLst/>
                        </a:prstGeom>
                        <a:noFill/>
                        <a:ln w="9525" cap="flat" cmpd="sng" algn="ctr">
                          <a:solidFill>
                            <a:sysClr val="windowText" lastClr="000000"/>
                          </a:solidFill>
                          <a:prstDash val="solid"/>
                        </a:ln>
                        <a:effectLst/>
                      </wps:spPr>
                      <wps:txbx>
                        <w:txbxContent>
                          <w:p w:rsidR="00C52B4D" w:rsidRPr="00CE65AF" w:rsidRDefault="00C52B4D" w:rsidP="00AF4EEE">
                            <w:pPr>
                              <w:jc w:val="center"/>
                              <w:rPr>
                                <w:rFonts w:ascii="ＭＳ ゴシック" w:eastAsia="ＭＳ ゴシック" w:hAnsi="ＭＳ ゴシック"/>
                                <w:color w:val="000000"/>
                                <w:sz w:val="24"/>
                                <w:szCs w:val="24"/>
                              </w:rPr>
                            </w:pPr>
                            <w:r w:rsidRPr="00CE65AF">
                              <w:rPr>
                                <w:rFonts w:ascii="ＭＳ ゴシック" w:eastAsia="ＭＳ ゴシック" w:hAnsi="ＭＳ ゴシック" w:hint="eastAsia"/>
                                <w:color w:val="000000"/>
                                <w:sz w:val="24"/>
                                <w:szCs w:val="24"/>
                              </w:rPr>
                              <w:t>資料　１－３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0" o:spid="_x0000_s1026" style="position:absolute;left:0;text-align:left;margin-left:395.25pt;margin-top:-37.95pt;width:92.15pt;height:2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hnMjgIAAPQEAAAOAAAAZHJzL2Uyb0RvYy54bWysVM1u1DAQviPxDpbvNJttl7ZRs9WqVRHS&#10;qq3Uop69jrOJcGxjezdZ3gMeoJw5Iw48DpV4Cz472f7BCZGDNeMZz8833+TouGskWQvraq1ymu6M&#10;KBGK66JWy5y+uz57dUCJ80wVTGolcroRjh5PX744ak0mxrrSshCWIIhyWWtyWnlvsiRxvBINczva&#10;CAVjqW3DPFS7TArLWkRvZDIejV4nrbaFsZoL53B72hvpNMYvS8H9RVk64YnMKWrz8bTxXIQzmR6x&#10;bGmZqWo+lMH+oYqG1QpJ70OdMs/IytZ/hGpqbrXTpd/hukl0WdZcxB7QTTp61s1VxYyIvQAcZ+5h&#10;cv8vLD9fX1pSF5gd4FGswYzuvn65+/z954/b5Nenb71EYAVUrXEZXlyZSxuadWau+XsHQ/LEEhQ3&#10;+HSlbYIvWiVdxH1zj7voPOG4TNP90e5oQgmHbXdykO7FbAnLtq+Ndf6N0A0JQk4t5hrhZuu58yE/&#10;y7YuIZnSZ7WUcbZSkTanh5NxCM/AsFIyD7Ex6NmpJSVMLkFd7m2M6LSsi/A6NrhxJ9KSNQN7QLpC&#10;t9eomRLJnIcBjcQvQIMKnjwN5ZwyV/WPo2lwkyqEFpGcQ/UPgAXJd4sOEYO40MUG87G6J64z/KxG&#10;4DnyXzILpmJo2D5/gaOUGp3qQaKk0vbj3+6DPwgEKyUtmA8YPqyYFWjrrQK1DtM94E98VPYm+2Mo&#10;9rFl8diiVs2JBjwp9tzwKAZ/L7diaXVzgyWdhawwMcWRuwd8UE58v5FYcy5ms+iG9TDMz9WV4SF4&#10;gCxAet3dMGsGGngM41xvt4Rlz9jQ+/Z8mK28LutIlQdcB95iteL8ht9A2N3HevR6+FlNfwMAAP//&#10;AwBQSwMEFAAGAAgAAAAhAEff9yjhAAAACwEAAA8AAABkcnMvZG93bnJldi54bWxMj8FKw0AQhu+C&#10;77CM4EXa3RZjmphNUUFFEMFWPG+SaRLMzobstlnf3vGkx5n5+Of7i220gzjh5HtHGlZLBQKpdk1P&#10;rYaP/eNiA8IHQ40ZHKGGb/SwLc/PCpM3bqZ3PO1CKziEfG40dCGMuZS+7tAav3QjEt8ObrIm8Di1&#10;spnMzOF2kGulbqQ1PfGHzoz40GH9tTtaDfPmHvfVHNdvh2hfXz6vaHxSz1pfXsS7WxABY/iD4Vef&#10;1aFkp8odqfFi0JBmKmFUwyJNMhBMZOk1l6l4s8oSkGUh/3cofwAAAP//AwBQSwECLQAUAAYACAAA&#10;ACEAtoM4kv4AAADhAQAAEwAAAAAAAAAAAAAAAAAAAAAAW0NvbnRlbnRfVHlwZXNdLnhtbFBLAQIt&#10;ABQABgAIAAAAIQA4/SH/1gAAAJQBAAALAAAAAAAAAAAAAAAAAC8BAABfcmVscy8ucmVsc1BLAQIt&#10;ABQABgAIAAAAIQCfphnMjgIAAPQEAAAOAAAAAAAAAAAAAAAAAC4CAABkcnMvZTJvRG9jLnhtbFBL&#10;AQItABQABgAIAAAAIQBH3/co4QAAAAsBAAAPAAAAAAAAAAAAAAAAAOgEAABkcnMvZG93bnJldi54&#10;bWxQSwUGAAAAAAQABADzAAAA9gUAAAAA&#10;" filled="f" strokecolor="windowText">
                <v:path arrowok="t"/>
                <v:textbox>
                  <w:txbxContent>
                    <w:p w:rsidR="00C52B4D" w:rsidRPr="00CE65AF" w:rsidRDefault="00C52B4D" w:rsidP="00AF4EEE">
                      <w:pPr>
                        <w:jc w:val="center"/>
                        <w:rPr>
                          <w:rFonts w:ascii="ＭＳ ゴシック" w:eastAsia="ＭＳ ゴシック" w:hAnsi="ＭＳ ゴシック"/>
                          <w:color w:val="000000"/>
                          <w:sz w:val="24"/>
                          <w:szCs w:val="24"/>
                        </w:rPr>
                      </w:pPr>
                      <w:r w:rsidRPr="00CE65AF">
                        <w:rPr>
                          <w:rFonts w:ascii="ＭＳ ゴシック" w:eastAsia="ＭＳ ゴシック" w:hAnsi="ＭＳ ゴシック" w:hint="eastAsia"/>
                          <w:color w:val="000000"/>
                          <w:sz w:val="24"/>
                          <w:szCs w:val="24"/>
                        </w:rPr>
                        <w:t>資料　１－３</w:t>
                      </w:r>
                    </w:p>
                  </w:txbxContent>
                </v:textbox>
              </v:rect>
            </w:pict>
          </mc:Fallback>
        </mc:AlternateContent>
      </w:r>
    </w:p>
    <w:p w:rsidR="00EE6E26" w:rsidRPr="00CE65AF" w:rsidRDefault="00C52B4D" w:rsidP="00C52B4D">
      <w:pPr>
        <w:spacing w:beforeLines="100" w:before="360"/>
        <w:jc w:val="left"/>
        <w:rPr>
          <w:rFonts w:ascii="ＭＳ ゴシック" w:eastAsia="ＭＳ ゴシック" w:hAnsi="ＭＳ ゴシック" w:cs="ＭＳ Ｐ明朝"/>
          <w:b/>
          <w:sz w:val="24"/>
          <w:szCs w:val="24"/>
        </w:rPr>
      </w:pPr>
      <w:r w:rsidRPr="00CE65AF">
        <w:rPr>
          <w:rFonts w:ascii="ＭＳ ゴシック" w:eastAsia="ＭＳ ゴシック" w:hAnsi="ＭＳ ゴシック" w:cs="ＭＳ Ｐ明朝" w:hint="eastAsia"/>
          <w:b/>
          <w:sz w:val="24"/>
          <w:szCs w:val="24"/>
        </w:rPr>
        <w:t>Ⅰ．</w:t>
      </w:r>
      <w:r w:rsidR="00EE6E26" w:rsidRPr="00CE65AF">
        <w:rPr>
          <w:rFonts w:ascii="ＭＳ ゴシック" w:eastAsia="ＭＳ ゴシック" w:hAnsi="ＭＳ ゴシック" w:cs="ＭＳ Ｐ明朝" w:hint="eastAsia"/>
          <w:b/>
          <w:sz w:val="24"/>
          <w:szCs w:val="24"/>
        </w:rPr>
        <w:t>大阪府内におけるエネルギー起源CO</w:t>
      </w:r>
      <w:r w:rsidR="00EE6E26" w:rsidRPr="00CE65AF">
        <w:rPr>
          <w:rFonts w:ascii="ＭＳ ゴシック" w:eastAsia="ＭＳ ゴシック" w:hAnsi="ＭＳ ゴシック" w:cs="ＭＳ Ｐ明朝" w:hint="eastAsia"/>
          <w:b/>
          <w:sz w:val="24"/>
          <w:szCs w:val="24"/>
          <w:vertAlign w:val="subscript"/>
        </w:rPr>
        <w:t>2</w:t>
      </w:r>
      <w:r w:rsidR="00EE6E26" w:rsidRPr="00CE65AF">
        <w:rPr>
          <w:rFonts w:ascii="ＭＳ ゴシック" w:eastAsia="ＭＳ ゴシック" w:hAnsi="ＭＳ ゴシック" w:cs="ＭＳ Ｐ明朝" w:hint="eastAsia"/>
          <w:b/>
          <w:sz w:val="24"/>
          <w:szCs w:val="24"/>
        </w:rPr>
        <w:t>の各部門の排出量の現状について</w:t>
      </w:r>
    </w:p>
    <w:p w:rsidR="00EE6E26" w:rsidRPr="00CE65AF" w:rsidRDefault="00FE1FE4" w:rsidP="00770940">
      <w:pPr>
        <w:spacing w:beforeLines="100" w:before="360"/>
        <w:ind w:firstLineChars="100" w:firstLine="210"/>
        <w:jc w:val="left"/>
        <w:rPr>
          <w:rFonts w:ascii="ＭＳ 明朝" w:hAnsi="ＭＳ 明朝"/>
          <w:szCs w:val="21"/>
        </w:rPr>
      </w:pPr>
      <w:r w:rsidRPr="00CE65AF">
        <w:rPr>
          <w:rFonts w:ascii="ＭＳ 明朝" w:hAnsi="ＭＳ 明朝" w:hint="eastAsia"/>
          <w:szCs w:val="21"/>
        </w:rPr>
        <w:t>大阪府域における2013年度のエネルギー起源CO</w:t>
      </w:r>
      <w:r w:rsidRPr="00CE65AF">
        <w:rPr>
          <w:rFonts w:ascii="ＭＳ 明朝" w:hAnsi="ＭＳ 明朝" w:hint="eastAsia"/>
          <w:szCs w:val="21"/>
          <w:vertAlign w:val="subscript"/>
        </w:rPr>
        <w:t>2</w:t>
      </w:r>
      <w:r w:rsidRPr="00CE65AF">
        <w:rPr>
          <w:rFonts w:ascii="ＭＳ 明朝" w:hAnsi="ＭＳ 明朝" w:hint="eastAsia"/>
          <w:szCs w:val="21"/>
        </w:rPr>
        <w:t>排出量は、5,392万tとなり、2005年度と比べ6.4％増加、業務その他部門及び家庭部門については、24.6%、18.3%と大幅に増加している</w:t>
      </w:r>
      <w:r w:rsidR="00464D40" w:rsidRPr="00CE65AF">
        <w:rPr>
          <w:rFonts w:ascii="ＭＳ 明朝" w:hAnsi="ＭＳ 明朝" w:hint="eastAsia"/>
          <w:szCs w:val="21"/>
        </w:rPr>
        <w:t>（表１）</w:t>
      </w:r>
      <w:r w:rsidRPr="00CE65AF">
        <w:rPr>
          <w:rFonts w:ascii="ＭＳ 明朝" w:hAnsi="ＭＳ 明朝" w:hint="eastAsia"/>
          <w:szCs w:val="21"/>
        </w:rPr>
        <w:t>。</w:t>
      </w:r>
    </w:p>
    <w:p w:rsidR="00FE1FE4" w:rsidRPr="007A1667" w:rsidRDefault="007A1667" w:rsidP="007A1667">
      <w:pPr>
        <w:spacing w:beforeLines="50" w:before="180"/>
        <w:ind w:firstLineChars="100" w:firstLine="211"/>
        <w:jc w:val="center"/>
        <w:rPr>
          <w:rFonts w:ascii="ＭＳ ゴシック" w:eastAsia="ＭＳ ゴシック" w:hAnsi="ＭＳ ゴシック"/>
          <w:b/>
          <w:szCs w:val="21"/>
        </w:rPr>
      </w:pPr>
      <w:r w:rsidRPr="007A1667">
        <w:rPr>
          <w:rFonts w:ascii="ＭＳ ゴシック" w:eastAsia="ＭＳ ゴシック" w:hAnsi="ＭＳ ゴシック" w:hint="eastAsia"/>
          <w:b/>
          <w:szCs w:val="21"/>
        </w:rPr>
        <w:t>表１　大阪府内におけるエネルギー起源CO</w:t>
      </w:r>
      <w:r w:rsidRPr="007A1667">
        <w:rPr>
          <w:rFonts w:ascii="ＭＳ ゴシック" w:eastAsia="ＭＳ ゴシック" w:hAnsi="ＭＳ ゴシック" w:hint="eastAsia"/>
          <w:b/>
          <w:szCs w:val="21"/>
          <w:vertAlign w:val="subscript"/>
        </w:rPr>
        <w:t>2</w:t>
      </w:r>
      <w:r w:rsidRPr="007A1667">
        <w:rPr>
          <w:rFonts w:ascii="ＭＳ ゴシック" w:eastAsia="ＭＳ ゴシック" w:hAnsi="ＭＳ ゴシック" w:hint="eastAsia"/>
          <w:b/>
          <w:szCs w:val="21"/>
        </w:rPr>
        <w:t>の各部門の排出量</w:t>
      </w:r>
    </w:p>
    <w:tbl>
      <w:tblPr>
        <w:tblW w:w="9654" w:type="dxa"/>
        <w:tblCellMar>
          <w:left w:w="0" w:type="dxa"/>
          <w:right w:w="0" w:type="dxa"/>
        </w:tblCellMar>
        <w:tblLook w:val="0600" w:firstRow="0" w:lastRow="0" w:firstColumn="0" w:lastColumn="0" w:noHBand="1" w:noVBand="1"/>
      </w:tblPr>
      <w:tblGrid>
        <w:gridCol w:w="160"/>
        <w:gridCol w:w="2549"/>
        <w:gridCol w:w="3402"/>
        <w:gridCol w:w="3543"/>
      </w:tblGrid>
      <w:tr w:rsidR="00EE0370" w:rsidRPr="00CE65AF" w:rsidTr="000C2825">
        <w:trPr>
          <w:trHeight w:val="283"/>
        </w:trPr>
        <w:tc>
          <w:tcPr>
            <w:tcW w:w="2709"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5E4254" w:rsidRPr="00CE65AF" w:rsidRDefault="00EE0370" w:rsidP="00EE0370">
            <w:pPr>
              <w:ind w:firstLineChars="100" w:firstLine="210"/>
              <w:jc w:val="center"/>
              <w:rPr>
                <w:rFonts w:ascii="ＭＳ 明朝" w:hAnsi="ＭＳ 明朝"/>
                <w:szCs w:val="21"/>
              </w:rPr>
            </w:pPr>
            <w:r w:rsidRPr="00CE65AF">
              <w:rPr>
                <w:rFonts w:ascii="ＭＳ 明朝" w:hAnsi="ＭＳ 明朝" w:hint="eastAsia"/>
                <w:szCs w:val="21"/>
              </w:rPr>
              <w:t>大阪府</w:t>
            </w:r>
          </w:p>
        </w:tc>
        <w:tc>
          <w:tcPr>
            <w:tcW w:w="6945"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5E4254" w:rsidRPr="00CE65AF" w:rsidRDefault="00EE0370" w:rsidP="00EE0370">
            <w:pPr>
              <w:ind w:firstLineChars="100" w:firstLine="210"/>
              <w:jc w:val="center"/>
              <w:rPr>
                <w:rFonts w:ascii="ＭＳ 明朝" w:hAnsi="ＭＳ 明朝"/>
                <w:szCs w:val="21"/>
              </w:rPr>
            </w:pPr>
            <w:r w:rsidRPr="00CE65AF">
              <w:rPr>
                <w:rFonts w:ascii="ＭＳ 明朝" w:hAnsi="ＭＳ 明朝" w:hint="eastAsia"/>
                <w:szCs w:val="21"/>
              </w:rPr>
              <w:t>2013年度</w:t>
            </w:r>
          </w:p>
        </w:tc>
      </w:tr>
      <w:tr w:rsidR="00EE0370" w:rsidRPr="00CE65AF" w:rsidTr="000C2825">
        <w:trPr>
          <w:trHeight w:val="510"/>
        </w:trPr>
        <w:tc>
          <w:tcPr>
            <w:tcW w:w="2709" w:type="dxa"/>
            <w:gridSpan w:val="2"/>
            <w:vMerge/>
            <w:tcBorders>
              <w:top w:val="single" w:sz="6" w:space="0" w:color="000000"/>
              <w:left w:val="single" w:sz="6" w:space="0" w:color="000000"/>
              <w:bottom w:val="single" w:sz="6" w:space="0" w:color="000000"/>
              <w:right w:val="single" w:sz="6" w:space="0" w:color="000000"/>
            </w:tcBorders>
            <w:vAlign w:val="center"/>
            <w:hideMark/>
          </w:tcPr>
          <w:p w:rsidR="00EE0370" w:rsidRPr="00CE65AF" w:rsidRDefault="00EE0370" w:rsidP="00EE0370">
            <w:pPr>
              <w:ind w:firstLineChars="100" w:firstLine="210"/>
              <w:jc w:val="center"/>
              <w:rPr>
                <w:rFonts w:ascii="ＭＳ 明朝" w:hAnsi="ＭＳ 明朝"/>
                <w:szCs w:val="21"/>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EE0370" w:rsidRPr="00CE65AF" w:rsidRDefault="00EE0370" w:rsidP="00EE0370">
            <w:pPr>
              <w:ind w:firstLineChars="100" w:firstLine="210"/>
              <w:jc w:val="center"/>
              <w:rPr>
                <w:rFonts w:ascii="ＭＳ 明朝" w:hAnsi="ＭＳ 明朝"/>
                <w:szCs w:val="21"/>
              </w:rPr>
            </w:pPr>
            <w:r w:rsidRPr="00CE65AF">
              <w:rPr>
                <w:rFonts w:ascii="ＭＳ 明朝" w:hAnsi="ＭＳ 明朝" w:hint="eastAsia"/>
                <w:szCs w:val="21"/>
              </w:rPr>
              <w:t>各部門の排出量</w:t>
            </w:r>
            <w:r w:rsidR="00FB6A58" w:rsidRPr="00CE65AF">
              <w:rPr>
                <w:rFonts w:ascii="ＭＳ 明朝" w:hAnsi="ＭＳ 明朝" w:hint="eastAsia"/>
                <w:szCs w:val="21"/>
              </w:rPr>
              <w:t>[万t-CO</w:t>
            </w:r>
            <w:r w:rsidR="00FB6A58" w:rsidRPr="00CE65AF">
              <w:rPr>
                <w:rFonts w:ascii="ＭＳ 明朝" w:hAnsi="ＭＳ 明朝" w:hint="eastAsia"/>
                <w:szCs w:val="21"/>
                <w:vertAlign w:val="subscript"/>
              </w:rPr>
              <w:t>2</w:t>
            </w:r>
            <w:r w:rsidR="00FB6A58" w:rsidRPr="00CE65AF">
              <w:rPr>
                <w:rFonts w:ascii="ＭＳ 明朝" w:hAnsi="ＭＳ 明朝" w:hint="eastAsia"/>
                <w:szCs w:val="21"/>
              </w:rPr>
              <w:t>]</w:t>
            </w:r>
          </w:p>
          <w:p w:rsidR="005E4254" w:rsidRPr="00CE65AF" w:rsidRDefault="00EE0370" w:rsidP="00EE0370">
            <w:pPr>
              <w:ind w:firstLineChars="100" w:firstLine="210"/>
              <w:jc w:val="center"/>
              <w:rPr>
                <w:rFonts w:ascii="ＭＳ 明朝" w:hAnsi="ＭＳ 明朝"/>
                <w:szCs w:val="21"/>
              </w:rPr>
            </w:pPr>
            <w:r w:rsidRPr="00CE65AF">
              <w:rPr>
                <w:rFonts w:ascii="ＭＳ 明朝" w:hAnsi="ＭＳ 明朝" w:hint="eastAsia"/>
                <w:szCs w:val="21"/>
              </w:rPr>
              <w:t>(2012年度比/2005年度比)</w:t>
            </w:r>
          </w:p>
        </w:tc>
        <w:tc>
          <w:tcPr>
            <w:tcW w:w="354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5E4254" w:rsidRPr="00CE65AF" w:rsidRDefault="00EE0370" w:rsidP="00EE0370">
            <w:pPr>
              <w:ind w:firstLineChars="100" w:firstLine="210"/>
              <w:jc w:val="center"/>
              <w:rPr>
                <w:rFonts w:ascii="ＭＳ 明朝" w:hAnsi="ＭＳ 明朝"/>
                <w:szCs w:val="21"/>
              </w:rPr>
            </w:pPr>
            <w:r w:rsidRPr="00CE65AF">
              <w:rPr>
                <w:rFonts w:ascii="ＭＳ 明朝" w:hAnsi="ＭＳ 明朝" w:hint="eastAsia"/>
                <w:szCs w:val="21"/>
              </w:rPr>
              <w:t>エネルギー起源CO</w:t>
            </w:r>
            <w:r w:rsidRPr="00CE65AF">
              <w:rPr>
                <w:rFonts w:ascii="ＭＳ 明朝" w:hAnsi="ＭＳ 明朝" w:hint="eastAsia"/>
                <w:szCs w:val="21"/>
                <w:vertAlign w:val="subscript"/>
              </w:rPr>
              <w:t>2</w:t>
            </w:r>
            <w:r w:rsidRPr="00CE65AF">
              <w:rPr>
                <w:rFonts w:ascii="ＭＳ 明朝" w:hAnsi="ＭＳ 明朝" w:hint="eastAsia"/>
                <w:szCs w:val="21"/>
              </w:rPr>
              <w:t>の構成比</w:t>
            </w:r>
          </w:p>
        </w:tc>
      </w:tr>
      <w:tr w:rsidR="00EE0370" w:rsidRPr="00CE65AF" w:rsidTr="000C2825">
        <w:trPr>
          <w:trHeight w:val="510"/>
        </w:trPr>
        <w:tc>
          <w:tcPr>
            <w:tcW w:w="2709"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5E4254" w:rsidRPr="00CE65AF" w:rsidRDefault="00EE0370" w:rsidP="00EE0370">
            <w:pPr>
              <w:ind w:firstLineChars="100" w:firstLine="210"/>
              <w:jc w:val="center"/>
              <w:rPr>
                <w:rFonts w:ascii="ＭＳ 明朝" w:hAnsi="ＭＳ 明朝"/>
                <w:szCs w:val="21"/>
              </w:rPr>
            </w:pPr>
            <w:r w:rsidRPr="00CE65AF">
              <w:rPr>
                <w:rFonts w:ascii="ＭＳ 明朝" w:hAnsi="ＭＳ 明朝" w:hint="eastAsia"/>
                <w:szCs w:val="21"/>
              </w:rPr>
              <w:t>エネルギー起源CO</w:t>
            </w:r>
            <w:r w:rsidRPr="00CE65AF">
              <w:rPr>
                <w:rFonts w:ascii="ＭＳ 明朝" w:hAnsi="ＭＳ 明朝" w:hint="eastAsia"/>
                <w:szCs w:val="21"/>
                <w:vertAlign w:val="subscript"/>
              </w:rPr>
              <w:t>2</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EE0370" w:rsidRPr="00CE65AF" w:rsidRDefault="00EE0370" w:rsidP="00EE0370">
            <w:pPr>
              <w:ind w:firstLineChars="100" w:firstLine="210"/>
              <w:jc w:val="center"/>
              <w:rPr>
                <w:rFonts w:ascii="ＭＳ 明朝" w:hAnsi="ＭＳ 明朝"/>
                <w:szCs w:val="21"/>
              </w:rPr>
            </w:pPr>
            <w:r w:rsidRPr="00CE65AF">
              <w:rPr>
                <w:rFonts w:ascii="ＭＳ 明朝" w:hAnsi="ＭＳ 明朝" w:hint="eastAsia"/>
                <w:szCs w:val="21"/>
              </w:rPr>
              <w:t>5,392</w:t>
            </w:r>
          </w:p>
          <w:p w:rsidR="005E4254" w:rsidRPr="00CE65AF" w:rsidRDefault="00EE0370" w:rsidP="00EE0370">
            <w:pPr>
              <w:ind w:firstLineChars="100" w:firstLine="210"/>
              <w:jc w:val="center"/>
              <w:rPr>
                <w:rFonts w:ascii="ＭＳ 明朝" w:hAnsi="ＭＳ 明朝"/>
                <w:szCs w:val="21"/>
              </w:rPr>
            </w:pPr>
            <w:r w:rsidRPr="00CE65AF">
              <w:rPr>
                <w:rFonts w:ascii="ＭＳ 明朝" w:hAnsi="ＭＳ 明朝" w:hint="eastAsia"/>
                <w:szCs w:val="21"/>
              </w:rPr>
              <w:t>(▲0.1%/＋6.4%)</w:t>
            </w:r>
          </w:p>
        </w:tc>
        <w:tc>
          <w:tcPr>
            <w:tcW w:w="354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5E4254" w:rsidRPr="00CE65AF" w:rsidRDefault="00EE0370" w:rsidP="00EE0370">
            <w:pPr>
              <w:ind w:firstLineChars="100" w:firstLine="210"/>
              <w:jc w:val="center"/>
              <w:rPr>
                <w:rFonts w:ascii="ＭＳ 明朝" w:hAnsi="ＭＳ 明朝"/>
                <w:szCs w:val="21"/>
              </w:rPr>
            </w:pPr>
            <w:r w:rsidRPr="00CE65AF">
              <w:rPr>
                <w:rFonts w:ascii="ＭＳ 明朝" w:hAnsi="ＭＳ 明朝" w:hint="eastAsia"/>
                <w:szCs w:val="21"/>
              </w:rPr>
              <w:t>100.0%</w:t>
            </w:r>
          </w:p>
        </w:tc>
      </w:tr>
      <w:tr w:rsidR="00EE0370" w:rsidRPr="00CE65AF" w:rsidTr="000C2825">
        <w:trPr>
          <w:trHeight w:val="510"/>
        </w:trPr>
        <w:tc>
          <w:tcPr>
            <w:tcW w:w="160"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EE0370" w:rsidRPr="00CE65AF" w:rsidRDefault="00EE0370" w:rsidP="00EE0370">
            <w:pPr>
              <w:ind w:firstLineChars="100" w:firstLine="210"/>
              <w:jc w:val="center"/>
              <w:rPr>
                <w:rFonts w:ascii="ＭＳ 明朝" w:hAnsi="ＭＳ 明朝"/>
                <w:szCs w:val="21"/>
              </w:rPr>
            </w:pPr>
          </w:p>
        </w:tc>
        <w:tc>
          <w:tcPr>
            <w:tcW w:w="254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5E4254" w:rsidRPr="00CE65AF" w:rsidRDefault="00EE0370" w:rsidP="000C2825">
            <w:pPr>
              <w:adjustRightInd w:val="0"/>
              <w:ind w:leftChars="-100" w:left="-210" w:firstLineChars="100" w:firstLine="210"/>
              <w:jc w:val="center"/>
              <w:rPr>
                <w:rFonts w:ascii="ＭＳ 明朝" w:hAnsi="ＭＳ 明朝"/>
                <w:szCs w:val="21"/>
              </w:rPr>
            </w:pPr>
            <w:r w:rsidRPr="00CE65AF">
              <w:rPr>
                <w:rFonts w:ascii="ＭＳ 明朝" w:hAnsi="ＭＳ 明朝" w:hint="eastAsia"/>
                <w:szCs w:val="21"/>
              </w:rPr>
              <w:t>産業部門</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EE0370" w:rsidRPr="00CE65AF" w:rsidRDefault="00EE0370" w:rsidP="00EE0370">
            <w:pPr>
              <w:ind w:firstLineChars="100" w:firstLine="210"/>
              <w:jc w:val="center"/>
              <w:rPr>
                <w:rFonts w:ascii="ＭＳ 明朝" w:hAnsi="ＭＳ 明朝"/>
                <w:szCs w:val="21"/>
              </w:rPr>
            </w:pPr>
            <w:r w:rsidRPr="00CE65AF">
              <w:rPr>
                <w:rFonts w:ascii="ＭＳ 明朝" w:hAnsi="ＭＳ 明朝" w:hint="eastAsia"/>
                <w:szCs w:val="21"/>
              </w:rPr>
              <w:t>2,049</w:t>
            </w:r>
          </w:p>
          <w:p w:rsidR="005E4254" w:rsidRPr="00CE65AF" w:rsidRDefault="00EE0370" w:rsidP="00EE0370">
            <w:pPr>
              <w:ind w:firstLineChars="100" w:firstLine="210"/>
              <w:jc w:val="center"/>
              <w:rPr>
                <w:rFonts w:ascii="ＭＳ 明朝" w:hAnsi="ＭＳ 明朝"/>
                <w:szCs w:val="21"/>
              </w:rPr>
            </w:pPr>
            <w:r w:rsidRPr="00CE65AF">
              <w:rPr>
                <w:rFonts w:ascii="ＭＳ 明朝" w:hAnsi="ＭＳ 明朝" w:hint="eastAsia"/>
                <w:szCs w:val="21"/>
              </w:rPr>
              <w:t>(▲0.6%/＋2.0%)</w:t>
            </w:r>
          </w:p>
        </w:tc>
        <w:tc>
          <w:tcPr>
            <w:tcW w:w="354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5E4254" w:rsidRPr="00CE65AF" w:rsidRDefault="00EE0370" w:rsidP="00EE0370">
            <w:pPr>
              <w:ind w:firstLineChars="100" w:firstLine="210"/>
              <w:jc w:val="center"/>
              <w:rPr>
                <w:rFonts w:ascii="ＭＳ 明朝" w:hAnsi="ＭＳ 明朝"/>
                <w:szCs w:val="21"/>
              </w:rPr>
            </w:pPr>
            <w:r w:rsidRPr="00CE65AF">
              <w:rPr>
                <w:rFonts w:ascii="ＭＳ 明朝" w:hAnsi="ＭＳ 明朝" w:hint="eastAsia"/>
                <w:szCs w:val="21"/>
              </w:rPr>
              <w:t>38.0%</w:t>
            </w:r>
          </w:p>
        </w:tc>
      </w:tr>
      <w:tr w:rsidR="00EE0370" w:rsidRPr="00CE65AF" w:rsidTr="000C2825">
        <w:trPr>
          <w:trHeight w:val="5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0370" w:rsidRPr="00CE65AF" w:rsidRDefault="00EE0370" w:rsidP="00EE0370">
            <w:pPr>
              <w:ind w:firstLineChars="100" w:firstLine="210"/>
              <w:jc w:val="center"/>
              <w:rPr>
                <w:rFonts w:ascii="ＭＳ 明朝" w:hAnsi="ＭＳ 明朝"/>
                <w:szCs w:val="21"/>
              </w:rPr>
            </w:pPr>
          </w:p>
        </w:tc>
        <w:tc>
          <w:tcPr>
            <w:tcW w:w="2549" w:type="dxa"/>
            <w:tcBorders>
              <w:top w:val="single" w:sz="6" w:space="0" w:color="000000"/>
              <w:left w:val="single" w:sz="6" w:space="0" w:color="000000"/>
              <w:bottom w:val="single" w:sz="6" w:space="0" w:color="000000"/>
              <w:right w:val="single" w:sz="6" w:space="0" w:color="000000"/>
            </w:tcBorders>
            <w:shd w:val="clear" w:color="auto" w:fill="FFFF00"/>
            <w:tcMar>
              <w:top w:w="15" w:type="dxa"/>
              <w:left w:w="15" w:type="dxa"/>
              <w:bottom w:w="0" w:type="dxa"/>
              <w:right w:w="15" w:type="dxa"/>
            </w:tcMar>
            <w:vAlign w:val="center"/>
            <w:hideMark/>
          </w:tcPr>
          <w:p w:rsidR="005E4254" w:rsidRPr="00CE65AF" w:rsidRDefault="00EE0370" w:rsidP="000C2825">
            <w:pPr>
              <w:adjustRightInd w:val="0"/>
              <w:ind w:leftChars="-100" w:left="-210" w:firstLineChars="100" w:firstLine="211"/>
              <w:jc w:val="center"/>
              <w:rPr>
                <w:rFonts w:ascii="ＭＳ 明朝" w:hAnsi="ＭＳ 明朝"/>
                <w:szCs w:val="21"/>
              </w:rPr>
            </w:pPr>
            <w:r w:rsidRPr="00CE65AF">
              <w:rPr>
                <w:rFonts w:ascii="ＭＳ 明朝" w:hAnsi="ＭＳ 明朝" w:hint="eastAsia"/>
                <w:b/>
                <w:bCs/>
                <w:szCs w:val="21"/>
              </w:rPr>
              <w:t>業務その他部門</w:t>
            </w:r>
          </w:p>
        </w:tc>
        <w:tc>
          <w:tcPr>
            <w:tcW w:w="3402" w:type="dxa"/>
            <w:tcBorders>
              <w:top w:val="single" w:sz="6" w:space="0" w:color="000000"/>
              <w:left w:val="single" w:sz="6" w:space="0" w:color="000000"/>
              <w:bottom w:val="single" w:sz="6" w:space="0" w:color="000000"/>
              <w:right w:val="single" w:sz="6" w:space="0" w:color="000000"/>
            </w:tcBorders>
            <w:shd w:val="clear" w:color="auto" w:fill="FFFF00"/>
            <w:tcMar>
              <w:top w:w="15" w:type="dxa"/>
              <w:left w:w="15" w:type="dxa"/>
              <w:bottom w:w="0" w:type="dxa"/>
              <w:right w:w="15" w:type="dxa"/>
            </w:tcMar>
            <w:vAlign w:val="center"/>
            <w:hideMark/>
          </w:tcPr>
          <w:p w:rsidR="00EE0370" w:rsidRPr="00CE65AF" w:rsidRDefault="00EE0370" w:rsidP="00EE0370">
            <w:pPr>
              <w:ind w:firstLineChars="100" w:firstLine="211"/>
              <w:jc w:val="center"/>
              <w:rPr>
                <w:rFonts w:ascii="ＭＳ 明朝" w:hAnsi="ＭＳ 明朝"/>
                <w:szCs w:val="21"/>
              </w:rPr>
            </w:pPr>
            <w:r w:rsidRPr="00CE65AF">
              <w:rPr>
                <w:rFonts w:ascii="ＭＳ 明朝" w:hAnsi="ＭＳ 明朝" w:hint="eastAsia"/>
                <w:b/>
                <w:bCs/>
                <w:szCs w:val="21"/>
              </w:rPr>
              <w:t>1,402</w:t>
            </w:r>
          </w:p>
          <w:p w:rsidR="005E4254" w:rsidRPr="00CE65AF" w:rsidRDefault="00EE0370" w:rsidP="00EE0370">
            <w:pPr>
              <w:ind w:firstLineChars="100" w:firstLine="211"/>
              <w:jc w:val="center"/>
              <w:rPr>
                <w:rFonts w:ascii="ＭＳ 明朝" w:hAnsi="ＭＳ 明朝"/>
                <w:szCs w:val="21"/>
              </w:rPr>
            </w:pPr>
            <w:r w:rsidRPr="00CE65AF">
              <w:rPr>
                <w:rFonts w:ascii="ＭＳ 明朝" w:hAnsi="ＭＳ 明朝" w:hint="eastAsia"/>
                <w:b/>
                <w:bCs/>
                <w:szCs w:val="21"/>
              </w:rPr>
              <w:t>(＋2.4%/＋24.6%)</w:t>
            </w:r>
          </w:p>
        </w:tc>
        <w:tc>
          <w:tcPr>
            <w:tcW w:w="3543" w:type="dxa"/>
            <w:tcBorders>
              <w:top w:val="single" w:sz="6" w:space="0" w:color="000000"/>
              <w:left w:val="single" w:sz="6" w:space="0" w:color="000000"/>
              <w:bottom w:val="single" w:sz="6" w:space="0" w:color="000000"/>
              <w:right w:val="single" w:sz="6" w:space="0" w:color="000000"/>
            </w:tcBorders>
            <w:shd w:val="clear" w:color="auto" w:fill="FFFF00"/>
            <w:tcMar>
              <w:top w:w="15" w:type="dxa"/>
              <w:left w:w="15" w:type="dxa"/>
              <w:bottom w:w="0" w:type="dxa"/>
              <w:right w:w="15" w:type="dxa"/>
            </w:tcMar>
            <w:vAlign w:val="center"/>
            <w:hideMark/>
          </w:tcPr>
          <w:p w:rsidR="005E4254" w:rsidRPr="00CE65AF" w:rsidRDefault="00EE0370" w:rsidP="00EE0370">
            <w:pPr>
              <w:ind w:firstLineChars="100" w:firstLine="211"/>
              <w:jc w:val="center"/>
              <w:rPr>
                <w:rFonts w:ascii="ＭＳ 明朝" w:hAnsi="ＭＳ 明朝"/>
                <w:szCs w:val="21"/>
              </w:rPr>
            </w:pPr>
            <w:r w:rsidRPr="00CE65AF">
              <w:rPr>
                <w:rFonts w:ascii="ＭＳ 明朝" w:hAnsi="ＭＳ 明朝" w:hint="eastAsia"/>
                <w:b/>
                <w:bCs/>
                <w:szCs w:val="21"/>
              </w:rPr>
              <w:t>26.0%</w:t>
            </w:r>
          </w:p>
        </w:tc>
      </w:tr>
      <w:tr w:rsidR="00EE0370" w:rsidRPr="00CE65AF" w:rsidTr="000C2825">
        <w:trPr>
          <w:trHeight w:val="5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0370" w:rsidRPr="00CE65AF" w:rsidRDefault="00EE0370" w:rsidP="00EE0370">
            <w:pPr>
              <w:ind w:firstLineChars="100" w:firstLine="210"/>
              <w:jc w:val="center"/>
              <w:rPr>
                <w:rFonts w:ascii="ＭＳ 明朝" w:hAnsi="ＭＳ 明朝"/>
                <w:szCs w:val="21"/>
              </w:rPr>
            </w:pPr>
          </w:p>
        </w:tc>
        <w:tc>
          <w:tcPr>
            <w:tcW w:w="2549" w:type="dxa"/>
            <w:tcBorders>
              <w:top w:val="single" w:sz="6" w:space="0" w:color="000000"/>
              <w:left w:val="single" w:sz="6" w:space="0" w:color="000000"/>
              <w:bottom w:val="single" w:sz="6" w:space="0" w:color="000000"/>
              <w:right w:val="single" w:sz="6" w:space="0" w:color="000000"/>
            </w:tcBorders>
            <w:shd w:val="clear" w:color="auto" w:fill="FFFF00"/>
            <w:tcMar>
              <w:top w:w="15" w:type="dxa"/>
              <w:left w:w="15" w:type="dxa"/>
              <w:bottom w:w="0" w:type="dxa"/>
              <w:right w:w="15" w:type="dxa"/>
            </w:tcMar>
            <w:vAlign w:val="center"/>
            <w:hideMark/>
          </w:tcPr>
          <w:p w:rsidR="005E4254" w:rsidRPr="00CE65AF" w:rsidRDefault="00EE0370" w:rsidP="000C2825">
            <w:pPr>
              <w:adjustRightInd w:val="0"/>
              <w:ind w:leftChars="-100" w:left="-210" w:firstLineChars="100" w:firstLine="211"/>
              <w:jc w:val="center"/>
              <w:rPr>
                <w:rFonts w:ascii="ＭＳ 明朝" w:hAnsi="ＭＳ 明朝"/>
                <w:szCs w:val="21"/>
              </w:rPr>
            </w:pPr>
            <w:r w:rsidRPr="00CE65AF">
              <w:rPr>
                <w:rFonts w:ascii="ＭＳ 明朝" w:hAnsi="ＭＳ 明朝" w:hint="eastAsia"/>
                <w:b/>
                <w:bCs/>
                <w:szCs w:val="21"/>
              </w:rPr>
              <w:t>家庭部門</w:t>
            </w:r>
          </w:p>
        </w:tc>
        <w:tc>
          <w:tcPr>
            <w:tcW w:w="3402" w:type="dxa"/>
            <w:tcBorders>
              <w:top w:val="single" w:sz="6" w:space="0" w:color="000000"/>
              <w:left w:val="single" w:sz="6" w:space="0" w:color="000000"/>
              <w:bottom w:val="single" w:sz="6" w:space="0" w:color="000000"/>
              <w:right w:val="single" w:sz="6" w:space="0" w:color="000000"/>
            </w:tcBorders>
            <w:shd w:val="clear" w:color="auto" w:fill="FFFF00"/>
            <w:tcMar>
              <w:top w:w="15" w:type="dxa"/>
              <w:left w:w="15" w:type="dxa"/>
              <w:bottom w:w="0" w:type="dxa"/>
              <w:right w:w="15" w:type="dxa"/>
            </w:tcMar>
            <w:vAlign w:val="center"/>
            <w:hideMark/>
          </w:tcPr>
          <w:p w:rsidR="00EE0370" w:rsidRPr="00CE65AF" w:rsidRDefault="00EE0370" w:rsidP="00EE0370">
            <w:pPr>
              <w:ind w:firstLineChars="100" w:firstLine="211"/>
              <w:jc w:val="center"/>
              <w:rPr>
                <w:rFonts w:ascii="ＭＳ 明朝" w:hAnsi="ＭＳ 明朝"/>
                <w:szCs w:val="21"/>
              </w:rPr>
            </w:pPr>
            <w:r w:rsidRPr="00CE65AF">
              <w:rPr>
                <w:rFonts w:ascii="ＭＳ 明朝" w:hAnsi="ＭＳ 明朝" w:hint="eastAsia"/>
                <w:b/>
                <w:bCs/>
                <w:szCs w:val="21"/>
              </w:rPr>
              <w:t>1,213</w:t>
            </w:r>
          </w:p>
          <w:p w:rsidR="005E4254" w:rsidRPr="00CE65AF" w:rsidRDefault="00EE0370" w:rsidP="00EE0370">
            <w:pPr>
              <w:ind w:firstLineChars="100" w:firstLine="211"/>
              <w:jc w:val="center"/>
              <w:rPr>
                <w:rFonts w:ascii="ＭＳ 明朝" w:hAnsi="ＭＳ 明朝"/>
                <w:szCs w:val="21"/>
              </w:rPr>
            </w:pPr>
            <w:r w:rsidRPr="00CE65AF">
              <w:rPr>
                <w:rFonts w:ascii="ＭＳ 明朝" w:hAnsi="ＭＳ 明朝" w:hint="eastAsia"/>
                <w:b/>
                <w:bCs/>
                <w:szCs w:val="21"/>
              </w:rPr>
              <w:t>(▲1.3%/＋18.3%)</w:t>
            </w:r>
          </w:p>
        </w:tc>
        <w:tc>
          <w:tcPr>
            <w:tcW w:w="3543" w:type="dxa"/>
            <w:tcBorders>
              <w:top w:val="single" w:sz="6" w:space="0" w:color="000000"/>
              <w:left w:val="single" w:sz="6" w:space="0" w:color="000000"/>
              <w:bottom w:val="single" w:sz="6" w:space="0" w:color="000000"/>
              <w:right w:val="single" w:sz="6" w:space="0" w:color="000000"/>
            </w:tcBorders>
            <w:shd w:val="clear" w:color="auto" w:fill="FFFF00"/>
            <w:tcMar>
              <w:top w:w="15" w:type="dxa"/>
              <w:left w:w="15" w:type="dxa"/>
              <w:bottom w:w="0" w:type="dxa"/>
              <w:right w:w="15" w:type="dxa"/>
            </w:tcMar>
            <w:vAlign w:val="center"/>
            <w:hideMark/>
          </w:tcPr>
          <w:p w:rsidR="005E4254" w:rsidRPr="00CE65AF" w:rsidRDefault="00EE0370" w:rsidP="00EE0370">
            <w:pPr>
              <w:ind w:firstLineChars="100" w:firstLine="211"/>
              <w:jc w:val="center"/>
              <w:rPr>
                <w:rFonts w:ascii="ＭＳ 明朝" w:hAnsi="ＭＳ 明朝"/>
                <w:szCs w:val="21"/>
              </w:rPr>
            </w:pPr>
            <w:r w:rsidRPr="00CE65AF">
              <w:rPr>
                <w:rFonts w:ascii="ＭＳ 明朝" w:hAnsi="ＭＳ 明朝" w:hint="eastAsia"/>
                <w:b/>
                <w:bCs/>
                <w:szCs w:val="21"/>
              </w:rPr>
              <w:t>22.5%</w:t>
            </w:r>
          </w:p>
        </w:tc>
      </w:tr>
      <w:tr w:rsidR="00EE0370" w:rsidRPr="00CE65AF" w:rsidTr="000C2825">
        <w:trPr>
          <w:trHeight w:val="5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0370" w:rsidRPr="00CE65AF" w:rsidRDefault="00EE0370" w:rsidP="00EE0370">
            <w:pPr>
              <w:ind w:firstLineChars="100" w:firstLine="210"/>
              <w:jc w:val="center"/>
              <w:rPr>
                <w:rFonts w:ascii="ＭＳ 明朝" w:hAnsi="ＭＳ 明朝"/>
                <w:szCs w:val="21"/>
              </w:rPr>
            </w:pPr>
          </w:p>
        </w:tc>
        <w:tc>
          <w:tcPr>
            <w:tcW w:w="254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5E4254" w:rsidRPr="00CE65AF" w:rsidRDefault="00EE0370" w:rsidP="000C2825">
            <w:pPr>
              <w:adjustRightInd w:val="0"/>
              <w:ind w:leftChars="-100" w:left="-210" w:firstLineChars="100" w:firstLine="210"/>
              <w:jc w:val="center"/>
              <w:rPr>
                <w:rFonts w:ascii="ＭＳ 明朝" w:hAnsi="ＭＳ 明朝"/>
                <w:szCs w:val="21"/>
              </w:rPr>
            </w:pPr>
            <w:r w:rsidRPr="00CE65AF">
              <w:rPr>
                <w:rFonts w:ascii="ＭＳ 明朝" w:hAnsi="ＭＳ 明朝" w:hint="eastAsia"/>
                <w:szCs w:val="21"/>
              </w:rPr>
              <w:t>運輸部門</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EE0370" w:rsidRPr="00CE65AF" w:rsidRDefault="00EE0370" w:rsidP="00EE0370">
            <w:pPr>
              <w:ind w:firstLineChars="100" w:firstLine="210"/>
              <w:jc w:val="center"/>
              <w:rPr>
                <w:rFonts w:ascii="ＭＳ 明朝" w:hAnsi="ＭＳ 明朝"/>
                <w:szCs w:val="21"/>
              </w:rPr>
            </w:pPr>
            <w:r w:rsidRPr="00CE65AF">
              <w:rPr>
                <w:rFonts w:ascii="ＭＳ 明朝" w:hAnsi="ＭＳ 明朝" w:hint="eastAsia"/>
                <w:szCs w:val="21"/>
              </w:rPr>
              <w:t>686</w:t>
            </w:r>
          </w:p>
          <w:p w:rsidR="005E4254" w:rsidRPr="00CE65AF" w:rsidRDefault="00EE0370" w:rsidP="00EE0370">
            <w:pPr>
              <w:ind w:firstLineChars="100" w:firstLine="210"/>
              <w:jc w:val="center"/>
              <w:rPr>
                <w:rFonts w:ascii="ＭＳ 明朝" w:hAnsi="ＭＳ 明朝"/>
                <w:szCs w:val="21"/>
              </w:rPr>
            </w:pPr>
            <w:r w:rsidRPr="00CE65AF">
              <w:rPr>
                <w:rFonts w:ascii="ＭＳ 明朝" w:hAnsi="ＭＳ 明朝" w:hint="eastAsia"/>
                <w:szCs w:val="21"/>
              </w:rPr>
              <w:t>(▲1.3%/▲22.2%)</w:t>
            </w:r>
          </w:p>
        </w:tc>
        <w:tc>
          <w:tcPr>
            <w:tcW w:w="354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5E4254" w:rsidRPr="00CE65AF" w:rsidRDefault="00EE0370" w:rsidP="00EE0370">
            <w:pPr>
              <w:ind w:firstLineChars="100" w:firstLine="210"/>
              <w:jc w:val="center"/>
              <w:rPr>
                <w:rFonts w:ascii="ＭＳ 明朝" w:hAnsi="ＭＳ 明朝"/>
                <w:szCs w:val="21"/>
              </w:rPr>
            </w:pPr>
            <w:r w:rsidRPr="00CE65AF">
              <w:rPr>
                <w:rFonts w:ascii="ＭＳ 明朝" w:hAnsi="ＭＳ 明朝" w:hint="eastAsia"/>
                <w:szCs w:val="21"/>
              </w:rPr>
              <w:t>12.7%</w:t>
            </w:r>
          </w:p>
        </w:tc>
      </w:tr>
      <w:tr w:rsidR="00EE0370" w:rsidRPr="00CE65AF" w:rsidTr="000C2825">
        <w:trPr>
          <w:trHeight w:val="5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0370" w:rsidRPr="00CE65AF" w:rsidRDefault="00EE0370" w:rsidP="00EE0370">
            <w:pPr>
              <w:ind w:firstLineChars="100" w:firstLine="210"/>
              <w:jc w:val="center"/>
              <w:rPr>
                <w:rFonts w:ascii="ＭＳ 明朝" w:hAnsi="ＭＳ 明朝"/>
                <w:szCs w:val="21"/>
              </w:rPr>
            </w:pPr>
          </w:p>
        </w:tc>
        <w:tc>
          <w:tcPr>
            <w:tcW w:w="254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5E4254" w:rsidRPr="00CE65AF" w:rsidRDefault="00EE0370" w:rsidP="000C2825">
            <w:pPr>
              <w:adjustRightInd w:val="0"/>
              <w:ind w:leftChars="-100" w:left="-210" w:firstLineChars="100" w:firstLine="210"/>
              <w:jc w:val="center"/>
              <w:rPr>
                <w:rFonts w:ascii="ＭＳ 明朝" w:hAnsi="ＭＳ 明朝"/>
                <w:szCs w:val="21"/>
              </w:rPr>
            </w:pPr>
            <w:r w:rsidRPr="00CE65AF">
              <w:rPr>
                <w:rFonts w:ascii="ＭＳ 明朝" w:hAnsi="ＭＳ 明朝" w:hint="eastAsia"/>
                <w:szCs w:val="21"/>
              </w:rPr>
              <w:t>エネルギー転換部門</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EE0370" w:rsidRPr="00CE65AF" w:rsidRDefault="00EE0370" w:rsidP="00EE0370">
            <w:pPr>
              <w:ind w:firstLineChars="100" w:firstLine="210"/>
              <w:jc w:val="center"/>
              <w:rPr>
                <w:rFonts w:ascii="ＭＳ 明朝" w:hAnsi="ＭＳ 明朝"/>
                <w:szCs w:val="21"/>
              </w:rPr>
            </w:pPr>
            <w:r w:rsidRPr="00CE65AF">
              <w:rPr>
                <w:rFonts w:ascii="ＭＳ 明朝" w:hAnsi="ＭＳ 明朝" w:hint="eastAsia"/>
                <w:szCs w:val="21"/>
              </w:rPr>
              <w:t>41</w:t>
            </w:r>
          </w:p>
          <w:p w:rsidR="005E4254" w:rsidRPr="00CE65AF" w:rsidRDefault="00EE0370" w:rsidP="00833EEC">
            <w:pPr>
              <w:ind w:firstLineChars="100" w:firstLine="210"/>
              <w:jc w:val="center"/>
              <w:rPr>
                <w:rFonts w:ascii="ＭＳ 明朝" w:hAnsi="ＭＳ 明朝"/>
                <w:szCs w:val="21"/>
              </w:rPr>
            </w:pPr>
            <w:r w:rsidRPr="00065B58">
              <w:rPr>
                <w:rFonts w:ascii="ＭＳ 明朝" w:hAnsi="ＭＳ 明朝" w:hint="eastAsia"/>
                <w:color w:val="000000" w:themeColor="text1"/>
                <w:szCs w:val="21"/>
              </w:rPr>
              <w:t>(▲2.</w:t>
            </w:r>
            <w:r w:rsidR="00833EEC" w:rsidRPr="00065B58">
              <w:rPr>
                <w:rFonts w:ascii="ＭＳ 明朝" w:hAnsi="ＭＳ 明朝" w:hint="eastAsia"/>
                <w:color w:val="000000" w:themeColor="text1"/>
                <w:szCs w:val="21"/>
              </w:rPr>
              <w:t>1</w:t>
            </w:r>
            <w:r w:rsidRPr="00065B58">
              <w:rPr>
                <w:rFonts w:ascii="ＭＳ 明朝" w:hAnsi="ＭＳ 明朝" w:hint="eastAsia"/>
                <w:color w:val="000000" w:themeColor="text1"/>
                <w:szCs w:val="21"/>
              </w:rPr>
              <w:t>%/＋5</w:t>
            </w:r>
            <w:r w:rsidR="00833EEC" w:rsidRPr="00065B58">
              <w:rPr>
                <w:rFonts w:ascii="ＭＳ 明朝" w:hAnsi="ＭＳ 明朝" w:hint="eastAsia"/>
                <w:color w:val="000000" w:themeColor="text1"/>
                <w:szCs w:val="21"/>
              </w:rPr>
              <w:t>3.1</w:t>
            </w:r>
            <w:r w:rsidRPr="00065B58">
              <w:rPr>
                <w:rFonts w:ascii="ＭＳ 明朝" w:hAnsi="ＭＳ 明朝" w:hint="eastAsia"/>
                <w:color w:val="000000" w:themeColor="text1"/>
                <w:szCs w:val="21"/>
              </w:rPr>
              <w:t>%)</w:t>
            </w:r>
          </w:p>
        </w:tc>
        <w:tc>
          <w:tcPr>
            <w:tcW w:w="354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5E4254" w:rsidRPr="00CE65AF" w:rsidRDefault="00EE0370" w:rsidP="00EE0370">
            <w:pPr>
              <w:ind w:firstLineChars="100" w:firstLine="210"/>
              <w:jc w:val="center"/>
              <w:rPr>
                <w:rFonts w:ascii="ＭＳ 明朝" w:hAnsi="ＭＳ 明朝"/>
                <w:szCs w:val="21"/>
              </w:rPr>
            </w:pPr>
            <w:r w:rsidRPr="00CE65AF">
              <w:rPr>
                <w:rFonts w:ascii="ＭＳ 明朝" w:hAnsi="ＭＳ 明朝" w:hint="eastAsia"/>
                <w:szCs w:val="21"/>
              </w:rPr>
              <w:t>0.8%</w:t>
            </w:r>
          </w:p>
        </w:tc>
      </w:tr>
    </w:tbl>
    <w:p w:rsidR="00464D40" w:rsidRDefault="007A1667" w:rsidP="007A1667">
      <w:pPr>
        <w:tabs>
          <w:tab w:val="left" w:pos="2741"/>
          <w:tab w:val="left" w:pos="2818"/>
        </w:tabs>
        <w:spacing w:line="400" w:lineRule="exact"/>
        <w:ind w:firstLineChars="100" w:firstLine="210"/>
        <w:jc w:val="left"/>
        <w:rPr>
          <w:kern w:val="0"/>
        </w:rPr>
      </w:pPr>
      <w:r w:rsidRPr="00CE65AF">
        <w:rPr>
          <w:rFonts w:ascii="ＭＳ 明朝" w:hAnsi="ＭＳ 明朝" w:cs="ＭＳ Ｐゴシック" w:hint="eastAsia"/>
          <w:color w:val="000000"/>
          <w:kern w:val="0"/>
          <w:szCs w:val="21"/>
        </w:rPr>
        <w:t>なお、</w:t>
      </w:r>
      <w:r w:rsidR="00464D40">
        <w:rPr>
          <w:rFonts w:hint="eastAsia"/>
          <w:kern w:val="0"/>
        </w:rPr>
        <w:t>東日本大震災後に原子力発電所の運転停止による火力発電の増加によって化石燃料消費量が増加したことに伴い、</w:t>
      </w:r>
      <w:r w:rsidR="00464D40" w:rsidRPr="00CE65AF">
        <w:rPr>
          <w:rFonts w:ascii="ＭＳ 明朝" w:hAnsi="ＭＳ 明朝" w:cs="ＭＳ Ｐゴシック" w:hint="eastAsia"/>
          <w:color w:val="000000"/>
          <w:kern w:val="0"/>
          <w:szCs w:val="21"/>
        </w:rPr>
        <w:t>関西電力株式会社の電気の排出係数</w:t>
      </w:r>
      <w:r w:rsidR="000F4C9D">
        <w:rPr>
          <w:rFonts w:hint="eastAsia"/>
          <w:kern w:val="0"/>
        </w:rPr>
        <w:t>が増加している</w:t>
      </w:r>
      <w:r w:rsidR="00464D40">
        <w:rPr>
          <w:rFonts w:hint="eastAsia"/>
          <w:kern w:val="0"/>
        </w:rPr>
        <w:t>。</w:t>
      </w:r>
    </w:p>
    <w:p w:rsidR="00464D40" w:rsidRPr="00CE65AF" w:rsidRDefault="00464D40" w:rsidP="007A1667">
      <w:pPr>
        <w:tabs>
          <w:tab w:val="left" w:pos="2741"/>
          <w:tab w:val="left" w:pos="2818"/>
        </w:tabs>
        <w:spacing w:line="400" w:lineRule="exact"/>
        <w:ind w:firstLineChars="100" w:firstLine="210"/>
        <w:jc w:val="left"/>
        <w:rPr>
          <w:rFonts w:ascii="ＭＳ 明朝" w:hAnsi="ＭＳ 明朝" w:cs="ＭＳ Ｐゴシック"/>
          <w:color w:val="000000"/>
          <w:kern w:val="0"/>
          <w:szCs w:val="21"/>
        </w:rPr>
      </w:pPr>
      <w:r w:rsidRPr="00CE65AF">
        <w:rPr>
          <w:rFonts w:ascii="ＭＳ 明朝" w:hAnsi="ＭＳ 明朝" w:cs="ＭＳ Ｐゴシック" w:hint="eastAsia"/>
          <w:color w:val="000000"/>
          <w:kern w:val="0"/>
          <w:szCs w:val="21"/>
        </w:rPr>
        <w:t>2013年度の</w:t>
      </w:r>
      <w:r w:rsidR="007A1667" w:rsidRPr="00CE65AF">
        <w:rPr>
          <w:rFonts w:ascii="ＭＳ 明朝" w:hAnsi="ＭＳ 明朝" w:cs="ＭＳ Ｐゴシック" w:hint="eastAsia"/>
          <w:color w:val="000000"/>
          <w:kern w:val="0"/>
          <w:szCs w:val="21"/>
        </w:rPr>
        <w:t>関西電力</w:t>
      </w:r>
      <w:r w:rsidR="00ED60BB" w:rsidRPr="00CE65AF">
        <w:rPr>
          <w:rFonts w:ascii="ＭＳ 明朝" w:hAnsi="ＭＳ 明朝" w:cs="ＭＳ Ｐゴシック" w:hint="eastAsia"/>
          <w:color w:val="000000"/>
          <w:kern w:val="0"/>
          <w:szCs w:val="21"/>
        </w:rPr>
        <w:t>株式会社</w:t>
      </w:r>
      <w:r w:rsidR="007A1667" w:rsidRPr="00CE65AF">
        <w:rPr>
          <w:rFonts w:ascii="ＭＳ 明朝" w:hAnsi="ＭＳ 明朝" w:cs="ＭＳ Ｐゴシック" w:hint="eastAsia"/>
          <w:color w:val="000000"/>
          <w:kern w:val="0"/>
          <w:szCs w:val="21"/>
        </w:rPr>
        <w:t>の電気の排出係数</w:t>
      </w:r>
      <w:r w:rsidR="00ED60BB" w:rsidRPr="00CE65AF">
        <w:rPr>
          <w:rFonts w:ascii="ＭＳ 明朝" w:hAnsi="ＭＳ 明朝" w:cs="ＭＳ Ｐゴシック" w:hint="eastAsia"/>
          <w:color w:val="000000"/>
          <w:kern w:val="0"/>
          <w:szCs w:val="21"/>
        </w:rPr>
        <w:t>は</w:t>
      </w:r>
      <w:r w:rsidRPr="00CE65AF">
        <w:rPr>
          <w:rFonts w:ascii="ＭＳ 明朝" w:hAnsi="ＭＳ 明朝" w:cs="ＭＳ Ｐゴシック" w:hint="eastAsia"/>
          <w:color w:val="000000"/>
          <w:kern w:val="0"/>
          <w:szCs w:val="21"/>
        </w:rPr>
        <w:t>、2005年度と比べ、45.8</w:t>
      </w:r>
      <w:r w:rsidR="00C674F6">
        <w:rPr>
          <w:rFonts w:ascii="ＭＳ 明朝" w:hAnsi="ＭＳ 明朝" w:cs="ＭＳ Ｐゴシック" w:hint="eastAsia"/>
          <w:color w:val="000000"/>
          <w:kern w:val="0"/>
          <w:szCs w:val="21"/>
        </w:rPr>
        <w:t>％増加し</w:t>
      </w:r>
      <w:r w:rsidR="000F4C9D">
        <w:rPr>
          <w:rFonts w:ascii="ＭＳ 明朝" w:hAnsi="ＭＳ 明朝" w:cs="ＭＳ Ｐゴシック" w:hint="eastAsia"/>
          <w:color w:val="000000"/>
          <w:kern w:val="0"/>
          <w:szCs w:val="21"/>
        </w:rPr>
        <w:t>ている</w:t>
      </w:r>
      <w:r w:rsidRPr="00CE65AF">
        <w:rPr>
          <w:rFonts w:ascii="ＭＳ 明朝" w:hAnsi="ＭＳ 明朝" w:cs="ＭＳ Ｐゴシック" w:hint="eastAsia"/>
          <w:color w:val="000000"/>
          <w:kern w:val="0"/>
          <w:szCs w:val="21"/>
        </w:rPr>
        <w:t>（表２）。</w:t>
      </w:r>
    </w:p>
    <w:p w:rsidR="00ED60BB" w:rsidRPr="00464D40" w:rsidRDefault="00464D40" w:rsidP="00464D40">
      <w:pPr>
        <w:spacing w:beforeLines="50" w:before="180"/>
        <w:ind w:firstLineChars="100" w:firstLine="211"/>
        <w:jc w:val="center"/>
        <w:rPr>
          <w:rFonts w:ascii="ＭＳ ゴシック" w:eastAsia="ＭＳ ゴシック" w:hAnsi="ＭＳ ゴシック"/>
          <w:b/>
          <w:szCs w:val="21"/>
        </w:rPr>
      </w:pPr>
      <w:r>
        <w:rPr>
          <w:rFonts w:ascii="ＭＳ ゴシック" w:eastAsia="ＭＳ ゴシック" w:hAnsi="ＭＳ ゴシック" w:hint="eastAsia"/>
          <w:b/>
          <w:szCs w:val="21"/>
        </w:rPr>
        <w:t>表２</w:t>
      </w:r>
      <w:r w:rsidRPr="007A1667">
        <w:rPr>
          <w:rFonts w:ascii="ＭＳ ゴシック" w:eastAsia="ＭＳ ゴシック" w:hAnsi="ＭＳ ゴシック" w:hint="eastAsia"/>
          <w:b/>
          <w:szCs w:val="21"/>
        </w:rPr>
        <w:t xml:space="preserve">　</w:t>
      </w:r>
      <w:r w:rsidR="00892F43" w:rsidRPr="00892F43">
        <w:rPr>
          <w:rFonts w:ascii="ＭＳ ゴシック" w:eastAsia="ＭＳ ゴシック" w:hAnsi="ＭＳ ゴシック" w:hint="eastAsia"/>
          <w:b/>
          <w:szCs w:val="21"/>
        </w:rPr>
        <w:t>関西電力株式会社の電気の排出係数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693"/>
        <w:gridCol w:w="2693"/>
        <w:gridCol w:w="2693"/>
      </w:tblGrid>
      <w:tr w:rsidR="00ED60BB" w:rsidRPr="00CE65AF" w:rsidTr="00CE65AF">
        <w:tc>
          <w:tcPr>
            <w:tcW w:w="1560" w:type="dxa"/>
            <w:shd w:val="clear" w:color="auto" w:fill="auto"/>
          </w:tcPr>
          <w:p w:rsidR="00ED60BB" w:rsidRPr="00CE65AF" w:rsidRDefault="00ED60BB" w:rsidP="00CE65AF">
            <w:pPr>
              <w:tabs>
                <w:tab w:val="left" w:pos="2741"/>
                <w:tab w:val="left" w:pos="2818"/>
              </w:tabs>
              <w:spacing w:line="400" w:lineRule="exact"/>
              <w:jc w:val="left"/>
              <w:rPr>
                <w:rFonts w:ascii="ＭＳ 明朝" w:hAnsi="ＭＳ 明朝" w:cs="ＭＳ Ｐゴシック"/>
                <w:color w:val="000000"/>
                <w:kern w:val="0"/>
                <w:szCs w:val="21"/>
              </w:rPr>
            </w:pPr>
          </w:p>
        </w:tc>
        <w:tc>
          <w:tcPr>
            <w:tcW w:w="2693" w:type="dxa"/>
            <w:shd w:val="clear" w:color="auto" w:fill="auto"/>
          </w:tcPr>
          <w:p w:rsidR="00ED60BB" w:rsidRPr="00CE65AF" w:rsidRDefault="00ED60BB" w:rsidP="00CE65AF">
            <w:pPr>
              <w:tabs>
                <w:tab w:val="left" w:pos="2741"/>
                <w:tab w:val="left" w:pos="2818"/>
              </w:tabs>
              <w:spacing w:line="400" w:lineRule="exact"/>
              <w:jc w:val="left"/>
              <w:rPr>
                <w:rFonts w:ascii="ＭＳ 明朝" w:hAnsi="ＭＳ 明朝" w:cs="ＭＳ Ｐゴシック"/>
                <w:color w:val="000000"/>
                <w:kern w:val="0"/>
                <w:szCs w:val="21"/>
              </w:rPr>
            </w:pPr>
            <w:r w:rsidRPr="00CE65AF">
              <w:rPr>
                <w:rFonts w:ascii="ＭＳ 明朝" w:hAnsi="ＭＳ 明朝" w:cs="ＭＳ Ｐゴシック" w:hint="eastAsia"/>
                <w:color w:val="000000"/>
                <w:kern w:val="0"/>
                <w:szCs w:val="21"/>
              </w:rPr>
              <w:t>2005年度</w:t>
            </w:r>
          </w:p>
        </w:tc>
        <w:tc>
          <w:tcPr>
            <w:tcW w:w="2693" w:type="dxa"/>
            <w:shd w:val="clear" w:color="auto" w:fill="auto"/>
          </w:tcPr>
          <w:p w:rsidR="00ED60BB" w:rsidRPr="00CE65AF" w:rsidRDefault="00ED60BB" w:rsidP="00CE65AF">
            <w:pPr>
              <w:tabs>
                <w:tab w:val="left" w:pos="2741"/>
                <w:tab w:val="left" w:pos="2818"/>
              </w:tabs>
              <w:spacing w:line="400" w:lineRule="exact"/>
              <w:jc w:val="left"/>
              <w:rPr>
                <w:rFonts w:ascii="ＭＳ 明朝" w:hAnsi="ＭＳ 明朝" w:cs="ＭＳ Ｐゴシック"/>
                <w:color w:val="000000"/>
                <w:kern w:val="0"/>
                <w:szCs w:val="21"/>
              </w:rPr>
            </w:pPr>
            <w:r w:rsidRPr="00CE65AF">
              <w:rPr>
                <w:rFonts w:ascii="ＭＳ 明朝" w:hAnsi="ＭＳ 明朝" w:cs="ＭＳ Ｐゴシック" w:hint="eastAsia"/>
                <w:color w:val="000000"/>
                <w:kern w:val="0"/>
                <w:szCs w:val="21"/>
              </w:rPr>
              <w:t>2012年度</w:t>
            </w:r>
          </w:p>
        </w:tc>
        <w:tc>
          <w:tcPr>
            <w:tcW w:w="2693" w:type="dxa"/>
            <w:shd w:val="clear" w:color="auto" w:fill="auto"/>
          </w:tcPr>
          <w:p w:rsidR="00ED60BB" w:rsidRPr="00CE65AF" w:rsidRDefault="00ED60BB" w:rsidP="00CE65AF">
            <w:pPr>
              <w:tabs>
                <w:tab w:val="left" w:pos="2741"/>
                <w:tab w:val="left" w:pos="2818"/>
              </w:tabs>
              <w:spacing w:line="400" w:lineRule="exact"/>
              <w:jc w:val="left"/>
              <w:rPr>
                <w:rFonts w:ascii="ＭＳ 明朝" w:hAnsi="ＭＳ 明朝" w:cs="ＭＳ Ｐゴシック"/>
                <w:color w:val="000000"/>
                <w:kern w:val="0"/>
                <w:szCs w:val="21"/>
              </w:rPr>
            </w:pPr>
            <w:r w:rsidRPr="00CE65AF">
              <w:rPr>
                <w:rFonts w:ascii="ＭＳ 明朝" w:hAnsi="ＭＳ 明朝" w:cs="ＭＳ Ｐゴシック" w:hint="eastAsia"/>
                <w:color w:val="000000"/>
                <w:kern w:val="0"/>
                <w:szCs w:val="21"/>
              </w:rPr>
              <w:t>2013年度</w:t>
            </w:r>
          </w:p>
          <w:p w:rsidR="00ED60BB" w:rsidRPr="00CE65AF" w:rsidRDefault="00ED60BB" w:rsidP="00CE65AF">
            <w:pPr>
              <w:tabs>
                <w:tab w:val="left" w:pos="2741"/>
                <w:tab w:val="left" w:pos="2818"/>
              </w:tabs>
              <w:spacing w:line="400" w:lineRule="exact"/>
              <w:jc w:val="left"/>
              <w:rPr>
                <w:rFonts w:ascii="ＭＳ 明朝" w:hAnsi="ＭＳ 明朝" w:cs="ＭＳ Ｐゴシック"/>
                <w:color w:val="000000"/>
                <w:kern w:val="0"/>
                <w:szCs w:val="21"/>
              </w:rPr>
            </w:pPr>
            <w:r w:rsidRPr="00CE65AF">
              <w:rPr>
                <w:rFonts w:ascii="ＭＳ 明朝" w:hAnsi="ＭＳ 明朝" w:hint="eastAsia"/>
                <w:szCs w:val="21"/>
              </w:rPr>
              <w:t>(2012年度比/2005年度比)</w:t>
            </w:r>
          </w:p>
        </w:tc>
      </w:tr>
      <w:tr w:rsidR="00ED60BB" w:rsidRPr="00CE65AF" w:rsidTr="00CE65AF">
        <w:tc>
          <w:tcPr>
            <w:tcW w:w="1560" w:type="dxa"/>
            <w:shd w:val="clear" w:color="auto" w:fill="auto"/>
          </w:tcPr>
          <w:p w:rsidR="00ED60BB" w:rsidRPr="00CE65AF" w:rsidRDefault="00ED60BB" w:rsidP="00CE65AF">
            <w:pPr>
              <w:tabs>
                <w:tab w:val="left" w:pos="2741"/>
                <w:tab w:val="left" w:pos="2818"/>
              </w:tabs>
              <w:spacing w:line="400" w:lineRule="exact"/>
              <w:jc w:val="left"/>
              <w:rPr>
                <w:rFonts w:ascii="ＭＳ 明朝" w:hAnsi="ＭＳ 明朝" w:cs="ＭＳ Ｐゴシック"/>
                <w:color w:val="000000"/>
                <w:kern w:val="0"/>
                <w:szCs w:val="21"/>
              </w:rPr>
            </w:pPr>
            <w:r w:rsidRPr="00CE65AF">
              <w:rPr>
                <w:rFonts w:ascii="ＭＳ 明朝" w:hAnsi="ＭＳ 明朝" w:cs="ＭＳ Ｐゴシック" w:hint="eastAsia"/>
                <w:color w:val="000000"/>
                <w:kern w:val="0"/>
                <w:szCs w:val="21"/>
              </w:rPr>
              <w:t>関西電力（株）の実排出係数</w:t>
            </w:r>
          </w:p>
        </w:tc>
        <w:tc>
          <w:tcPr>
            <w:tcW w:w="2693" w:type="dxa"/>
            <w:shd w:val="clear" w:color="auto" w:fill="auto"/>
          </w:tcPr>
          <w:p w:rsidR="00ED60BB" w:rsidRPr="00CE65AF" w:rsidRDefault="00ED60BB" w:rsidP="00CE65AF">
            <w:pPr>
              <w:tabs>
                <w:tab w:val="left" w:pos="2741"/>
                <w:tab w:val="left" w:pos="2818"/>
              </w:tabs>
              <w:spacing w:line="400" w:lineRule="exact"/>
              <w:jc w:val="center"/>
              <w:rPr>
                <w:rFonts w:ascii="ＭＳ 明朝" w:hAnsi="ＭＳ 明朝" w:cs="ＭＳ Ｐゴシック"/>
                <w:color w:val="000000"/>
                <w:kern w:val="0"/>
                <w:szCs w:val="21"/>
              </w:rPr>
            </w:pPr>
            <w:r w:rsidRPr="00CE65AF">
              <w:rPr>
                <w:rFonts w:ascii="ＭＳ 明朝" w:hAnsi="ＭＳ 明朝" w:cs="ＭＳ Ｐゴシック" w:hint="eastAsia"/>
                <w:color w:val="000000"/>
                <w:kern w:val="0"/>
                <w:szCs w:val="21"/>
              </w:rPr>
              <w:t>0.</w:t>
            </w:r>
            <w:r w:rsidRPr="00CE65AF">
              <w:rPr>
                <w:rFonts w:ascii="ＭＳ 明朝" w:hAnsi="ＭＳ 明朝" w:cs="ＭＳ Ｐゴシック"/>
                <w:color w:val="000000"/>
                <w:kern w:val="0"/>
                <w:szCs w:val="21"/>
              </w:rPr>
              <w:t>358</w:t>
            </w:r>
            <w:r w:rsidRPr="00CE65AF">
              <w:rPr>
                <w:rFonts w:ascii="ＭＳ 明朝" w:hAnsi="ＭＳ 明朝" w:cs="ＭＳ Ｐゴシック" w:hint="eastAsia"/>
                <w:color w:val="000000"/>
                <w:kern w:val="0"/>
                <w:szCs w:val="21"/>
              </w:rPr>
              <w:t>kg-CO2/kWh</w:t>
            </w:r>
          </w:p>
        </w:tc>
        <w:tc>
          <w:tcPr>
            <w:tcW w:w="2693" w:type="dxa"/>
            <w:shd w:val="clear" w:color="auto" w:fill="auto"/>
          </w:tcPr>
          <w:p w:rsidR="00ED60BB" w:rsidRPr="00CE65AF" w:rsidRDefault="00ED60BB" w:rsidP="00CE65AF">
            <w:pPr>
              <w:tabs>
                <w:tab w:val="left" w:pos="2741"/>
                <w:tab w:val="left" w:pos="2818"/>
              </w:tabs>
              <w:spacing w:line="400" w:lineRule="exact"/>
              <w:jc w:val="center"/>
              <w:rPr>
                <w:rFonts w:ascii="ＭＳ 明朝" w:hAnsi="ＭＳ 明朝" w:cs="ＭＳ Ｐゴシック"/>
                <w:color w:val="000000"/>
                <w:kern w:val="0"/>
                <w:szCs w:val="21"/>
              </w:rPr>
            </w:pPr>
            <w:r w:rsidRPr="00CE65AF">
              <w:rPr>
                <w:rFonts w:ascii="ＭＳ 明朝" w:hAnsi="ＭＳ 明朝" w:cs="ＭＳ Ｐゴシック" w:hint="eastAsia"/>
                <w:color w:val="000000"/>
                <w:kern w:val="0"/>
                <w:szCs w:val="21"/>
              </w:rPr>
              <w:t>0.514kg-CO</w:t>
            </w:r>
            <w:r w:rsidRPr="00CE65AF">
              <w:rPr>
                <w:rFonts w:ascii="ＭＳ 明朝" w:hAnsi="ＭＳ 明朝" w:cs="ＭＳ Ｐゴシック" w:hint="eastAsia"/>
                <w:color w:val="000000"/>
                <w:kern w:val="0"/>
                <w:szCs w:val="21"/>
                <w:vertAlign w:val="subscript"/>
              </w:rPr>
              <w:t>2</w:t>
            </w:r>
            <w:r w:rsidRPr="00CE65AF">
              <w:rPr>
                <w:rFonts w:ascii="ＭＳ 明朝" w:hAnsi="ＭＳ 明朝" w:cs="ＭＳ Ｐゴシック" w:hint="eastAsia"/>
                <w:color w:val="000000"/>
                <w:kern w:val="0"/>
                <w:szCs w:val="21"/>
              </w:rPr>
              <w:t>/kWh</w:t>
            </w:r>
          </w:p>
        </w:tc>
        <w:tc>
          <w:tcPr>
            <w:tcW w:w="2693" w:type="dxa"/>
            <w:shd w:val="clear" w:color="auto" w:fill="auto"/>
          </w:tcPr>
          <w:p w:rsidR="00ED60BB" w:rsidRPr="00CE65AF" w:rsidRDefault="00ED60BB" w:rsidP="00CE65AF">
            <w:pPr>
              <w:tabs>
                <w:tab w:val="left" w:pos="2741"/>
                <w:tab w:val="left" w:pos="2818"/>
              </w:tabs>
              <w:spacing w:line="400" w:lineRule="exact"/>
              <w:jc w:val="center"/>
              <w:rPr>
                <w:rFonts w:ascii="ＭＳ 明朝" w:hAnsi="ＭＳ 明朝" w:cs="ＭＳ Ｐゴシック"/>
                <w:color w:val="000000"/>
                <w:kern w:val="0"/>
                <w:szCs w:val="21"/>
              </w:rPr>
            </w:pPr>
            <w:r w:rsidRPr="00CE65AF">
              <w:rPr>
                <w:rFonts w:ascii="ＭＳ 明朝" w:hAnsi="ＭＳ 明朝" w:cs="ＭＳ Ｐゴシック" w:hint="eastAsia"/>
                <w:color w:val="000000"/>
                <w:kern w:val="0"/>
                <w:szCs w:val="21"/>
              </w:rPr>
              <w:t>0.522kg-CO</w:t>
            </w:r>
            <w:r w:rsidRPr="00CE65AF">
              <w:rPr>
                <w:rFonts w:ascii="ＭＳ 明朝" w:hAnsi="ＭＳ 明朝" w:cs="ＭＳ Ｐゴシック" w:hint="eastAsia"/>
                <w:color w:val="000000"/>
                <w:kern w:val="0"/>
                <w:szCs w:val="21"/>
                <w:vertAlign w:val="subscript"/>
              </w:rPr>
              <w:t>2</w:t>
            </w:r>
            <w:r w:rsidRPr="00CE65AF">
              <w:rPr>
                <w:rFonts w:ascii="ＭＳ 明朝" w:hAnsi="ＭＳ 明朝" w:cs="ＭＳ Ｐゴシック" w:hint="eastAsia"/>
                <w:color w:val="000000"/>
                <w:kern w:val="0"/>
                <w:szCs w:val="21"/>
              </w:rPr>
              <w:t>/kWh</w:t>
            </w:r>
          </w:p>
          <w:p w:rsidR="00ED60BB" w:rsidRPr="00CE65AF" w:rsidRDefault="00ED60BB" w:rsidP="00CE65AF">
            <w:pPr>
              <w:tabs>
                <w:tab w:val="left" w:pos="2741"/>
                <w:tab w:val="left" w:pos="2818"/>
              </w:tabs>
              <w:spacing w:line="400" w:lineRule="exact"/>
              <w:jc w:val="center"/>
              <w:rPr>
                <w:rFonts w:ascii="ＭＳ 明朝" w:hAnsi="ＭＳ 明朝" w:cs="ＭＳ Ｐゴシック"/>
                <w:color w:val="000000"/>
                <w:kern w:val="0"/>
                <w:szCs w:val="21"/>
              </w:rPr>
            </w:pPr>
            <w:r w:rsidRPr="00CE65AF">
              <w:rPr>
                <w:rFonts w:ascii="ＭＳ 明朝" w:hAnsi="ＭＳ 明朝" w:cs="ＭＳ Ｐゴシック" w:hint="eastAsia"/>
                <w:color w:val="000000"/>
                <w:kern w:val="0"/>
                <w:szCs w:val="21"/>
              </w:rPr>
              <w:t>（＋1.5%/＋45.8%）</w:t>
            </w:r>
          </w:p>
        </w:tc>
      </w:tr>
    </w:tbl>
    <w:p w:rsidR="00C52B4D" w:rsidRPr="00CE65AF" w:rsidRDefault="00C52B4D" w:rsidP="00487912">
      <w:pPr>
        <w:widowControl/>
        <w:tabs>
          <w:tab w:val="left" w:pos="5403"/>
        </w:tabs>
        <w:jc w:val="left"/>
        <w:rPr>
          <w:rFonts w:ascii="ＭＳ ゴシック" w:eastAsia="ＭＳ ゴシック" w:hAnsi="ＭＳ ゴシック"/>
          <w:b/>
          <w:sz w:val="24"/>
          <w:szCs w:val="24"/>
        </w:rPr>
      </w:pPr>
      <w:r w:rsidRPr="00CE65AF">
        <w:rPr>
          <w:rFonts w:ascii="ＭＳ 明朝" w:hAnsi="ＭＳ 明朝" w:cs="ＭＳ Ｐゴシック"/>
          <w:color w:val="000000"/>
          <w:kern w:val="0"/>
          <w:szCs w:val="21"/>
        </w:rPr>
        <w:br w:type="page"/>
      </w:r>
      <w:r w:rsidRPr="00CE65AF">
        <w:rPr>
          <w:rFonts w:ascii="ＭＳ ゴシック" w:eastAsia="ＭＳ ゴシック" w:hAnsi="ＭＳ ゴシック" w:hint="eastAsia"/>
          <w:b/>
          <w:sz w:val="24"/>
          <w:szCs w:val="24"/>
        </w:rPr>
        <w:lastRenderedPageBreak/>
        <w:t>Ⅱ．大阪府内の建築物の現状について</w:t>
      </w:r>
      <w:r w:rsidR="00487912">
        <w:rPr>
          <w:rFonts w:ascii="ＭＳ ゴシック" w:eastAsia="ＭＳ ゴシック" w:hAnsi="ＭＳ ゴシック" w:hint="eastAsia"/>
          <w:b/>
          <w:sz w:val="24"/>
          <w:szCs w:val="24"/>
        </w:rPr>
        <w:t xml:space="preserve">　～大阪府建築物環境配慮制度～</w:t>
      </w:r>
    </w:p>
    <w:p w:rsidR="00C52B4D" w:rsidRPr="00CE65AF" w:rsidRDefault="00C52B4D" w:rsidP="00C52B4D">
      <w:pPr>
        <w:spacing w:beforeLines="100" w:before="360"/>
        <w:rPr>
          <w:rFonts w:ascii="ＭＳ 明朝" w:hAnsi="ＭＳ 明朝"/>
          <w:b/>
          <w:sz w:val="24"/>
          <w:szCs w:val="24"/>
        </w:rPr>
      </w:pPr>
      <w:r w:rsidRPr="00CE65AF">
        <w:rPr>
          <w:rFonts w:ascii="ＭＳ 明朝" w:hAnsi="ＭＳ 明朝" w:hint="eastAsia"/>
          <w:b/>
          <w:sz w:val="24"/>
          <w:szCs w:val="24"/>
        </w:rPr>
        <w:t>１．建築物環境計画の届出状況について</w:t>
      </w:r>
    </w:p>
    <w:p w:rsidR="004E37C6" w:rsidRPr="00CE65AF" w:rsidRDefault="004E37C6" w:rsidP="004E37C6">
      <w:pPr>
        <w:ind w:leftChars="100" w:left="210" w:firstLineChars="100" w:firstLine="210"/>
        <w:rPr>
          <w:rFonts w:ascii="ＭＳ 明朝" w:hAnsi="ＭＳ 明朝"/>
          <w:szCs w:val="21"/>
        </w:rPr>
      </w:pPr>
      <w:r>
        <w:rPr>
          <w:rFonts w:ascii="ＭＳ 明朝" w:hAnsi="ＭＳ 明朝" w:hint="eastAsia"/>
          <w:szCs w:val="21"/>
        </w:rPr>
        <w:t>2006</w:t>
      </w:r>
      <w:r w:rsidRPr="00CE65AF">
        <w:rPr>
          <w:rFonts w:ascii="ＭＳ 明朝" w:hAnsi="ＭＳ 明朝" w:hint="eastAsia"/>
          <w:szCs w:val="21"/>
        </w:rPr>
        <w:t>年4月1日から</w:t>
      </w:r>
      <w:r>
        <w:rPr>
          <w:rFonts w:ascii="ＭＳ 明朝" w:hAnsi="ＭＳ 明朝" w:hint="eastAsia"/>
          <w:szCs w:val="21"/>
        </w:rPr>
        <w:t>建築物環境配慮計画書の届出</w:t>
      </w:r>
      <w:r w:rsidRPr="00CE65AF">
        <w:rPr>
          <w:rFonts w:ascii="ＭＳ 明朝" w:hAnsi="ＭＳ 明朝" w:hint="eastAsia"/>
          <w:szCs w:val="21"/>
        </w:rPr>
        <w:t>を義務付け</w:t>
      </w:r>
      <w:r>
        <w:rPr>
          <w:rFonts w:ascii="ＭＳ 明朝" w:hAnsi="ＭＳ 明朝" w:hint="eastAsia"/>
          <w:szCs w:val="21"/>
        </w:rPr>
        <w:t>ている</w:t>
      </w:r>
      <w:r w:rsidRPr="00CE65AF">
        <w:rPr>
          <w:rFonts w:ascii="ＭＳ 明朝" w:hAnsi="ＭＳ 明朝" w:hint="eastAsia"/>
          <w:color w:val="000000"/>
          <w:szCs w:val="21"/>
        </w:rPr>
        <w:t>。</w:t>
      </w:r>
    </w:p>
    <w:p w:rsidR="00C52B4D" w:rsidRPr="00AB2BD5" w:rsidRDefault="004F7FE3" w:rsidP="004F7FE3">
      <w:pPr>
        <w:spacing w:beforeLines="50" w:before="180"/>
        <w:jc w:val="center"/>
        <w:rPr>
          <w:rFonts w:ascii="ＭＳ 明朝" w:hAnsi="ＭＳ 明朝"/>
          <w:b/>
          <w:color w:val="000000" w:themeColor="text1"/>
        </w:rPr>
      </w:pPr>
      <w:r w:rsidRPr="00AB2BD5">
        <w:rPr>
          <w:rFonts w:hint="eastAsia"/>
          <w:b/>
          <w:color w:val="000000" w:themeColor="text1"/>
        </w:rPr>
        <w:t>表</w:t>
      </w:r>
      <w:r w:rsidR="006D2A86">
        <w:rPr>
          <w:rFonts w:hint="eastAsia"/>
          <w:b/>
          <w:color w:val="000000" w:themeColor="text1"/>
        </w:rPr>
        <w:t>３</w:t>
      </w:r>
      <w:r w:rsidRPr="00AB2BD5">
        <w:rPr>
          <w:rFonts w:hint="eastAsia"/>
          <w:b/>
          <w:color w:val="000000" w:themeColor="text1"/>
        </w:rPr>
        <w:t xml:space="preserve">　</w:t>
      </w:r>
      <w:r w:rsidR="00487912" w:rsidRPr="00AB2BD5">
        <w:rPr>
          <w:rFonts w:hint="eastAsia"/>
          <w:b/>
          <w:color w:val="000000" w:themeColor="text1"/>
        </w:rPr>
        <w:t>計画書届出件数</w:t>
      </w:r>
    </w:p>
    <w:tbl>
      <w:tblPr>
        <w:tblpPr w:leftFromText="142" w:rightFromText="142" w:vertAnchor="text" w:horzAnchor="page"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727"/>
        <w:gridCol w:w="1843"/>
        <w:gridCol w:w="1843"/>
      </w:tblGrid>
      <w:tr w:rsidR="004F7FE3" w:rsidRPr="00CE65AF" w:rsidTr="00C84CCE">
        <w:tc>
          <w:tcPr>
            <w:tcW w:w="1384" w:type="dxa"/>
            <w:shd w:val="clear" w:color="auto" w:fill="auto"/>
          </w:tcPr>
          <w:p w:rsidR="004F7FE3" w:rsidRPr="00CE65AF" w:rsidRDefault="004F7FE3" w:rsidP="00CE65AF"/>
        </w:tc>
        <w:tc>
          <w:tcPr>
            <w:tcW w:w="2727" w:type="dxa"/>
            <w:shd w:val="clear" w:color="auto" w:fill="auto"/>
            <w:vAlign w:val="center"/>
          </w:tcPr>
          <w:p w:rsidR="004F7FE3" w:rsidRPr="00CE65AF" w:rsidRDefault="00C84CCE" w:rsidP="004F7FE3">
            <w:pPr>
              <w:jc w:val="center"/>
            </w:pPr>
            <w:r>
              <w:rPr>
                <w:rFonts w:hint="eastAsia"/>
              </w:rPr>
              <w:t>2,000</w:t>
            </w:r>
            <w:r>
              <w:rPr>
                <w:rFonts w:hint="eastAsia"/>
              </w:rPr>
              <w:t>㎡以上</w:t>
            </w:r>
            <w:r w:rsidR="004F7FE3">
              <w:rPr>
                <w:rFonts w:hint="eastAsia"/>
              </w:rPr>
              <w:t>5,000</w:t>
            </w:r>
            <w:r w:rsidR="004F7FE3">
              <w:rPr>
                <w:rFonts w:hint="eastAsia"/>
              </w:rPr>
              <w:t>㎡以下</w:t>
            </w:r>
          </w:p>
        </w:tc>
        <w:tc>
          <w:tcPr>
            <w:tcW w:w="1843" w:type="dxa"/>
            <w:vAlign w:val="center"/>
          </w:tcPr>
          <w:p w:rsidR="004F7FE3" w:rsidRPr="00CE65AF" w:rsidRDefault="004F7FE3" w:rsidP="004F7FE3">
            <w:pPr>
              <w:jc w:val="center"/>
            </w:pPr>
            <w:r>
              <w:rPr>
                <w:rFonts w:hint="eastAsia"/>
              </w:rPr>
              <w:t>5,000</w:t>
            </w:r>
            <w:r>
              <w:rPr>
                <w:rFonts w:hint="eastAsia"/>
              </w:rPr>
              <w:t>㎡超</w:t>
            </w:r>
          </w:p>
        </w:tc>
        <w:tc>
          <w:tcPr>
            <w:tcW w:w="1843" w:type="dxa"/>
            <w:vAlign w:val="center"/>
          </w:tcPr>
          <w:p w:rsidR="004F7FE3" w:rsidRDefault="004F7FE3" w:rsidP="004F7FE3">
            <w:pPr>
              <w:jc w:val="center"/>
            </w:pPr>
            <w:r>
              <w:rPr>
                <w:rFonts w:hint="eastAsia"/>
              </w:rPr>
              <w:t>合計</w:t>
            </w:r>
          </w:p>
        </w:tc>
      </w:tr>
      <w:tr w:rsidR="004F7FE3" w:rsidRPr="00CE65AF" w:rsidTr="00C84CCE">
        <w:tc>
          <w:tcPr>
            <w:tcW w:w="1384" w:type="dxa"/>
            <w:shd w:val="clear" w:color="auto" w:fill="auto"/>
          </w:tcPr>
          <w:p w:rsidR="004F7FE3" w:rsidRPr="00CE65AF" w:rsidRDefault="004F7FE3" w:rsidP="004F7FE3">
            <w:r>
              <w:rPr>
                <w:rFonts w:hint="eastAsia"/>
              </w:rPr>
              <w:t>2013</w:t>
            </w:r>
            <w:r w:rsidRPr="00CE65AF">
              <w:rPr>
                <w:rFonts w:hint="eastAsia"/>
              </w:rPr>
              <w:t>年度</w:t>
            </w:r>
          </w:p>
        </w:tc>
        <w:tc>
          <w:tcPr>
            <w:tcW w:w="2727" w:type="dxa"/>
            <w:shd w:val="clear" w:color="auto" w:fill="auto"/>
            <w:vAlign w:val="center"/>
          </w:tcPr>
          <w:p w:rsidR="004F7FE3" w:rsidRPr="00CE65AF" w:rsidRDefault="006734ED" w:rsidP="004F7FE3">
            <w:pPr>
              <w:jc w:val="center"/>
            </w:pPr>
            <w:r>
              <w:rPr>
                <w:rFonts w:hint="eastAsia"/>
              </w:rPr>
              <w:t>298</w:t>
            </w:r>
            <w:r>
              <w:rPr>
                <w:rFonts w:hint="eastAsia"/>
              </w:rPr>
              <w:t>件（</w:t>
            </w:r>
            <w:r>
              <w:rPr>
                <w:rFonts w:hint="eastAsia"/>
              </w:rPr>
              <w:t>61%</w:t>
            </w:r>
            <w:r>
              <w:rPr>
                <w:rFonts w:hint="eastAsia"/>
              </w:rPr>
              <w:t>）</w:t>
            </w:r>
          </w:p>
        </w:tc>
        <w:tc>
          <w:tcPr>
            <w:tcW w:w="1843" w:type="dxa"/>
            <w:vAlign w:val="center"/>
          </w:tcPr>
          <w:p w:rsidR="004F7FE3" w:rsidRPr="00CE65AF" w:rsidRDefault="006734ED" w:rsidP="004F7FE3">
            <w:pPr>
              <w:jc w:val="center"/>
            </w:pPr>
            <w:r>
              <w:rPr>
                <w:rFonts w:hint="eastAsia"/>
              </w:rPr>
              <w:t>191</w:t>
            </w:r>
            <w:r>
              <w:rPr>
                <w:rFonts w:hint="eastAsia"/>
              </w:rPr>
              <w:t>件（</w:t>
            </w:r>
            <w:r>
              <w:rPr>
                <w:rFonts w:hint="eastAsia"/>
              </w:rPr>
              <w:t>39%</w:t>
            </w:r>
            <w:r>
              <w:rPr>
                <w:rFonts w:hint="eastAsia"/>
              </w:rPr>
              <w:t>）</w:t>
            </w:r>
          </w:p>
        </w:tc>
        <w:tc>
          <w:tcPr>
            <w:tcW w:w="1843" w:type="dxa"/>
            <w:vAlign w:val="center"/>
          </w:tcPr>
          <w:p w:rsidR="004F7FE3" w:rsidRPr="00CE65AF" w:rsidRDefault="004F7FE3" w:rsidP="004F7FE3">
            <w:pPr>
              <w:jc w:val="center"/>
            </w:pPr>
            <w:r w:rsidRPr="00CE65AF">
              <w:rPr>
                <w:rFonts w:hint="eastAsia"/>
              </w:rPr>
              <w:t>489</w:t>
            </w:r>
            <w:r w:rsidRPr="00CE65AF">
              <w:rPr>
                <w:rFonts w:hint="eastAsia"/>
              </w:rPr>
              <w:t>件</w:t>
            </w:r>
          </w:p>
        </w:tc>
      </w:tr>
      <w:tr w:rsidR="004F7FE3" w:rsidRPr="00CE65AF" w:rsidTr="00C84CCE">
        <w:tc>
          <w:tcPr>
            <w:tcW w:w="1384" w:type="dxa"/>
            <w:shd w:val="clear" w:color="auto" w:fill="auto"/>
          </w:tcPr>
          <w:p w:rsidR="004F7FE3" w:rsidRPr="00CE65AF" w:rsidRDefault="004F7FE3" w:rsidP="004F7FE3">
            <w:r>
              <w:rPr>
                <w:rFonts w:hint="eastAsia"/>
              </w:rPr>
              <w:t>2014</w:t>
            </w:r>
            <w:r w:rsidRPr="00CE65AF">
              <w:rPr>
                <w:rFonts w:hint="eastAsia"/>
              </w:rPr>
              <w:t>年度</w:t>
            </w:r>
          </w:p>
        </w:tc>
        <w:tc>
          <w:tcPr>
            <w:tcW w:w="2727" w:type="dxa"/>
            <w:shd w:val="clear" w:color="auto" w:fill="auto"/>
            <w:vAlign w:val="center"/>
          </w:tcPr>
          <w:p w:rsidR="004F7FE3" w:rsidRPr="00CE65AF" w:rsidRDefault="006734ED" w:rsidP="004F7FE3">
            <w:pPr>
              <w:jc w:val="center"/>
            </w:pPr>
            <w:r>
              <w:rPr>
                <w:rFonts w:hint="eastAsia"/>
              </w:rPr>
              <w:t>279</w:t>
            </w:r>
            <w:r>
              <w:rPr>
                <w:rFonts w:hint="eastAsia"/>
              </w:rPr>
              <w:t>件（</w:t>
            </w:r>
            <w:r>
              <w:rPr>
                <w:rFonts w:hint="eastAsia"/>
              </w:rPr>
              <w:t>62%</w:t>
            </w:r>
            <w:r>
              <w:rPr>
                <w:rFonts w:hint="eastAsia"/>
              </w:rPr>
              <w:t>）</w:t>
            </w:r>
          </w:p>
        </w:tc>
        <w:tc>
          <w:tcPr>
            <w:tcW w:w="1843" w:type="dxa"/>
            <w:vAlign w:val="center"/>
          </w:tcPr>
          <w:p w:rsidR="004F7FE3" w:rsidRPr="00CE65AF" w:rsidRDefault="006734ED" w:rsidP="004F7FE3">
            <w:pPr>
              <w:jc w:val="center"/>
            </w:pPr>
            <w:r>
              <w:rPr>
                <w:rFonts w:hint="eastAsia"/>
              </w:rPr>
              <w:t>171</w:t>
            </w:r>
            <w:r>
              <w:rPr>
                <w:rFonts w:hint="eastAsia"/>
              </w:rPr>
              <w:t>件（</w:t>
            </w:r>
            <w:r>
              <w:rPr>
                <w:rFonts w:hint="eastAsia"/>
              </w:rPr>
              <w:t>38%</w:t>
            </w:r>
            <w:r>
              <w:rPr>
                <w:rFonts w:hint="eastAsia"/>
              </w:rPr>
              <w:t>）</w:t>
            </w:r>
          </w:p>
        </w:tc>
        <w:tc>
          <w:tcPr>
            <w:tcW w:w="1843" w:type="dxa"/>
            <w:vAlign w:val="center"/>
          </w:tcPr>
          <w:p w:rsidR="004F7FE3" w:rsidRPr="00CE65AF" w:rsidRDefault="004F7FE3" w:rsidP="004F7FE3">
            <w:pPr>
              <w:jc w:val="center"/>
            </w:pPr>
            <w:r w:rsidRPr="00CE65AF">
              <w:rPr>
                <w:rFonts w:hint="eastAsia"/>
              </w:rPr>
              <w:t>450</w:t>
            </w:r>
            <w:r w:rsidRPr="00CE65AF">
              <w:rPr>
                <w:rFonts w:hint="eastAsia"/>
              </w:rPr>
              <w:t>件</w:t>
            </w:r>
          </w:p>
        </w:tc>
      </w:tr>
      <w:tr w:rsidR="004F7FE3" w:rsidRPr="00CE65AF" w:rsidTr="00C84CCE">
        <w:tc>
          <w:tcPr>
            <w:tcW w:w="1384" w:type="dxa"/>
            <w:shd w:val="clear" w:color="auto" w:fill="auto"/>
          </w:tcPr>
          <w:p w:rsidR="004F7FE3" w:rsidRPr="00CE65AF" w:rsidRDefault="004F7FE3" w:rsidP="004F7FE3">
            <w:r>
              <w:rPr>
                <w:rFonts w:hint="eastAsia"/>
              </w:rPr>
              <w:t>2015</w:t>
            </w:r>
            <w:r w:rsidRPr="00CE65AF">
              <w:rPr>
                <w:rFonts w:hint="eastAsia"/>
              </w:rPr>
              <w:t>年度</w:t>
            </w:r>
          </w:p>
        </w:tc>
        <w:tc>
          <w:tcPr>
            <w:tcW w:w="2727" w:type="dxa"/>
            <w:shd w:val="clear" w:color="auto" w:fill="auto"/>
            <w:vAlign w:val="center"/>
          </w:tcPr>
          <w:p w:rsidR="004F7FE3" w:rsidRPr="00CE65AF" w:rsidRDefault="006734ED" w:rsidP="004F7FE3">
            <w:pPr>
              <w:jc w:val="center"/>
            </w:pPr>
            <w:r>
              <w:rPr>
                <w:rFonts w:hint="eastAsia"/>
              </w:rPr>
              <w:t>226</w:t>
            </w:r>
            <w:r w:rsidR="00AB2BD5">
              <w:rPr>
                <w:rFonts w:hint="eastAsia"/>
              </w:rPr>
              <w:t>件</w:t>
            </w:r>
            <w:r>
              <w:rPr>
                <w:rFonts w:hint="eastAsia"/>
              </w:rPr>
              <w:t>（</w:t>
            </w:r>
            <w:r>
              <w:rPr>
                <w:rFonts w:hint="eastAsia"/>
              </w:rPr>
              <w:t>62%</w:t>
            </w:r>
            <w:r>
              <w:rPr>
                <w:rFonts w:hint="eastAsia"/>
              </w:rPr>
              <w:t>）</w:t>
            </w:r>
          </w:p>
        </w:tc>
        <w:tc>
          <w:tcPr>
            <w:tcW w:w="1843" w:type="dxa"/>
            <w:vAlign w:val="center"/>
          </w:tcPr>
          <w:p w:rsidR="004F7FE3" w:rsidRPr="00CE65AF" w:rsidRDefault="006734ED" w:rsidP="004F7FE3">
            <w:pPr>
              <w:jc w:val="center"/>
            </w:pPr>
            <w:r>
              <w:rPr>
                <w:rFonts w:hint="eastAsia"/>
              </w:rPr>
              <w:t>139</w:t>
            </w:r>
            <w:r w:rsidR="00AB2BD5">
              <w:rPr>
                <w:rFonts w:hint="eastAsia"/>
              </w:rPr>
              <w:t>件</w:t>
            </w:r>
            <w:r>
              <w:rPr>
                <w:rFonts w:hint="eastAsia"/>
              </w:rPr>
              <w:t>（</w:t>
            </w:r>
            <w:r>
              <w:rPr>
                <w:rFonts w:hint="eastAsia"/>
              </w:rPr>
              <w:t>38%</w:t>
            </w:r>
            <w:r>
              <w:rPr>
                <w:rFonts w:hint="eastAsia"/>
              </w:rPr>
              <w:t>）</w:t>
            </w:r>
          </w:p>
        </w:tc>
        <w:tc>
          <w:tcPr>
            <w:tcW w:w="1843" w:type="dxa"/>
            <w:vAlign w:val="center"/>
          </w:tcPr>
          <w:p w:rsidR="004F7FE3" w:rsidRPr="00CE65AF" w:rsidRDefault="004F7FE3" w:rsidP="004F7FE3">
            <w:pPr>
              <w:jc w:val="center"/>
            </w:pPr>
            <w:r w:rsidRPr="00CE65AF">
              <w:rPr>
                <w:rFonts w:hint="eastAsia"/>
              </w:rPr>
              <w:t>365</w:t>
            </w:r>
            <w:r w:rsidRPr="00CE65AF">
              <w:rPr>
                <w:rFonts w:hint="eastAsia"/>
              </w:rPr>
              <w:t>件</w:t>
            </w:r>
          </w:p>
        </w:tc>
      </w:tr>
    </w:tbl>
    <w:p w:rsidR="00C52B4D" w:rsidRPr="00CE65AF" w:rsidRDefault="00C52B4D" w:rsidP="00C52B4D">
      <w:pPr>
        <w:rPr>
          <w:rFonts w:ascii="ＭＳ 明朝" w:hAnsi="ＭＳ 明朝"/>
        </w:rPr>
      </w:pPr>
    </w:p>
    <w:p w:rsidR="00C52B4D" w:rsidRPr="00CE65AF" w:rsidRDefault="00C52B4D" w:rsidP="00C52B4D">
      <w:pPr>
        <w:rPr>
          <w:rFonts w:ascii="ＭＳ 明朝" w:hAnsi="ＭＳ 明朝"/>
        </w:rPr>
      </w:pPr>
    </w:p>
    <w:p w:rsidR="00C52B4D" w:rsidRPr="00CE65AF" w:rsidRDefault="00C52B4D" w:rsidP="00C52B4D">
      <w:pPr>
        <w:rPr>
          <w:rFonts w:ascii="ＭＳ 明朝" w:hAnsi="ＭＳ 明朝"/>
        </w:rPr>
      </w:pPr>
    </w:p>
    <w:p w:rsidR="00C52B4D" w:rsidRPr="00CE65AF" w:rsidRDefault="00C52B4D" w:rsidP="00C52B4D">
      <w:pPr>
        <w:rPr>
          <w:rFonts w:ascii="ＭＳ 明朝" w:hAnsi="ＭＳ 明朝"/>
        </w:rPr>
      </w:pPr>
    </w:p>
    <w:p w:rsidR="00C52B4D" w:rsidRPr="00CE65AF" w:rsidRDefault="00C52B4D" w:rsidP="00C52B4D">
      <w:pPr>
        <w:rPr>
          <w:rFonts w:ascii="ＭＳ 明朝" w:hAnsi="ＭＳ 明朝"/>
        </w:rPr>
      </w:pPr>
    </w:p>
    <w:p w:rsidR="003068B6" w:rsidRPr="00CE65AF" w:rsidRDefault="00C52B4D" w:rsidP="00C52B4D">
      <w:pPr>
        <w:ind w:firstLineChars="100" w:firstLine="210"/>
        <w:rPr>
          <w:rFonts w:ascii="ＭＳ 明朝" w:hAnsi="ＭＳ 明朝"/>
        </w:rPr>
      </w:pPr>
      <w:r w:rsidRPr="00CE65AF">
        <w:rPr>
          <w:rFonts w:ascii="ＭＳ 明朝" w:hAnsi="ＭＳ 明朝" w:hint="eastAsia"/>
        </w:rPr>
        <w:t>2011年以降、CASBEEによる建築物環境効率（BEE）の平均値が年々減少し、B-の割合が年々増加している。</w:t>
      </w:r>
    </w:p>
    <w:p w:rsidR="00C52B4D" w:rsidRPr="00CE65AF" w:rsidRDefault="00C52B4D" w:rsidP="00C52B4D">
      <w:pPr>
        <w:ind w:firstLineChars="100" w:firstLine="210"/>
        <w:rPr>
          <w:rFonts w:ascii="ＭＳ 明朝" w:hAnsi="ＭＳ 明朝"/>
        </w:rPr>
      </w:pPr>
      <w:r w:rsidRPr="00CE65AF">
        <w:rPr>
          <w:rFonts w:ascii="ＭＳ 明朝" w:hAnsi="ＭＳ 明朝" w:hint="eastAsia"/>
        </w:rPr>
        <w:t>2012年7月から</w:t>
      </w:r>
      <w:r w:rsidR="003068B6" w:rsidRPr="00CE65AF">
        <w:rPr>
          <w:rFonts w:ascii="ＭＳ 明朝" w:hAnsi="ＭＳ 明朝" w:hint="eastAsia"/>
        </w:rPr>
        <w:t>届出規模を5,000㎡から2,000</w:t>
      </w:r>
      <w:r w:rsidR="000F4C9D">
        <w:rPr>
          <w:rFonts w:ascii="ＭＳ 明朝" w:hAnsi="ＭＳ 明朝" w:hint="eastAsia"/>
        </w:rPr>
        <w:t>㎡に引き下げたことが要因のひとつと考えられる（参考資料２－６</w:t>
      </w:r>
      <w:r w:rsidR="003068B6" w:rsidRPr="00CE65AF">
        <w:rPr>
          <w:rFonts w:ascii="ＭＳ 明朝" w:hAnsi="ＭＳ 明朝" w:hint="eastAsia"/>
        </w:rPr>
        <w:t>）。</w:t>
      </w:r>
    </w:p>
    <w:p w:rsidR="00C52B4D" w:rsidRPr="00CE65AF" w:rsidRDefault="00440F4B" w:rsidP="00C52B4D">
      <w:pPr>
        <w:jc w:val="center"/>
        <w:rPr>
          <w:rFonts w:ascii="ＭＳ 明朝" w:hAnsi="ＭＳ 明朝"/>
        </w:rPr>
      </w:pPr>
      <w:r>
        <w:rPr>
          <w:rFonts w:ascii="ＭＳ 明朝" w:hAnsi="ＭＳ 明朝"/>
          <w:noProof/>
        </w:rPr>
        <w:drawing>
          <wp:inline distT="0" distB="0" distL="0" distR="0" wp14:anchorId="2B685975">
            <wp:extent cx="4218940" cy="25908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8940" cy="2590800"/>
                    </a:xfrm>
                    <a:prstGeom prst="rect">
                      <a:avLst/>
                    </a:prstGeom>
                    <a:noFill/>
                    <a:ln>
                      <a:noFill/>
                    </a:ln>
                  </pic:spPr>
                </pic:pic>
              </a:graphicData>
            </a:graphic>
          </wp:inline>
        </w:drawing>
      </w:r>
    </w:p>
    <w:p w:rsidR="00C52B4D" w:rsidRPr="00CE65AF" w:rsidRDefault="00C52B4D" w:rsidP="00C52B4D">
      <w:pPr>
        <w:jc w:val="center"/>
        <w:rPr>
          <w:rFonts w:ascii="ＭＳ 明朝" w:hAnsi="ＭＳ 明朝"/>
        </w:rPr>
      </w:pPr>
      <w:r w:rsidRPr="00CE65AF">
        <w:rPr>
          <w:rFonts w:ascii="ＭＳ 明朝" w:hAnsi="ＭＳ 明朝" w:hint="eastAsia"/>
          <w:b/>
          <w:bCs/>
        </w:rPr>
        <w:t>図</w:t>
      </w:r>
      <w:r w:rsidR="00770940">
        <w:rPr>
          <w:rFonts w:ascii="ＭＳ 明朝" w:hAnsi="ＭＳ 明朝" w:hint="eastAsia"/>
          <w:b/>
          <w:bCs/>
        </w:rPr>
        <w:t>１</w:t>
      </w:r>
      <w:r w:rsidRPr="00CE65AF">
        <w:rPr>
          <w:rFonts w:ascii="ＭＳ 明朝" w:hAnsi="ＭＳ 明朝" w:hint="eastAsia"/>
          <w:b/>
          <w:bCs/>
        </w:rPr>
        <w:t xml:space="preserve">　大阪府内の建築物環境効率の平均値とCASBEE評価</w:t>
      </w:r>
    </w:p>
    <w:p w:rsidR="00C52B4D" w:rsidRPr="00CE65AF" w:rsidRDefault="00C52B4D" w:rsidP="00C52B4D">
      <w:pPr>
        <w:jc w:val="center"/>
        <w:rPr>
          <w:rFonts w:ascii="ＭＳ 明朝" w:hAnsi="ＭＳ 明朝"/>
        </w:rPr>
      </w:pPr>
    </w:p>
    <w:p w:rsidR="00165D93" w:rsidRPr="00CE65AF" w:rsidRDefault="00165D93" w:rsidP="00165D93">
      <w:pPr>
        <w:rPr>
          <w:rFonts w:ascii="ＭＳ 明朝" w:hAnsi="ＭＳ 明朝"/>
          <w:b/>
          <w:sz w:val="24"/>
          <w:szCs w:val="24"/>
        </w:rPr>
      </w:pPr>
      <w:r>
        <w:rPr>
          <w:rFonts w:ascii="ＭＳ 明朝" w:hAnsi="ＭＳ 明朝" w:hint="eastAsia"/>
          <w:b/>
          <w:sz w:val="24"/>
          <w:szCs w:val="24"/>
        </w:rPr>
        <w:t>２</w:t>
      </w:r>
      <w:r w:rsidRPr="00CE65AF">
        <w:rPr>
          <w:rFonts w:ascii="ＭＳ 明朝" w:hAnsi="ＭＳ 明朝" w:hint="eastAsia"/>
          <w:b/>
          <w:sz w:val="24"/>
          <w:szCs w:val="24"/>
        </w:rPr>
        <w:t>．再生可能エネルギー利用設備の導入件数について</w:t>
      </w:r>
    </w:p>
    <w:p w:rsidR="00165D93" w:rsidRPr="00CE65AF" w:rsidRDefault="004E37C6" w:rsidP="004E37C6">
      <w:pPr>
        <w:ind w:leftChars="100" w:left="210" w:firstLineChars="100" w:firstLine="210"/>
        <w:rPr>
          <w:rFonts w:ascii="ＭＳ 明朝" w:hAnsi="ＭＳ 明朝"/>
          <w:szCs w:val="21"/>
        </w:rPr>
      </w:pPr>
      <w:r>
        <w:rPr>
          <w:rFonts w:ascii="ＭＳ 明朝" w:hAnsi="ＭＳ 明朝" w:hint="eastAsia"/>
          <w:szCs w:val="21"/>
        </w:rPr>
        <w:t>2015</w:t>
      </w:r>
      <w:r w:rsidR="00165D93" w:rsidRPr="00CE65AF">
        <w:rPr>
          <w:rFonts w:ascii="ＭＳ 明朝" w:hAnsi="ＭＳ 明朝" w:hint="eastAsia"/>
          <w:szCs w:val="21"/>
        </w:rPr>
        <w:t>年4月1日から再生可能エネルギー利用設備の導入について検討を義務付け、検討結果として導入された件数は</w:t>
      </w:r>
      <w:r w:rsidR="006D2A86">
        <w:rPr>
          <w:rFonts w:ascii="ＭＳ 明朝" w:hAnsi="ＭＳ 明朝" w:hint="eastAsia"/>
          <w:color w:val="000000"/>
          <w:szCs w:val="21"/>
        </w:rPr>
        <w:t>表４</w:t>
      </w:r>
      <w:r w:rsidR="00165D93" w:rsidRPr="00CE65AF">
        <w:rPr>
          <w:rFonts w:ascii="ＭＳ 明朝" w:hAnsi="ＭＳ 明朝" w:hint="eastAsia"/>
          <w:color w:val="000000"/>
          <w:szCs w:val="21"/>
        </w:rPr>
        <w:t>のとおり。</w:t>
      </w:r>
    </w:p>
    <w:p w:rsidR="00165D93" w:rsidRPr="00CE65AF" w:rsidRDefault="00165D93" w:rsidP="004E37C6">
      <w:pPr>
        <w:ind w:leftChars="100" w:left="210" w:firstLineChars="100" w:firstLine="210"/>
        <w:rPr>
          <w:rFonts w:ascii="ＭＳ 明朝" w:hAnsi="ＭＳ 明朝"/>
          <w:szCs w:val="21"/>
        </w:rPr>
      </w:pPr>
      <w:r w:rsidRPr="00CE65AF">
        <w:rPr>
          <w:rFonts w:ascii="ＭＳ 明朝" w:hAnsi="ＭＳ 明朝" w:hint="eastAsia"/>
          <w:szCs w:val="21"/>
        </w:rPr>
        <w:t>導入を見送った理由として最も多いのは「費用負担が大きい」である</w:t>
      </w:r>
      <w:r w:rsidR="000F4C9D">
        <w:rPr>
          <w:rFonts w:ascii="ＭＳ 明朝" w:hAnsi="ＭＳ 明朝" w:hint="eastAsia"/>
        </w:rPr>
        <w:t>（参考資料２－６</w:t>
      </w:r>
      <w:r w:rsidR="004E37C6" w:rsidRPr="00CE65AF">
        <w:rPr>
          <w:rFonts w:ascii="ＭＳ 明朝" w:hAnsi="ＭＳ 明朝" w:hint="eastAsia"/>
        </w:rPr>
        <w:t>）</w:t>
      </w:r>
      <w:r w:rsidRPr="00CE65AF">
        <w:rPr>
          <w:rFonts w:ascii="ＭＳ 明朝" w:hAnsi="ＭＳ 明朝" w:hint="eastAsia"/>
          <w:szCs w:val="21"/>
        </w:rPr>
        <w:t>。</w:t>
      </w:r>
    </w:p>
    <w:p w:rsidR="004E37C6" w:rsidRPr="00CE65AF" w:rsidRDefault="004E37C6" w:rsidP="004E37C6">
      <w:pPr>
        <w:spacing w:beforeLines="50" w:before="180"/>
        <w:jc w:val="center"/>
        <w:rPr>
          <w:rFonts w:ascii="ＭＳ 明朝" w:hAnsi="ＭＳ 明朝"/>
        </w:rPr>
      </w:pPr>
      <w:r>
        <w:rPr>
          <w:rFonts w:hint="eastAsia"/>
        </w:rPr>
        <w:t>表</w:t>
      </w:r>
      <w:r w:rsidR="006D2A86">
        <w:rPr>
          <w:rFonts w:hint="eastAsia"/>
        </w:rPr>
        <w:t>４</w:t>
      </w:r>
      <w:r>
        <w:rPr>
          <w:rFonts w:hint="eastAsia"/>
        </w:rPr>
        <w:t xml:space="preserve">　</w:t>
      </w:r>
      <w:r w:rsidRPr="00CE65AF">
        <w:rPr>
          <w:rFonts w:hint="eastAsia"/>
        </w:rPr>
        <w:t>計画書届出件数</w:t>
      </w:r>
    </w:p>
    <w:tbl>
      <w:tblPr>
        <w:tblW w:w="5155" w:type="dxa"/>
        <w:jc w:val="center"/>
        <w:tblInd w:w="853" w:type="dxa"/>
        <w:tblCellMar>
          <w:left w:w="0" w:type="dxa"/>
          <w:right w:w="0" w:type="dxa"/>
        </w:tblCellMar>
        <w:tblLook w:val="0420" w:firstRow="1" w:lastRow="0" w:firstColumn="0" w:lastColumn="0" w:noHBand="0" w:noVBand="1"/>
      </w:tblPr>
      <w:tblGrid>
        <w:gridCol w:w="1288"/>
        <w:gridCol w:w="1289"/>
        <w:gridCol w:w="1289"/>
        <w:gridCol w:w="1289"/>
      </w:tblGrid>
      <w:tr w:rsidR="00165D93" w:rsidRPr="00CE65AF" w:rsidTr="00272938">
        <w:trPr>
          <w:trHeight w:val="369"/>
          <w:jc w:val="center"/>
        </w:trPr>
        <w:tc>
          <w:tcPr>
            <w:tcW w:w="12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65D93" w:rsidRPr="00CE65AF" w:rsidRDefault="00165D93" w:rsidP="00272938">
            <w:pPr>
              <w:jc w:val="center"/>
              <w:rPr>
                <w:rFonts w:ascii="ＭＳ 明朝" w:hAnsi="ＭＳ 明朝"/>
                <w:szCs w:val="21"/>
              </w:rPr>
            </w:pPr>
          </w:p>
        </w:tc>
        <w:tc>
          <w:tcPr>
            <w:tcW w:w="12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65D93" w:rsidRPr="00CE65AF" w:rsidRDefault="00165D93" w:rsidP="00272938">
            <w:pPr>
              <w:jc w:val="center"/>
              <w:rPr>
                <w:rFonts w:ascii="ＭＳ 明朝" w:hAnsi="ＭＳ 明朝"/>
                <w:szCs w:val="21"/>
              </w:rPr>
            </w:pPr>
            <w:r w:rsidRPr="00CE65AF">
              <w:rPr>
                <w:rFonts w:ascii="ＭＳ 明朝" w:hAnsi="ＭＳ 明朝" w:hint="eastAsia"/>
                <w:szCs w:val="21"/>
              </w:rPr>
              <w:t>太陽光</w:t>
            </w:r>
          </w:p>
        </w:tc>
        <w:tc>
          <w:tcPr>
            <w:tcW w:w="12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65D93" w:rsidRPr="00CE65AF" w:rsidRDefault="00165D93" w:rsidP="00272938">
            <w:pPr>
              <w:jc w:val="center"/>
              <w:rPr>
                <w:rFonts w:ascii="ＭＳ 明朝" w:hAnsi="ＭＳ 明朝"/>
                <w:szCs w:val="21"/>
              </w:rPr>
            </w:pPr>
            <w:r w:rsidRPr="00CE65AF">
              <w:rPr>
                <w:rFonts w:ascii="ＭＳ 明朝" w:hAnsi="ＭＳ 明朝" w:hint="eastAsia"/>
                <w:szCs w:val="21"/>
              </w:rPr>
              <w:t>太陽熱</w:t>
            </w:r>
          </w:p>
        </w:tc>
        <w:tc>
          <w:tcPr>
            <w:tcW w:w="12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65D93" w:rsidRPr="00CE65AF" w:rsidRDefault="00165D93" w:rsidP="00272938">
            <w:pPr>
              <w:jc w:val="center"/>
              <w:rPr>
                <w:rFonts w:ascii="ＭＳ 明朝" w:hAnsi="ＭＳ 明朝"/>
                <w:szCs w:val="21"/>
              </w:rPr>
            </w:pPr>
            <w:r w:rsidRPr="00CE65AF">
              <w:rPr>
                <w:rFonts w:ascii="ＭＳ 明朝" w:hAnsi="ＭＳ 明朝" w:hint="eastAsia"/>
                <w:szCs w:val="21"/>
              </w:rPr>
              <w:t>その他</w:t>
            </w:r>
          </w:p>
        </w:tc>
      </w:tr>
      <w:tr w:rsidR="00165D93" w:rsidRPr="00CE65AF" w:rsidTr="00272938">
        <w:trPr>
          <w:trHeight w:val="369"/>
          <w:jc w:val="center"/>
        </w:trPr>
        <w:tc>
          <w:tcPr>
            <w:tcW w:w="12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65D93" w:rsidRPr="00CE65AF" w:rsidRDefault="00165D93" w:rsidP="00272938">
            <w:pPr>
              <w:jc w:val="center"/>
              <w:rPr>
                <w:rFonts w:ascii="ＭＳ 明朝" w:hAnsi="ＭＳ 明朝"/>
                <w:szCs w:val="21"/>
              </w:rPr>
            </w:pPr>
            <w:r w:rsidRPr="00CE65AF">
              <w:rPr>
                <w:rFonts w:ascii="ＭＳ 明朝" w:hAnsi="ＭＳ 明朝" w:hint="eastAsia"/>
                <w:szCs w:val="21"/>
              </w:rPr>
              <w:t>2015年度</w:t>
            </w:r>
          </w:p>
        </w:tc>
        <w:tc>
          <w:tcPr>
            <w:tcW w:w="12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65D93" w:rsidRPr="00CE65AF" w:rsidRDefault="00165D93" w:rsidP="00272938">
            <w:pPr>
              <w:jc w:val="center"/>
              <w:rPr>
                <w:rFonts w:ascii="ＭＳ 明朝" w:hAnsi="ＭＳ 明朝"/>
                <w:szCs w:val="21"/>
              </w:rPr>
            </w:pPr>
            <w:r w:rsidRPr="00CE65AF">
              <w:rPr>
                <w:rFonts w:ascii="ＭＳ 明朝" w:hAnsi="ＭＳ 明朝" w:hint="eastAsia"/>
                <w:szCs w:val="21"/>
              </w:rPr>
              <w:t>31件</w:t>
            </w:r>
          </w:p>
        </w:tc>
        <w:tc>
          <w:tcPr>
            <w:tcW w:w="12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65D93" w:rsidRPr="00CE65AF" w:rsidRDefault="00165D93" w:rsidP="00272938">
            <w:pPr>
              <w:jc w:val="center"/>
              <w:rPr>
                <w:rFonts w:ascii="ＭＳ 明朝" w:hAnsi="ＭＳ 明朝"/>
                <w:szCs w:val="21"/>
              </w:rPr>
            </w:pPr>
            <w:r w:rsidRPr="00CE65AF">
              <w:rPr>
                <w:rFonts w:ascii="ＭＳ 明朝" w:hAnsi="ＭＳ 明朝" w:hint="eastAsia"/>
                <w:szCs w:val="21"/>
              </w:rPr>
              <w:t>１件</w:t>
            </w:r>
          </w:p>
        </w:tc>
        <w:tc>
          <w:tcPr>
            <w:tcW w:w="12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65D93" w:rsidRPr="00CE65AF" w:rsidRDefault="00165D93" w:rsidP="00272938">
            <w:pPr>
              <w:jc w:val="center"/>
              <w:rPr>
                <w:rFonts w:ascii="ＭＳ 明朝" w:hAnsi="ＭＳ 明朝"/>
                <w:szCs w:val="21"/>
              </w:rPr>
            </w:pPr>
            <w:r w:rsidRPr="00CE65AF">
              <w:rPr>
                <w:rFonts w:ascii="ＭＳ 明朝" w:hAnsi="ＭＳ 明朝" w:hint="eastAsia"/>
                <w:szCs w:val="21"/>
              </w:rPr>
              <w:t>３件</w:t>
            </w:r>
          </w:p>
        </w:tc>
      </w:tr>
    </w:tbl>
    <w:p w:rsidR="00165D93" w:rsidRDefault="00165D93" w:rsidP="00165D93">
      <w:pPr>
        <w:rPr>
          <w:b/>
          <w:sz w:val="24"/>
          <w:szCs w:val="24"/>
        </w:rPr>
      </w:pPr>
      <w:r>
        <w:rPr>
          <w:rFonts w:ascii="ＭＳ 明朝" w:hAnsi="ＭＳ 明朝"/>
          <w:b/>
          <w:sz w:val="24"/>
          <w:szCs w:val="24"/>
        </w:rPr>
        <w:br w:type="page"/>
      </w:r>
      <w:r w:rsidR="00AC3D4F">
        <w:rPr>
          <w:rFonts w:hint="eastAsia"/>
          <w:b/>
          <w:sz w:val="24"/>
          <w:szCs w:val="24"/>
        </w:rPr>
        <w:lastRenderedPageBreak/>
        <w:t>３</w:t>
      </w:r>
      <w:r>
        <w:rPr>
          <w:rFonts w:hint="eastAsia"/>
          <w:b/>
          <w:sz w:val="24"/>
          <w:szCs w:val="24"/>
        </w:rPr>
        <w:t>．省エネ</w:t>
      </w:r>
      <w:r w:rsidR="004E37C6">
        <w:rPr>
          <w:rFonts w:hint="eastAsia"/>
          <w:b/>
          <w:sz w:val="24"/>
          <w:szCs w:val="24"/>
        </w:rPr>
        <w:t>基準適合件数</w:t>
      </w:r>
      <w:r>
        <w:rPr>
          <w:rFonts w:hint="eastAsia"/>
          <w:b/>
          <w:sz w:val="24"/>
          <w:szCs w:val="24"/>
        </w:rPr>
        <w:t>について</w:t>
      </w:r>
    </w:p>
    <w:p w:rsidR="004E37C6" w:rsidRDefault="004E37C6" w:rsidP="004E37C6">
      <w:pPr>
        <w:ind w:leftChars="100" w:left="210" w:firstLineChars="100" w:firstLine="210"/>
        <w:rPr>
          <w:rFonts w:ascii="ＭＳ 明朝" w:hAnsi="ＭＳ 明朝"/>
          <w:szCs w:val="21"/>
        </w:rPr>
      </w:pPr>
      <w:r>
        <w:rPr>
          <w:rFonts w:ascii="ＭＳ 明朝" w:hAnsi="ＭＳ 明朝" w:hint="eastAsia"/>
          <w:szCs w:val="21"/>
        </w:rPr>
        <w:t>2015</w:t>
      </w:r>
      <w:r w:rsidRPr="00CE65AF">
        <w:rPr>
          <w:rFonts w:ascii="ＭＳ 明朝" w:hAnsi="ＭＳ 明朝" w:hint="eastAsia"/>
          <w:szCs w:val="21"/>
        </w:rPr>
        <w:t>年4月1日から</w:t>
      </w:r>
      <w:r>
        <w:rPr>
          <w:rFonts w:ascii="ＭＳ 明朝" w:hAnsi="ＭＳ 明朝" w:hint="eastAsia"/>
          <w:szCs w:val="21"/>
        </w:rPr>
        <w:t>延べ面積10,000㎡以上の非住宅について、省エネ基準（外皮及び一次エネルギー消費量）への適合</w:t>
      </w:r>
      <w:r w:rsidRPr="00CE65AF">
        <w:rPr>
          <w:rFonts w:ascii="ＭＳ 明朝" w:hAnsi="ＭＳ 明朝" w:hint="eastAsia"/>
          <w:szCs w:val="21"/>
        </w:rPr>
        <w:t>義務付け</w:t>
      </w:r>
      <w:r>
        <w:rPr>
          <w:rFonts w:ascii="ＭＳ 明朝" w:hAnsi="ＭＳ 明朝" w:hint="eastAsia"/>
          <w:szCs w:val="21"/>
        </w:rPr>
        <w:t>ている。</w:t>
      </w:r>
    </w:p>
    <w:p w:rsidR="004E37C6" w:rsidRPr="00CE65AF" w:rsidRDefault="004E37C6" w:rsidP="004E37C6">
      <w:pPr>
        <w:ind w:leftChars="100" w:left="210" w:firstLineChars="100" w:firstLine="210"/>
        <w:rPr>
          <w:rFonts w:ascii="ＭＳ 明朝" w:hAnsi="ＭＳ 明朝"/>
          <w:szCs w:val="21"/>
        </w:rPr>
      </w:pPr>
      <w:r>
        <w:rPr>
          <w:rFonts w:ascii="ＭＳ 明朝" w:hAnsi="ＭＳ 明朝" w:hint="eastAsia"/>
          <w:szCs w:val="21"/>
        </w:rPr>
        <w:t>なお、大阪</w:t>
      </w:r>
      <w:r w:rsidR="00C04C44">
        <w:rPr>
          <w:rFonts w:ascii="ＭＳ 明朝" w:hAnsi="ＭＳ 明朝" w:hint="eastAsia"/>
          <w:szCs w:val="21"/>
        </w:rPr>
        <w:t>市内</w:t>
      </w:r>
      <w:r>
        <w:rPr>
          <w:rFonts w:ascii="ＭＳ 明朝" w:hAnsi="ＭＳ 明朝" w:hint="eastAsia"/>
          <w:szCs w:val="21"/>
        </w:rPr>
        <w:t>については、</w:t>
      </w:r>
      <w:r w:rsidR="00C04C44">
        <w:rPr>
          <w:rFonts w:ascii="ＭＳ 明朝" w:hAnsi="ＭＳ 明朝" w:hint="eastAsia"/>
          <w:szCs w:val="21"/>
        </w:rPr>
        <w:t>上記に加え、</w:t>
      </w:r>
      <w:r w:rsidR="00A33EF3" w:rsidRPr="00A33EF3">
        <w:rPr>
          <w:rFonts w:ascii="ＭＳ 明朝" w:hAnsi="ＭＳ 明朝" w:hint="eastAsia"/>
          <w:szCs w:val="21"/>
        </w:rPr>
        <w:t>建築物の環境配慮に関する条例</w:t>
      </w:r>
      <w:r w:rsidR="00C04C44">
        <w:rPr>
          <w:rFonts w:ascii="ＭＳ 明朝" w:hAnsi="ＭＳ 明朝" w:hint="eastAsia"/>
          <w:szCs w:val="21"/>
        </w:rPr>
        <w:t>の規定に基づき、</w:t>
      </w:r>
      <w:r w:rsidR="00C84CCE">
        <w:rPr>
          <w:rFonts w:ascii="ＭＳ 明朝" w:hAnsi="ＭＳ 明朝" w:hint="eastAsia"/>
          <w:szCs w:val="21"/>
        </w:rPr>
        <w:t>2015年10月１日から</w:t>
      </w:r>
      <w:r w:rsidR="00C04C44">
        <w:rPr>
          <w:rFonts w:ascii="ＭＳ 明朝" w:hAnsi="ＭＳ 明朝" w:hint="eastAsia"/>
          <w:szCs w:val="21"/>
        </w:rPr>
        <w:t>延べ面積10,000㎡以上かつ高さ60ｍ超の住宅についても、省エネ基準への適合を義務付けている。</w:t>
      </w:r>
    </w:p>
    <w:p w:rsidR="004E37C6" w:rsidRPr="00E1718E" w:rsidRDefault="004E37C6" w:rsidP="004E37C6">
      <w:pPr>
        <w:spacing w:beforeLines="50" w:before="180"/>
        <w:jc w:val="center"/>
        <w:rPr>
          <w:rFonts w:ascii="ＭＳ 明朝" w:hAnsi="ＭＳ 明朝"/>
          <w:b/>
        </w:rPr>
      </w:pPr>
      <w:r w:rsidRPr="00E1718E">
        <w:rPr>
          <w:rFonts w:hint="eastAsia"/>
          <w:b/>
        </w:rPr>
        <w:t>表</w:t>
      </w:r>
      <w:r w:rsidR="006D2A86">
        <w:rPr>
          <w:rFonts w:hint="eastAsia"/>
          <w:b/>
        </w:rPr>
        <w:t>５</w:t>
      </w:r>
      <w:r w:rsidRPr="00E1718E">
        <w:rPr>
          <w:rFonts w:hint="eastAsia"/>
          <w:b/>
        </w:rPr>
        <w:t xml:space="preserve">　</w:t>
      </w:r>
      <w:r w:rsidRPr="00E1718E">
        <w:rPr>
          <w:rFonts w:ascii="ＭＳ 明朝" w:hAnsi="ＭＳ 明朝" w:hint="eastAsia"/>
          <w:b/>
          <w:szCs w:val="21"/>
        </w:rPr>
        <w:t>省エネ基準適合状況</w:t>
      </w:r>
    </w:p>
    <w:tbl>
      <w:tblPr>
        <w:tblW w:w="7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348"/>
        <w:gridCol w:w="1204"/>
        <w:gridCol w:w="1204"/>
        <w:gridCol w:w="1205"/>
        <w:gridCol w:w="1205"/>
        <w:gridCol w:w="1719"/>
      </w:tblGrid>
      <w:tr w:rsidR="00A33EF3" w:rsidRPr="00272938" w:rsidTr="004E4216">
        <w:trPr>
          <w:jc w:val="center"/>
        </w:trPr>
        <w:tc>
          <w:tcPr>
            <w:tcW w:w="2552" w:type="dxa"/>
            <w:gridSpan w:val="2"/>
            <w:shd w:val="clear" w:color="auto" w:fill="FFFFFF"/>
            <w:vAlign w:val="center"/>
          </w:tcPr>
          <w:p w:rsidR="00A33EF3" w:rsidRPr="00272938" w:rsidRDefault="00A33EF3" w:rsidP="00C04C44">
            <w:pPr>
              <w:tabs>
                <w:tab w:val="left" w:pos="1080"/>
              </w:tabs>
              <w:spacing w:line="260" w:lineRule="exact"/>
              <w:jc w:val="center"/>
              <w:rPr>
                <w:rFonts w:ascii="ＭＳ 明朝" w:hAnsi="ＭＳ 明朝"/>
                <w:color w:val="000000"/>
                <w:szCs w:val="21"/>
              </w:rPr>
            </w:pPr>
          </w:p>
        </w:tc>
        <w:tc>
          <w:tcPr>
            <w:tcW w:w="1204" w:type="dxa"/>
            <w:shd w:val="clear" w:color="auto" w:fill="FFFFFF"/>
            <w:vAlign w:val="center"/>
          </w:tcPr>
          <w:p w:rsidR="00A33EF3" w:rsidRPr="00272938" w:rsidRDefault="00A33EF3" w:rsidP="00C04C44">
            <w:pPr>
              <w:tabs>
                <w:tab w:val="left" w:pos="1080"/>
              </w:tabs>
              <w:spacing w:line="260" w:lineRule="exact"/>
              <w:jc w:val="center"/>
              <w:rPr>
                <w:rFonts w:ascii="ＭＳ 明朝" w:hAnsi="ＭＳ 明朝"/>
                <w:color w:val="000000"/>
                <w:szCs w:val="21"/>
              </w:rPr>
            </w:pPr>
            <w:r w:rsidRPr="00272938">
              <w:rPr>
                <w:rFonts w:ascii="ＭＳ 明朝" w:hAnsi="ＭＳ 明朝" w:hint="eastAsia"/>
                <w:color w:val="000000"/>
                <w:szCs w:val="21"/>
              </w:rPr>
              <w:t>対象件数</w:t>
            </w:r>
          </w:p>
        </w:tc>
        <w:tc>
          <w:tcPr>
            <w:tcW w:w="1205" w:type="dxa"/>
            <w:shd w:val="clear" w:color="auto" w:fill="FFFFFF"/>
            <w:vAlign w:val="center"/>
          </w:tcPr>
          <w:p w:rsidR="00A33EF3" w:rsidRPr="00272938" w:rsidRDefault="00A33EF3" w:rsidP="00C04C44">
            <w:pPr>
              <w:tabs>
                <w:tab w:val="left" w:pos="1080"/>
              </w:tabs>
              <w:spacing w:line="260" w:lineRule="exact"/>
              <w:jc w:val="center"/>
              <w:rPr>
                <w:rFonts w:ascii="ＭＳ 明朝" w:hAnsi="ＭＳ 明朝"/>
                <w:color w:val="000000"/>
                <w:szCs w:val="21"/>
              </w:rPr>
            </w:pPr>
            <w:r w:rsidRPr="00272938">
              <w:rPr>
                <w:rFonts w:ascii="ＭＳ 明朝" w:hAnsi="ＭＳ 明朝" w:hint="eastAsia"/>
                <w:color w:val="000000"/>
                <w:szCs w:val="21"/>
              </w:rPr>
              <w:t>適合件数</w:t>
            </w:r>
          </w:p>
        </w:tc>
        <w:tc>
          <w:tcPr>
            <w:tcW w:w="1205" w:type="dxa"/>
            <w:shd w:val="clear" w:color="auto" w:fill="FFFFFF"/>
            <w:vAlign w:val="center"/>
          </w:tcPr>
          <w:p w:rsidR="00A33EF3" w:rsidRPr="00272938" w:rsidRDefault="00A33EF3" w:rsidP="00C04C44">
            <w:pPr>
              <w:tabs>
                <w:tab w:val="left" w:pos="1080"/>
              </w:tabs>
              <w:spacing w:line="260" w:lineRule="exact"/>
              <w:jc w:val="center"/>
              <w:rPr>
                <w:rFonts w:ascii="ＭＳ 明朝" w:hAnsi="ＭＳ 明朝"/>
                <w:color w:val="000000"/>
                <w:szCs w:val="21"/>
              </w:rPr>
            </w:pPr>
            <w:r w:rsidRPr="00272938">
              <w:rPr>
                <w:rFonts w:ascii="ＭＳ 明朝" w:hAnsi="ＭＳ 明朝" w:hint="eastAsia"/>
                <w:color w:val="000000"/>
                <w:szCs w:val="21"/>
              </w:rPr>
              <w:t>適合率</w:t>
            </w:r>
          </w:p>
        </w:tc>
        <w:tc>
          <w:tcPr>
            <w:tcW w:w="1719" w:type="dxa"/>
            <w:shd w:val="clear" w:color="auto" w:fill="FFFFFF"/>
            <w:vAlign w:val="center"/>
          </w:tcPr>
          <w:p w:rsidR="00A33EF3" w:rsidRPr="00272938" w:rsidRDefault="00A33EF3" w:rsidP="00C04C44">
            <w:pPr>
              <w:tabs>
                <w:tab w:val="left" w:pos="1080"/>
              </w:tabs>
              <w:spacing w:line="260" w:lineRule="exact"/>
              <w:jc w:val="center"/>
              <w:rPr>
                <w:rFonts w:ascii="ＭＳ 明朝" w:hAnsi="ＭＳ 明朝"/>
                <w:color w:val="000000"/>
                <w:szCs w:val="21"/>
              </w:rPr>
            </w:pPr>
            <w:r w:rsidRPr="00272938">
              <w:rPr>
                <w:rFonts w:ascii="ＭＳ 明朝" w:hAnsi="ＭＳ 明朝" w:hint="eastAsia"/>
                <w:color w:val="000000"/>
                <w:szCs w:val="21"/>
              </w:rPr>
              <w:t>備考</w:t>
            </w:r>
          </w:p>
        </w:tc>
      </w:tr>
      <w:tr w:rsidR="00770940" w:rsidRPr="00272938" w:rsidTr="00272938">
        <w:trPr>
          <w:jc w:val="center"/>
        </w:trPr>
        <w:tc>
          <w:tcPr>
            <w:tcW w:w="1348" w:type="dxa"/>
            <w:vMerge w:val="restart"/>
            <w:shd w:val="clear" w:color="auto" w:fill="FFFFFF"/>
            <w:vAlign w:val="center"/>
          </w:tcPr>
          <w:p w:rsidR="00770940" w:rsidRPr="00272938" w:rsidRDefault="00770940" w:rsidP="00C04C44">
            <w:pPr>
              <w:spacing w:line="300" w:lineRule="exact"/>
              <w:jc w:val="center"/>
              <w:rPr>
                <w:rFonts w:ascii="ＭＳ 明朝" w:hAnsi="ＭＳ 明朝"/>
                <w:color w:val="000000"/>
                <w:szCs w:val="21"/>
              </w:rPr>
            </w:pPr>
            <w:r w:rsidRPr="00272938">
              <w:rPr>
                <w:rFonts w:ascii="ＭＳ 明朝" w:hAnsi="ＭＳ 明朝" w:hint="eastAsia"/>
                <w:color w:val="000000"/>
                <w:szCs w:val="21"/>
              </w:rPr>
              <w:t>2015年度</w:t>
            </w:r>
          </w:p>
        </w:tc>
        <w:tc>
          <w:tcPr>
            <w:tcW w:w="1204" w:type="dxa"/>
            <w:shd w:val="clear" w:color="auto" w:fill="FFFFFF"/>
            <w:vAlign w:val="center"/>
          </w:tcPr>
          <w:p w:rsidR="00770940" w:rsidRPr="00272938" w:rsidRDefault="00770940" w:rsidP="00C04C44">
            <w:pPr>
              <w:tabs>
                <w:tab w:val="left" w:pos="1080"/>
              </w:tabs>
              <w:spacing w:line="260" w:lineRule="exact"/>
              <w:jc w:val="center"/>
              <w:rPr>
                <w:rFonts w:ascii="ＭＳ 明朝" w:hAnsi="ＭＳ 明朝"/>
                <w:color w:val="000000"/>
                <w:szCs w:val="21"/>
              </w:rPr>
            </w:pPr>
            <w:r w:rsidRPr="00272938">
              <w:rPr>
                <w:rFonts w:ascii="ＭＳ 明朝" w:hAnsi="ＭＳ 明朝" w:hint="eastAsia"/>
                <w:color w:val="000000"/>
                <w:szCs w:val="21"/>
              </w:rPr>
              <w:t>非住宅</w:t>
            </w:r>
          </w:p>
        </w:tc>
        <w:tc>
          <w:tcPr>
            <w:tcW w:w="1204" w:type="dxa"/>
            <w:shd w:val="clear" w:color="auto" w:fill="FFFFFF"/>
            <w:vAlign w:val="center"/>
          </w:tcPr>
          <w:p w:rsidR="00770940" w:rsidRPr="00272938" w:rsidRDefault="00770940" w:rsidP="00C04C44">
            <w:pPr>
              <w:tabs>
                <w:tab w:val="left" w:pos="1080"/>
              </w:tabs>
              <w:spacing w:line="260" w:lineRule="exact"/>
              <w:jc w:val="center"/>
              <w:rPr>
                <w:rFonts w:ascii="ＭＳ 明朝" w:hAnsi="ＭＳ 明朝"/>
                <w:color w:val="000000"/>
                <w:szCs w:val="21"/>
              </w:rPr>
            </w:pPr>
            <w:r w:rsidRPr="00272938">
              <w:rPr>
                <w:rFonts w:ascii="ＭＳ 明朝" w:hAnsi="ＭＳ 明朝" w:hint="eastAsia"/>
                <w:color w:val="000000"/>
                <w:szCs w:val="21"/>
              </w:rPr>
              <w:t>36</w:t>
            </w:r>
          </w:p>
        </w:tc>
        <w:tc>
          <w:tcPr>
            <w:tcW w:w="1205" w:type="dxa"/>
            <w:shd w:val="clear" w:color="auto" w:fill="FFFFFF"/>
            <w:vAlign w:val="center"/>
          </w:tcPr>
          <w:p w:rsidR="00770940" w:rsidRPr="00272938" w:rsidRDefault="00770940" w:rsidP="00C04C44">
            <w:pPr>
              <w:tabs>
                <w:tab w:val="left" w:pos="1080"/>
              </w:tabs>
              <w:spacing w:line="260" w:lineRule="exact"/>
              <w:jc w:val="center"/>
              <w:rPr>
                <w:rFonts w:ascii="ＭＳ 明朝" w:hAnsi="ＭＳ 明朝"/>
                <w:color w:val="000000"/>
                <w:szCs w:val="21"/>
              </w:rPr>
            </w:pPr>
            <w:r w:rsidRPr="00272938">
              <w:rPr>
                <w:rFonts w:ascii="ＭＳ 明朝" w:hAnsi="ＭＳ 明朝" w:hint="eastAsia"/>
                <w:color w:val="000000"/>
                <w:szCs w:val="21"/>
              </w:rPr>
              <w:t>36</w:t>
            </w:r>
          </w:p>
        </w:tc>
        <w:tc>
          <w:tcPr>
            <w:tcW w:w="1205" w:type="dxa"/>
            <w:shd w:val="clear" w:color="auto" w:fill="FFFFFF"/>
            <w:vAlign w:val="center"/>
          </w:tcPr>
          <w:p w:rsidR="00770940" w:rsidRPr="00272938" w:rsidRDefault="00770940" w:rsidP="00C04C44">
            <w:pPr>
              <w:tabs>
                <w:tab w:val="left" w:pos="1080"/>
              </w:tabs>
              <w:spacing w:line="260" w:lineRule="exact"/>
              <w:jc w:val="center"/>
              <w:rPr>
                <w:rFonts w:ascii="ＭＳ 明朝" w:hAnsi="ＭＳ 明朝"/>
                <w:color w:val="000000"/>
                <w:szCs w:val="21"/>
              </w:rPr>
            </w:pPr>
            <w:r w:rsidRPr="00272938">
              <w:rPr>
                <w:rFonts w:ascii="ＭＳ 明朝" w:hAnsi="ＭＳ 明朝" w:hint="eastAsia"/>
                <w:color w:val="000000"/>
                <w:szCs w:val="21"/>
              </w:rPr>
              <w:t>100％</w:t>
            </w:r>
          </w:p>
        </w:tc>
        <w:tc>
          <w:tcPr>
            <w:tcW w:w="1719" w:type="dxa"/>
            <w:shd w:val="clear" w:color="auto" w:fill="FFFFFF"/>
            <w:vAlign w:val="center"/>
          </w:tcPr>
          <w:p w:rsidR="00770940" w:rsidRPr="00272938" w:rsidRDefault="00770940" w:rsidP="00C04C44">
            <w:pPr>
              <w:tabs>
                <w:tab w:val="left" w:pos="1080"/>
              </w:tabs>
              <w:spacing w:line="260" w:lineRule="exact"/>
              <w:jc w:val="center"/>
              <w:rPr>
                <w:rFonts w:ascii="ＭＳ 明朝" w:hAnsi="ＭＳ 明朝"/>
                <w:color w:val="000000"/>
                <w:szCs w:val="21"/>
              </w:rPr>
            </w:pPr>
          </w:p>
        </w:tc>
      </w:tr>
      <w:tr w:rsidR="00770940" w:rsidRPr="00272938" w:rsidTr="00272938">
        <w:trPr>
          <w:jc w:val="center"/>
        </w:trPr>
        <w:tc>
          <w:tcPr>
            <w:tcW w:w="1348" w:type="dxa"/>
            <w:vMerge/>
            <w:shd w:val="clear" w:color="auto" w:fill="FFFFFF"/>
            <w:vAlign w:val="center"/>
          </w:tcPr>
          <w:p w:rsidR="00770940" w:rsidRPr="00272938" w:rsidRDefault="00770940" w:rsidP="00C04C44">
            <w:pPr>
              <w:spacing w:line="300" w:lineRule="exact"/>
              <w:jc w:val="center"/>
              <w:rPr>
                <w:rFonts w:ascii="ＭＳ 明朝" w:hAnsi="ＭＳ 明朝"/>
                <w:color w:val="000000"/>
                <w:szCs w:val="21"/>
              </w:rPr>
            </w:pPr>
          </w:p>
        </w:tc>
        <w:tc>
          <w:tcPr>
            <w:tcW w:w="1204" w:type="dxa"/>
            <w:shd w:val="clear" w:color="auto" w:fill="FFFFFF"/>
            <w:vAlign w:val="center"/>
          </w:tcPr>
          <w:p w:rsidR="00770940" w:rsidRPr="00272938" w:rsidRDefault="00770940" w:rsidP="00C04C44">
            <w:pPr>
              <w:tabs>
                <w:tab w:val="left" w:pos="1080"/>
              </w:tabs>
              <w:spacing w:line="260" w:lineRule="exact"/>
              <w:jc w:val="center"/>
              <w:rPr>
                <w:rFonts w:ascii="ＭＳ 明朝" w:hAnsi="ＭＳ 明朝"/>
                <w:color w:val="000000"/>
                <w:szCs w:val="21"/>
              </w:rPr>
            </w:pPr>
            <w:r w:rsidRPr="00272938">
              <w:rPr>
                <w:rFonts w:ascii="ＭＳ 明朝" w:hAnsi="ＭＳ 明朝" w:hint="eastAsia"/>
                <w:color w:val="000000"/>
                <w:szCs w:val="21"/>
              </w:rPr>
              <w:t>住宅</w:t>
            </w:r>
          </w:p>
        </w:tc>
        <w:tc>
          <w:tcPr>
            <w:tcW w:w="1204" w:type="dxa"/>
            <w:shd w:val="clear" w:color="auto" w:fill="FFFFFF"/>
            <w:vAlign w:val="center"/>
          </w:tcPr>
          <w:p w:rsidR="00770940" w:rsidRPr="00272938" w:rsidRDefault="00770940" w:rsidP="00C04C44">
            <w:pPr>
              <w:tabs>
                <w:tab w:val="left" w:pos="1080"/>
              </w:tabs>
              <w:spacing w:line="260" w:lineRule="exact"/>
              <w:jc w:val="center"/>
              <w:rPr>
                <w:rFonts w:ascii="ＭＳ 明朝" w:hAnsi="ＭＳ 明朝"/>
                <w:color w:val="000000"/>
                <w:szCs w:val="21"/>
              </w:rPr>
            </w:pPr>
            <w:r w:rsidRPr="00272938">
              <w:rPr>
                <w:rFonts w:ascii="ＭＳ 明朝" w:hAnsi="ＭＳ 明朝" w:hint="eastAsia"/>
                <w:color w:val="000000"/>
                <w:szCs w:val="21"/>
              </w:rPr>
              <w:t>5</w:t>
            </w:r>
          </w:p>
        </w:tc>
        <w:tc>
          <w:tcPr>
            <w:tcW w:w="1205" w:type="dxa"/>
            <w:shd w:val="clear" w:color="auto" w:fill="FFFFFF"/>
            <w:vAlign w:val="center"/>
          </w:tcPr>
          <w:p w:rsidR="00770940" w:rsidRPr="00272938" w:rsidRDefault="00770940" w:rsidP="00C04C44">
            <w:pPr>
              <w:tabs>
                <w:tab w:val="left" w:pos="1080"/>
              </w:tabs>
              <w:spacing w:line="260" w:lineRule="exact"/>
              <w:jc w:val="center"/>
              <w:rPr>
                <w:rFonts w:ascii="ＭＳ 明朝" w:hAnsi="ＭＳ 明朝"/>
                <w:color w:val="000000"/>
                <w:szCs w:val="21"/>
              </w:rPr>
            </w:pPr>
            <w:r w:rsidRPr="00272938">
              <w:rPr>
                <w:rFonts w:ascii="ＭＳ 明朝" w:hAnsi="ＭＳ 明朝" w:hint="eastAsia"/>
                <w:color w:val="000000"/>
                <w:szCs w:val="21"/>
              </w:rPr>
              <w:t>5</w:t>
            </w:r>
          </w:p>
        </w:tc>
        <w:tc>
          <w:tcPr>
            <w:tcW w:w="1205" w:type="dxa"/>
            <w:shd w:val="clear" w:color="auto" w:fill="FFFFFF"/>
            <w:vAlign w:val="center"/>
          </w:tcPr>
          <w:p w:rsidR="00770940" w:rsidRPr="00272938" w:rsidRDefault="00770940" w:rsidP="00C04C44">
            <w:pPr>
              <w:tabs>
                <w:tab w:val="left" w:pos="1080"/>
              </w:tabs>
              <w:spacing w:line="260" w:lineRule="exact"/>
              <w:jc w:val="center"/>
              <w:rPr>
                <w:rFonts w:ascii="ＭＳ 明朝" w:hAnsi="ＭＳ 明朝"/>
                <w:color w:val="000000"/>
                <w:szCs w:val="21"/>
              </w:rPr>
            </w:pPr>
            <w:r w:rsidRPr="00272938">
              <w:rPr>
                <w:rFonts w:ascii="ＭＳ 明朝" w:hAnsi="ＭＳ 明朝" w:hint="eastAsia"/>
                <w:color w:val="000000"/>
                <w:szCs w:val="21"/>
              </w:rPr>
              <w:t>100％</w:t>
            </w:r>
          </w:p>
        </w:tc>
        <w:tc>
          <w:tcPr>
            <w:tcW w:w="1719" w:type="dxa"/>
            <w:shd w:val="clear" w:color="auto" w:fill="FFFFFF"/>
            <w:vAlign w:val="center"/>
          </w:tcPr>
          <w:p w:rsidR="00770940" w:rsidRPr="00272938" w:rsidRDefault="00770940" w:rsidP="00C04C44">
            <w:pPr>
              <w:tabs>
                <w:tab w:val="left" w:pos="1080"/>
              </w:tabs>
              <w:spacing w:line="260" w:lineRule="exact"/>
              <w:jc w:val="center"/>
              <w:rPr>
                <w:rFonts w:ascii="ＭＳ 明朝" w:hAnsi="ＭＳ 明朝"/>
                <w:color w:val="000000"/>
                <w:szCs w:val="21"/>
              </w:rPr>
            </w:pPr>
            <w:r w:rsidRPr="00272938">
              <w:rPr>
                <w:rFonts w:ascii="ＭＳ 明朝" w:hAnsi="ＭＳ 明朝" w:hint="eastAsia"/>
                <w:color w:val="000000"/>
                <w:szCs w:val="21"/>
              </w:rPr>
              <w:t>大阪市内に限る</w:t>
            </w:r>
          </w:p>
        </w:tc>
      </w:tr>
    </w:tbl>
    <w:p w:rsidR="00770940" w:rsidRDefault="00770940" w:rsidP="00165D93">
      <w:pPr>
        <w:spacing w:beforeLines="50" w:before="180"/>
        <w:rPr>
          <w:rFonts w:ascii="ＭＳ 明朝" w:hAnsi="ＭＳ 明朝"/>
          <w:b/>
          <w:sz w:val="24"/>
          <w:szCs w:val="24"/>
        </w:rPr>
      </w:pPr>
    </w:p>
    <w:p w:rsidR="00770940" w:rsidRDefault="00770940" w:rsidP="00165D93">
      <w:pPr>
        <w:spacing w:beforeLines="50" w:before="180"/>
        <w:rPr>
          <w:rFonts w:ascii="ＭＳ 明朝" w:hAnsi="ＭＳ 明朝"/>
          <w:sz w:val="24"/>
          <w:szCs w:val="24"/>
        </w:rPr>
      </w:pPr>
      <w:r w:rsidRPr="00770940">
        <w:rPr>
          <w:rFonts w:ascii="ＭＳ 明朝" w:hAnsi="ＭＳ 明朝" w:hint="eastAsia"/>
          <w:sz w:val="24"/>
          <w:szCs w:val="24"/>
        </w:rPr>
        <w:t>【参考】</w:t>
      </w:r>
    </w:p>
    <w:p w:rsidR="00770940" w:rsidRDefault="00A33EF3" w:rsidP="00770940">
      <w:pPr>
        <w:ind w:firstLineChars="100" w:firstLine="210"/>
        <w:rPr>
          <w:rFonts w:ascii="ＭＳ 明朝" w:hAnsi="ＭＳ 明朝"/>
          <w:color w:val="000000" w:themeColor="text1"/>
          <w:szCs w:val="21"/>
        </w:rPr>
      </w:pPr>
      <w:r>
        <w:rPr>
          <w:rFonts w:ascii="ＭＳ 明朝" w:hAnsi="ＭＳ 明朝" w:hint="eastAsia"/>
          <w:color w:val="000000" w:themeColor="text1"/>
          <w:szCs w:val="21"/>
        </w:rPr>
        <w:t>エネルギーの使用の合理化等に関する法律の規定に基づき、大阪府内の所管行政庁に届出られた省エネ基準適合率は、表５のとおり。</w:t>
      </w:r>
    </w:p>
    <w:p w:rsidR="00E1718E" w:rsidRPr="00E1718E" w:rsidRDefault="00E1718E" w:rsidP="00E1718E">
      <w:pPr>
        <w:spacing w:beforeLines="50" w:before="180"/>
        <w:jc w:val="center"/>
        <w:rPr>
          <w:rFonts w:ascii="ＭＳ 明朝" w:hAnsi="ＭＳ 明朝"/>
          <w:color w:val="000000" w:themeColor="text1"/>
          <w:szCs w:val="21"/>
        </w:rPr>
      </w:pPr>
      <w:r w:rsidRPr="00E1718E">
        <w:rPr>
          <w:rFonts w:hint="eastAsia"/>
          <w:b/>
        </w:rPr>
        <w:t>表</w:t>
      </w:r>
      <w:r w:rsidR="006D2A86">
        <w:rPr>
          <w:rFonts w:hint="eastAsia"/>
          <w:b/>
        </w:rPr>
        <w:t>６</w:t>
      </w:r>
      <w:r w:rsidRPr="00E1718E">
        <w:rPr>
          <w:rFonts w:hint="eastAsia"/>
          <w:b/>
        </w:rPr>
        <w:t xml:space="preserve">　</w:t>
      </w:r>
      <w:r>
        <w:rPr>
          <w:rFonts w:hint="eastAsia"/>
          <w:b/>
        </w:rPr>
        <w:t>省エネ法に基づく届出に関する</w:t>
      </w:r>
      <w:r w:rsidRPr="00E1718E">
        <w:rPr>
          <w:rFonts w:ascii="ＭＳ 明朝" w:hAnsi="ＭＳ 明朝" w:hint="eastAsia"/>
          <w:b/>
          <w:szCs w:val="21"/>
        </w:rPr>
        <w:t>省エネ基準適合状況</w:t>
      </w:r>
      <w:bookmarkStart w:id="0" w:name="_GoBack"/>
      <w:bookmarkEnd w:id="0"/>
    </w:p>
    <w:tbl>
      <w:tblPr>
        <w:tblW w:w="8132" w:type="dxa"/>
        <w:jc w:val="center"/>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320"/>
        <w:gridCol w:w="992"/>
        <w:gridCol w:w="2268"/>
        <w:gridCol w:w="1142"/>
        <w:gridCol w:w="1205"/>
        <w:gridCol w:w="1205"/>
      </w:tblGrid>
      <w:tr w:rsidR="00E1718E" w:rsidRPr="00272938" w:rsidTr="0047720F">
        <w:trPr>
          <w:jc w:val="center"/>
        </w:trPr>
        <w:tc>
          <w:tcPr>
            <w:tcW w:w="4580" w:type="dxa"/>
            <w:gridSpan w:val="3"/>
            <w:shd w:val="clear" w:color="auto" w:fill="FFFFFF"/>
            <w:vAlign w:val="center"/>
          </w:tcPr>
          <w:p w:rsidR="00E1718E" w:rsidRPr="00272938" w:rsidRDefault="00E1718E" w:rsidP="00884CF5">
            <w:pPr>
              <w:tabs>
                <w:tab w:val="left" w:pos="1080"/>
              </w:tabs>
              <w:spacing w:line="260" w:lineRule="exact"/>
              <w:jc w:val="center"/>
              <w:rPr>
                <w:rFonts w:ascii="ＭＳ 明朝" w:hAnsi="ＭＳ 明朝"/>
                <w:color w:val="000000"/>
                <w:szCs w:val="21"/>
              </w:rPr>
            </w:pPr>
          </w:p>
        </w:tc>
        <w:tc>
          <w:tcPr>
            <w:tcW w:w="1142" w:type="dxa"/>
            <w:shd w:val="clear" w:color="auto" w:fill="FFFFFF"/>
            <w:vAlign w:val="center"/>
          </w:tcPr>
          <w:p w:rsidR="00E1718E" w:rsidRPr="00272938" w:rsidRDefault="00E1718E" w:rsidP="00884CF5">
            <w:pPr>
              <w:tabs>
                <w:tab w:val="left" w:pos="1080"/>
              </w:tabs>
              <w:spacing w:line="260" w:lineRule="exact"/>
              <w:jc w:val="center"/>
              <w:rPr>
                <w:rFonts w:ascii="ＭＳ 明朝" w:hAnsi="ＭＳ 明朝"/>
                <w:color w:val="000000"/>
                <w:szCs w:val="21"/>
              </w:rPr>
            </w:pPr>
            <w:r>
              <w:rPr>
                <w:rFonts w:ascii="ＭＳ 明朝" w:hAnsi="ＭＳ 明朝" w:hint="eastAsia"/>
                <w:color w:val="000000"/>
                <w:szCs w:val="21"/>
              </w:rPr>
              <w:t>届出</w:t>
            </w:r>
            <w:r w:rsidRPr="00272938">
              <w:rPr>
                <w:rFonts w:ascii="ＭＳ 明朝" w:hAnsi="ＭＳ 明朝" w:hint="eastAsia"/>
                <w:color w:val="000000"/>
                <w:szCs w:val="21"/>
              </w:rPr>
              <w:t>件数</w:t>
            </w:r>
          </w:p>
        </w:tc>
        <w:tc>
          <w:tcPr>
            <w:tcW w:w="1205" w:type="dxa"/>
            <w:shd w:val="clear" w:color="auto" w:fill="FFFFFF"/>
            <w:vAlign w:val="center"/>
          </w:tcPr>
          <w:p w:rsidR="00E1718E" w:rsidRPr="00272938" w:rsidRDefault="00E1718E" w:rsidP="00884CF5">
            <w:pPr>
              <w:tabs>
                <w:tab w:val="left" w:pos="1080"/>
              </w:tabs>
              <w:spacing w:line="260" w:lineRule="exact"/>
              <w:jc w:val="center"/>
              <w:rPr>
                <w:rFonts w:ascii="ＭＳ 明朝" w:hAnsi="ＭＳ 明朝"/>
                <w:color w:val="000000"/>
                <w:szCs w:val="21"/>
              </w:rPr>
            </w:pPr>
            <w:r w:rsidRPr="00272938">
              <w:rPr>
                <w:rFonts w:ascii="ＭＳ 明朝" w:hAnsi="ＭＳ 明朝" w:hint="eastAsia"/>
                <w:color w:val="000000"/>
                <w:szCs w:val="21"/>
              </w:rPr>
              <w:t>適合件数</w:t>
            </w:r>
          </w:p>
        </w:tc>
        <w:tc>
          <w:tcPr>
            <w:tcW w:w="1205" w:type="dxa"/>
            <w:shd w:val="clear" w:color="auto" w:fill="FFFFFF"/>
            <w:vAlign w:val="center"/>
          </w:tcPr>
          <w:p w:rsidR="00E1718E" w:rsidRPr="00272938" w:rsidRDefault="00E1718E" w:rsidP="00884CF5">
            <w:pPr>
              <w:tabs>
                <w:tab w:val="left" w:pos="1080"/>
              </w:tabs>
              <w:spacing w:line="260" w:lineRule="exact"/>
              <w:jc w:val="center"/>
              <w:rPr>
                <w:rFonts w:ascii="ＭＳ 明朝" w:hAnsi="ＭＳ 明朝"/>
                <w:color w:val="000000"/>
                <w:szCs w:val="21"/>
              </w:rPr>
            </w:pPr>
            <w:r w:rsidRPr="00272938">
              <w:rPr>
                <w:rFonts w:ascii="ＭＳ 明朝" w:hAnsi="ＭＳ 明朝" w:hint="eastAsia"/>
                <w:color w:val="000000"/>
                <w:szCs w:val="21"/>
              </w:rPr>
              <w:t>適合率</w:t>
            </w:r>
          </w:p>
        </w:tc>
      </w:tr>
      <w:tr w:rsidR="00E1718E" w:rsidRPr="00272938" w:rsidTr="00E1718E">
        <w:trPr>
          <w:jc w:val="center"/>
        </w:trPr>
        <w:tc>
          <w:tcPr>
            <w:tcW w:w="1320" w:type="dxa"/>
            <w:vMerge w:val="restart"/>
            <w:shd w:val="clear" w:color="auto" w:fill="FFFFFF"/>
            <w:vAlign w:val="center"/>
          </w:tcPr>
          <w:p w:rsidR="00E1718E" w:rsidRPr="00272938" w:rsidRDefault="00E1718E" w:rsidP="00884CF5">
            <w:pPr>
              <w:spacing w:line="300" w:lineRule="exact"/>
              <w:jc w:val="center"/>
              <w:rPr>
                <w:rFonts w:ascii="ＭＳ 明朝" w:hAnsi="ＭＳ 明朝"/>
                <w:color w:val="000000"/>
                <w:szCs w:val="21"/>
              </w:rPr>
            </w:pPr>
            <w:r>
              <w:rPr>
                <w:rFonts w:ascii="ＭＳ 明朝" w:hAnsi="ＭＳ 明朝" w:hint="eastAsia"/>
                <w:color w:val="000000"/>
                <w:szCs w:val="21"/>
              </w:rPr>
              <w:t>2013</w:t>
            </w:r>
            <w:r w:rsidRPr="00272938">
              <w:rPr>
                <w:rFonts w:ascii="ＭＳ 明朝" w:hAnsi="ＭＳ 明朝" w:hint="eastAsia"/>
                <w:color w:val="000000"/>
                <w:szCs w:val="21"/>
              </w:rPr>
              <w:t>年度</w:t>
            </w:r>
          </w:p>
        </w:tc>
        <w:tc>
          <w:tcPr>
            <w:tcW w:w="992" w:type="dxa"/>
            <w:vMerge w:val="restart"/>
            <w:shd w:val="clear" w:color="auto" w:fill="FFFFFF"/>
            <w:vAlign w:val="center"/>
          </w:tcPr>
          <w:p w:rsidR="00E1718E" w:rsidRPr="00272938" w:rsidRDefault="00E1718E" w:rsidP="00884CF5">
            <w:pPr>
              <w:tabs>
                <w:tab w:val="left" w:pos="1080"/>
              </w:tabs>
              <w:spacing w:line="260" w:lineRule="exact"/>
              <w:jc w:val="center"/>
              <w:rPr>
                <w:rFonts w:ascii="ＭＳ 明朝" w:hAnsi="ＭＳ 明朝"/>
                <w:color w:val="000000"/>
                <w:szCs w:val="21"/>
              </w:rPr>
            </w:pPr>
            <w:r w:rsidRPr="00272938">
              <w:rPr>
                <w:rFonts w:ascii="ＭＳ 明朝" w:hAnsi="ＭＳ 明朝" w:hint="eastAsia"/>
                <w:color w:val="000000"/>
                <w:szCs w:val="21"/>
              </w:rPr>
              <w:t>非住宅</w:t>
            </w:r>
          </w:p>
        </w:tc>
        <w:tc>
          <w:tcPr>
            <w:tcW w:w="2268" w:type="dxa"/>
            <w:shd w:val="clear" w:color="auto" w:fill="FFFFFF"/>
          </w:tcPr>
          <w:p w:rsidR="00E1718E" w:rsidRPr="00272938" w:rsidRDefault="00E1718E" w:rsidP="00884CF5">
            <w:pPr>
              <w:tabs>
                <w:tab w:val="left" w:pos="1080"/>
              </w:tabs>
              <w:spacing w:line="260" w:lineRule="exact"/>
              <w:jc w:val="center"/>
              <w:rPr>
                <w:rFonts w:ascii="ＭＳ 明朝" w:hAnsi="ＭＳ 明朝"/>
                <w:color w:val="000000"/>
                <w:szCs w:val="21"/>
              </w:rPr>
            </w:pPr>
            <w:r>
              <w:rPr>
                <w:rFonts w:ascii="ＭＳ 明朝" w:hAnsi="ＭＳ 明朝" w:hint="eastAsia"/>
                <w:color w:val="000000"/>
                <w:szCs w:val="21"/>
              </w:rPr>
              <w:t>第一種特定建築物</w:t>
            </w:r>
          </w:p>
        </w:tc>
        <w:tc>
          <w:tcPr>
            <w:tcW w:w="1142" w:type="dxa"/>
            <w:shd w:val="clear" w:color="auto" w:fill="FFFFFF"/>
            <w:vAlign w:val="center"/>
          </w:tcPr>
          <w:p w:rsidR="00E1718E" w:rsidRPr="00272938" w:rsidRDefault="00E1718E" w:rsidP="00884CF5">
            <w:pPr>
              <w:tabs>
                <w:tab w:val="left" w:pos="1080"/>
              </w:tabs>
              <w:spacing w:line="260" w:lineRule="exact"/>
              <w:jc w:val="center"/>
              <w:rPr>
                <w:rFonts w:ascii="ＭＳ 明朝" w:hAnsi="ＭＳ 明朝"/>
                <w:color w:val="000000"/>
                <w:szCs w:val="21"/>
              </w:rPr>
            </w:pPr>
            <w:r w:rsidRPr="00E1718E">
              <w:rPr>
                <w:rFonts w:ascii="ＭＳ 明朝" w:hAnsi="ＭＳ 明朝"/>
                <w:color w:val="000000"/>
                <w:szCs w:val="21"/>
              </w:rPr>
              <w:t>310</w:t>
            </w:r>
          </w:p>
        </w:tc>
        <w:tc>
          <w:tcPr>
            <w:tcW w:w="1205" w:type="dxa"/>
            <w:shd w:val="clear" w:color="auto" w:fill="FFFFFF"/>
            <w:vAlign w:val="center"/>
          </w:tcPr>
          <w:p w:rsidR="00E1718E" w:rsidRPr="00272938" w:rsidRDefault="00451991" w:rsidP="00884CF5">
            <w:pPr>
              <w:tabs>
                <w:tab w:val="left" w:pos="1080"/>
              </w:tabs>
              <w:spacing w:line="260" w:lineRule="exact"/>
              <w:jc w:val="center"/>
              <w:rPr>
                <w:rFonts w:ascii="ＭＳ 明朝" w:hAnsi="ＭＳ 明朝"/>
                <w:color w:val="000000"/>
                <w:szCs w:val="21"/>
              </w:rPr>
            </w:pPr>
            <w:r w:rsidRPr="00451991">
              <w:rPr>
                <w:rFonts w:ascii="ＭＳ 明朝" w:hAnsi="ＭＳ 明朝"/>
                <w:color w:val="000000"/>
                <w:szCs w:val="21"/>
              </w:rPr>
              <w:t>299</w:t>
            </w:r>
          </w:p>
        </w:tc>
        <w:tc>
          <w:tcPr>
            <w:tcW w:w="1205" w:type="dxa"/>
            <w:shd w:val="clear" w:color="auto" w:fill="FFFFFF"/>
            <w:vAlign w:val="center"/>
          </w:tcPr>
          <w:p w:rsidR="00E1718E" w:rsidRPr="00272938" w:rsidRDefault="00451991" w:rsidP="00884CF5">
            <w:pPr>
              <w:tabs>
                <w:tab w:val="left" w:pos="1080"/>
              </w:tabs>
              <w:spacing w:line="260" w:lineRule="exact"/>
              <w:jc w:val="center"/>
              <w:rPr>
                <w:rFonts w:ascii="ＭＳ 明朝" w:hAnsi="ＭＳ 明朝"/>
                <w:color w:val="000000"/>
                <w:szCs w:val="21"/>
              </w:rPr>
            </w:pPr>
            <w:r w:rsidRPr="00451991">
              <w:rPr>
                <w:rFonts w:ascii="ＭＳ 明朝" w:hAnsi="ＭＳ 明朝"/>
                <w:color w:val="000000"/>
                <w:szCs w:val="21"/>
              </w:rPr>
              <w:t>96%</w:t>
            </w:r>
          </w:p>
        </w:tc>
      </w:tr>
      <w:tr w:rsidR="00E1718E" w:rsidRPr="00272938" w:rsidTr="00E1718E">
        <w:trPr>
          <w:jc w:val="center"/>
        </w:trPr>
        <w:tc>
          <w:tcPr>
            <w:tcW w:w="1320" w:type="dxa"/>
            <w:vMerge/>
            <w:shd w:val="clear" w:color="auto" w:fill="FFFFFF"/>
            <w:vAlign w:val="center"/>
          </w:tcPr>
          <w:p w:rsidR="00E1718E" w:rsidRPr="00272938" w:rsidRDefault="00E1718E" w:rsidP="00884CF5">
            <w:pPr>
              <w:spacing w:line="300" w:lineRule="exact"/>
              <w:jc w:val="center"/>
              <w:rPr>
                <w:rFonts w:ascii="ＭＳ 明朝" w:hAnsi="ＭＳ 明朝"/>
                <w:color w:val="000000"/>
                <w:szCs w:val="21"/>
              </w:rPr>
            </w:pPr>
          </w:p>
        </w:tc>
        <w:tc>
          <w:tcPr>
            <w:tcW w:w="992" w:type="dxa"/>
            <w:vMerge/>
            <w:shd w:val="clear" w:color="auto" w:fill="FFFFFF"/>
            <w:vAlign w:val="center"/>
          </w:tcPr>
          <w:p w:rsidR="00E1718E" w:rsidRPr="00272938" w:rsidRDefault="00E1718E" w:rsidP="00884CF5">
            <w:pPr>
              <w:tabs>
                <w:tab w:val="left" w:pos="1080"/>
              </w:tabs>
              <w:spacing w:line="260" w:lineRule="exact"/>
              <w:jc w:val="center"/>
              <w:rPr>
                <w:rFonts w:ascii="ＭＳ 明朝" w:hAnsi="ＭＳ 明朝"/>
                <w:color w:val="000000"/>
                <w:szCs w:val="21"/>
              </w:rPr>
            </w:pPr>
          </w:p>
        </w:tc>
        <w:tc>
          <w:tcPr>
            <w:tcW w:w="2268" w:type="dxa"/>
            <w:shd w:val="clear" w:color="auto" w:fill="FFFFFF"/>
          </w:tcPr>
          <w:p w:rsidR="00E1718E" w:rsidRPr="00272938" w:rsidRDefault="00E1718E" w:rsidP="00884CF5">
            <w:pPr>
              <w:tabs>
                <w:tab w:val="left" w:pos="1080"/>
              </w:tabs>
              <w:spacing w:line="260" w:lineRule="exact"/>
              <w:jc w:val="center"/>
              <w:rPr>
                <w:rFonts w:ascii="ＭＳ 明朝" w:hAnsi="ＭＳ 明朝"/>
                <w:color w:val="000000"/>
                <w:szCs w:val="21"/>
              </w:rPr>
            </w:pPr>
            <w:r>
              <w:rPr>
                <w:rFonts w:ascii="ＭＳ 明朝" w:hAnsi="ＭＳ 明朝" w:hint="eastAsia"/>
                <w:color w:val="000000"/>
                <w:szCs w:val="21"/>
              </w:rPr>
              <w:t>第二種特定建築物</w:t>
            </w:r>
          </w:p>
        </w:tc>
        <w:tc>
          <w:tcPr>
            <w:tcW w:w="1142" w:type="dxa"/>
            <w:shd w:val="clear" w:color="auto" w:fill="FFFFFF"/>
            <w:vAlign w:val="center"/>
          </w:tcPr>
          <w:p w:rsidR="00E1718E" w:rsidRPr="00272938" w:rsidRDefault="00451991" w:rsidP="00884CF5">
            <w:pPr>
              <w:tabs>
                <w:tab w:val="left" w:pos="1080"/>
              </w:tabs>
              <w:spacing w:line="260" w:lineRule="exact"/>
              <w:jc w:val="center"/>
              <w:rPr>
                <w:rFonts w:ascii="ＭＳ 明朝" w:hAnsi="ＭＳ 明朝"/>
                <w:color w:val="000000"/>
                <w:szCs w:val="21"/>
              </w:rPr>
            </w:pPr>
            <w:r w:rsidRPr="00451991">
              <w:rPr>
                <w:rFonts w:ascii="ＭＳ 明朝" w:hAnsi="ＭＳ 明朝"/>
                <w:color w:val="000000"/>
                <w:szCs w:val="21"/>
              </w:rPr>
              <w:t>948</w:t>
            </w:r>
          </w:p>
        </w:tc>
        <w:tc>
          <w:tcPr>
            <w:tcW w:w="1205" w:type="dxa"/>
            <w:shd w:val="clear" w:color="auto" w:fill="FFFFFF"/>
            <w:vAlign w:val="center"/>
          </w:tcPr>
          <w:p w:rsidR="00E1718E" w:rsidRPr="00272938" w:rsidRDefault="00451991" w:rsidP="00884CF5">
            <w:pPr>
              <w:tabs>
                <w:tab w:val="left" w:pos="1080"/>
              </w:tabs>
              <w:spacing w:line="260" w:lineRule="exact"/>
              <w:jc w:val="center"/>
              <w:rPr>
                <w:rFonts w:ascii="ＭＳ 明朝" w:hAnsi="ＭＳ 明朝"/>
                <w:color w:val="000000"/>
                <w:szCs w:val="21"/>
              </w:rPr>
            </w:pPr>
            <w:r w:rsidRPr="00451991">
              <w:rPr>
                <w:rFonts w:ascii="ＭＳ 明朝" w:hAnsi="ＭＳ 明朝"/>
                <w:color w:val="000000"/>
                <w:szCs w:val="21"/>
              </w:rPr>
              <w:t>920</w:t>
            </w:r>
          </w:p>
        </w:tc>
        <w:tc>
          <w:tcPr>
            <w:tcW w:w="1205" w:type="dxa"/>
            <w:shd w:val="clear" w:color="auto" w:fill="FFFFFF"/>
            <w:vAlign w:val="center"/>
          </w:tcPr>
          <w:p w:rsidR="00E1718E" w:rsidRPr="00272938" w:rsidRDefault="00451991" w:rsidP="00884CF5">
            <w:pPr>
              <w:tabs>
                <w:tab w:val="left" w:pos="1080"/>
              </w:tabs>
              <w:spacing w:line="260" w:lineRule="exact"/>
              <w:jc w:val="center"/>
              <w:rPr>
                <w:rFonts w:ascii="ＭＳ 明朝" w:hAnsi="ＭＳ 明朝"/>
                <w:color w:val="000000"/>
                <w:szCs w:val="21"/>
              </w:rPr>
            </w:pPr>
            <w:r w:rsidRPr="00451991">
              <w:rPr>
                <w:rFonts w:ascii="ＭＳ 明朝" w:hAnsi="ＭＳ 明朝"/>
                <w:color w:val="000000"/>
                <w:szCs w:val="21"/>
              </w:rPr>
              <w:t>97%</w:t>
            </w:r>
          </w:p>
        </w:tc>
      </w:tr>
      <w:tr w:rsidR="00E1718E" w:rsidRPr="00272938" w:rsidTr="00E1718E">
        <w:trPr>
          <w:jc w:val="center"/>
        </w:trPr>
        <w:tc>
          <w:tcPr>
            <w:tcW w:w="1320" w:type="dxa"/>
            <w:vMerge/>
            <w:shd w:val="clear" w:color="auto" w:fill="FFFFFF"/>
            <w:vAlign w:val="center"/>
          </w:tcPr>
          <w:p w:rsidR="00E1718E" w:rsidRPr="00272938" w:rsidRDefault="00E1718E" w:rsidP="00884CF5">
            <w:pPr>
              <w:spacing w:line="300" w:lineRule="exact"/>
              <w:jc w:val="center"/>
              <w:rPr>
                <w:rFonts w:ascii="ＭＳ 明朝" w:hAnsi="ＭＳ 明朝"/>
                <w:color w:val="000000"/>
                <w:szCs w:val="21"/>
              </w:rPr>
            </w:pPr>
          </w:p>
        </w:tc>
        <w:tc>
          <w:tcPr>
            <w:tcW w:w="992" w:type="dxa"/>
            <w:vMerge w:val="restart"/>
            <w:shd w:val="clear" w:color="auto" w:fill="FFFFFF"/>
            <w:vAlign w:val="center"/>
          </w:tcPr>
          <w:p w:rsidR="00E1718E" w:rsidRPr="00272938" w:rsidRDefault="00E1718E" w:rsidP="00884CF5">
            <w:pPr>
              <w:tabs>
                <w:tab w:val="left" w:pos="1080"/>
              </w:tabs>
              <w:spacing w:line="260" w:lineRule="exact"/>
              <w:jc w:val="center"/>
              <w:rPr>
                <w:rFonts w:ascii="ＭＳ 明朝" w:hAnsi="ＭＳ 明朝"/>
                <w:color w:val="000000"/>
                <w:szCs w:val="21"/>
              </w:rPr>
            </w:pPr>
            <w:r w:rsidRPr="00272938">
              <w:rPr>
                <w:rFonts w:ascii="ＭＳ 明朝" w:hAnsi="ＭＳ 明朝" w:hint="eastAsia"/>
                <w:color w:val="000000"/>
                <w:szCs w:val="21"/>
              </w:rPr>
              <w:t>住宅</w:t>
            </w:r>
          </w:p>
        </w:tc>
        <w:tc>
          <w:tcPr>
            <w:tcW w:w="2268" w:type="dxa"/>
            <w:shd w:val="clear" w:color="auto" w:fill="FFFFFF"/>
          </w:tcPr>
          <w:p w:rsidR="00E1718E" w:rsidRPr="00272938" w:rsidRDefault="00E1718E" w:rsidP="00884CF5">
            <w:pPr>
              <w:tabs>
                <w:tab w:val="left" w:pos="1080"/>
              </w:tabs>
              <w:spacing w:line="260" w:lineRule="exact"/>
              <w:jc w:val="center"/>
              <w:rPr>
                <w:rFonts w:ascii="ＭＳ 明朝" w:hAnsi="ＭＳ 明朝"/>
                <w:color w:val="000000"/>
                <w:szCs w:val="21"/>
              </w:rPr>
            </w:pPr>
            <w:r>
              <w:rPr>
                <w:rFonts w:ascii="ＭＳ 明朝" w:hAnsi="ＭＳ 明朝" w:hint="eastAsia"/>
                <w:color w:val="000000"/>
                <w:szCs w:val="21"/>
              </w:rPr>
              <w:t>第一種特定建築物</w:t>
            </w:r>
          </w:p>
        </w:tc>
        <w:tc>
          <w:tcPr>
            <w:tcW w:w="1142" w:type="dxa"/>
            <w:shd w:val="clear" w:color="auto" w:fill="FFFFFF"/>
            <w:vAlign w:val="center"/>
          </w:tcPr>
          <w:p w:rsidR="00E1718E" w:rsidRPr="00272938" w:rsidRDefault="00451991" w:rsidP="00884CF5">
            <w:pPr>
              <w:tabs>
                <w:tab w:val="left" w:pos="1080"/>
              </w:tabs>
              <w:spacing w:line="260" w:lineRule="exact"/>
              <w:jc w:val="center"/>
              <w:rPr>
                <w:rFonts w:ascii="ＭＳ 明朝" w:hAnsi="ＭＳ 明朝"/>
                <w:color w:val="000000"/>
                <w:szCs w:val="21"/>
              </w:rPr>
            </w:pPr>
            <w:r w:rsidRPr="00451991">
              <w:rPr>
                <w:rFonts w:ascii="ＭＳ 明朝" w:hAnsi="ＭＳ 明朝"/>
                <w:color w:val="000000"/>
                <w:szCs w:val="21"/>
              </w:rPr>
              <w:t>262</w:t>
            </w:r>
          </w:p>
        </w:tc>
        <w:tc>
          <w:tcPr>
            <w:tcW w:w="1205" w:type="dxa"/>
            <w:shd w:val="clear" w:color="auto" w:fill="FFFFFF"/>
            <w:vAlign w:val="center"/>
          </w:tcPr>
          <w:p w:rsidR="00E1718E" w:rsidRPr="00272938" w:rsidRDefault="00451991" w:rsidP="00884CF5">
            <w:pPr>
              <w:tabs>
                <w:tab w:val="left" w:pos="1080"/>
              </w:tabs>
              <w:spacing w:line="260" w:lineRule="exact"/>
              <w:jc w:val="center"/>
              <w:rPr>
                <w:rFonts w:ascii="ＭＳ 明朝" w:hAnsi="ＭＳ 明朝"/>
                <w:color w:val="000000"/>
                <w:szCs w:val="21"/>
              </w:rPr>
            </w:pPr>
            <w:r w:rsidRPr="00451991">
              <w:rPr>
                <w:rFonts w:ascii="ＭＳ 明朝" w:hAnsi="ＭＳ 明朝"/>
                <w:color w:val="000000"/>
                <w:szCs w:val="21"/>
              </w:rPr>
              <w:t>50</w:t>
            </w:r>
          </w:p>
        </w:tc>
        <w:tc>
          <w:tcPr>
            <w:tcW w:w="1205" w:type="dxa"/>
            <w:shd w:val="clear" w:color="auto" w:fill="FFFFFF"/>
            <w:vAlign w:val="center"/>
          </w:tcPr>
          <w:p w:rsidR="00E1718E" w:rsidRPr="00272938" w:rsidRDefault="00451991" w:rsidP="00884CF5">
            <w:pPr>
              <w:tabs>
                <w:tab w:val="left" w:pos="1080"/>
              </w:tabs>
              <w:spacing w:line="260" w:lineRule="exact"/>
              <w:jc w:val="center"/>
              <w:rPr>
                <w:rFonts w:ascii="ＭＳ 明朝" w:hAnsi="ＭＳ 明朝"/>
                <w:color w:val="000000"/>
                <w:szCs w:val="21"/>
              </w:rPr>
            </w:pPr>
            <w:r w:rsidRPr="00451991">
              <w:rPr>
                <w:rFonts w:ascii="ＭＳ 明朝" w:hAnsi="ＭＳ 明朝"/>
                <w:color w:val="000000"/>
                <w:szCs w:val="21"/>
              </w:rPr>
              <w:t>19%</w:t>
            </w:r>
          </w:p>
        </w:tc>
      </w:tr>
      <w:tr w:rsidR="00E1718E" w:rsidRPr="00272938" w:rsidTr="00E1718E">
        <w:trPr>
          <w:jc w:val="center"/>
        </w:trPr>
        <w:tc>
          <w:tcPr>
            <w:tcW w:w="1320" w:type="dxa"/>
            <w:vMerge/>
            <w:shd w:val="clear" w:color="auto" w:fill="FFFFFF"/>
            <w:vAlign w:val="center"/>
          </w:tcPr>
          <w:p w:rsidR="00E1718E" w:rsidRPr="00272938" w:rsidRDefault="00E1718E" w:rsidP="00884CF5">
            <w:pPr>
              <w:spacing w:line="300" w:lineRule="exact"/>
              <w:jc w:val="center"/>
              <w:rPr>
                <w:rFonts w:ascii="ＭＳ 明朝" w:hAnsi="ＭＳ 明朝"/>
                <w:color w:val="000000"/>
                <w:szCs w:val="21"/>
              </w:rPr>
            </w:pPr>
          </w:p>
        </w:tc>
        <w:tc>
          <w:tcPr>
            <w:tcW w:w="992" w:type="dxa"/>
            <w:vMerge/>
            <w:shd w:val="clear" w:color="auto" w:fill="FFFFFF"/>
            <w:vAlign w:val="center"/>
          </w:tcPr>
          <w:p w:rsidR="00E1718E" w:rsidRPr="00272938" w:rsidRDefault="00E1718E" w:rsidP="00884CF5">
            <w:pPr>
              <w:tabs>
                <w:tab w:val="left" w:pos="1080"/>
              </w:tabs>
              <w:spacing w:line="260" w:lineRule="exact"/>
              <w:jc w:val="center"/>
              <w:rPr>
                <w:rFonts w:ascii="ＭＳ 明朝" w:hAnsi="ＭＳ 明朝"/>
                <w:color w:val="000000"/>
                <w:szCs w:val="21"/>
              </w:rPr>
            </w:pPr>
          </w:p>
        </w:tc>
        <w:tc>
          <w:tcPr>
            <w:tcW w:w="2268" w:type="dxa"/>
            <w:shd w:val="clear" w:color="auto" w:fill="FFFFFF"/>
          </w:tcPr>
          <w:p w:rsidR="00E1718E" w:rsidRPr="00272938" w:rsidRDefault="00E1718E" w:rsidP="00884CF5">
            <w:pPr>
              <w:tabs>
                <w:tab w:val="left" w:pos="1080"/>
              </w:tabs>
              <w:spacing w:line="260" w:lineRule="exact"/>
              <w:jc w:val="center"/>
              <w:rPr>
                <w:rFonts w:ascii="ＭＳ 明朝" w:hAnsi="ＭＳ 明朝"/>
                <w:color w:val="000000"/>
                <w:szCs w:val="21"/>
              </w:rPr>
            </w:pPr>
            <w:r>
              <w:rPr>
                <w:rFonts w:ascii="ＭＳ 明朝" w:hAnsi="ＭＳ 明朝" w:hint="eastAsia"/>
                <w:color w:val="000000"/>
                <w:szCs w:val="21"/>
              </w:rPr>
              <w:t>第二種特定建築物</w:t>
            </w:r>
          </w:p>
        </w:tc>
        <w:tc>
          <w:tcPr>
            <w:tcW w:w="1142" w:type="dxa"/>
            <w:shd w:val="clear" w:color="auto" w:fill="FFFFFF"/>
            <w:vAlign w:val="center"/>
          </w:tcPr>
          <w:p w:rsidR="00E1718E" w:rsidRPr="00272938" w:rsidRDefault="00451991" w:rsidP="00884CF5">
            <w:pPr>
              <w:tabs>
                <w:tab w:val="left" w:pos="1080"/>
              </w:tabs>
              <w:spacing w:line="260" w:lineRule="exact"/>
              <w:jc w:val="center"/>
              <w:rPr>
                <w:rFonts w:ascii="ＭＳ 明朝" w:hAnsi="ＭＳ 明朝"/>
                <w:color w:val="000000"/>
                <w:szCs w:val="21"/>
              </w:rPr>
            </w:pPr>
            <w:r w:rsidRPr="00451991">
              <w:rPr>
                <w:rFonts w:ascii="ＭＳ 明朝" w:hAnsi="ＭＳ 明朝"/>
                <w:color w:val="000000"/>
                <w:szCs w:val="21"/>
              </w:rPr>
              <w:t>1,268</w:t>
            </w:r>
          </w:p>
        </w:tc>
        <w:tc>
          <w:tcPr>
            <w:tcW w:w="1205" w:type="dxa"/>
            <w:shd w:val="clear" w:color="auto" w:fill="FFFFFF"/>
            <w:vAlign w:val="center"/>
          </w:tcPr>
          <w:p w:rsidR="00E1718E" w:rsidRPr="00272938" w:rsidRDefault="00451991" w:rsidP="00884CF5">
            <w:pPr>
              <w:tabs>
                <w:tab w:val="left" w:pos="1080"/>
              </w:tabs>
              <w:spacing w:line="260" w:lineRule="exact"/>
              <w:jc w:val="center"/>
              <w:rPr>
                <w:rFonts w:ascii="ＭＳ 明朝" w:hAnsi="ＭＳ 明朝"/>
                <w:color w:val="000000"/>
                <w:szCs w:val="21"/>
              </w:rPr>
            </w:pPr>
            <w:r w:rsidRPr="00451991">
              <w:rPr>
                <w:rFonts w:ascii="ＭＳ 明朝" w:hAnsi="ＭＳ 明朝"/>
                <w:color w:val="000000"/>
                <w:szCs w:val="21"/>
              </w:rPr>
              <w:t>292</w:t>
            </w:r>
          </w:p>
        </w:tc>
        <w:tc>
          <w:tcPr>
            <w:tcW w:w="1205" w:type="dxa"/>
            <w:shd w:val="clear" w:color="auto" w:fill="FFFFFF"/>
            <w:vAlign w:val="center"/>
          </w:tcPr>
          <w:p w:rsidR="00E1718E" w:rsidRPr="00272938" w:rsidRDefault="00451991" w:rsidP="00884CF5">
            <w:pPr>
              <w:tabs>
                <w:tab w:val="left" w:pos="1080"/>
              </w:tabs>
              <w:spacing w:line="260" w:lineRule="exact"/>
              <w:jc w:val="center"/>
              <w:rPr>
                <w:rFonts w:ascii="ＭＳ 明朝" w:hAnsi="ＭＳ 明朝"/>
                <w:color w:val="000000"/>
                <w:szCs w:val="21"/>
              </w:rPr>
            </w:pPr>
            <w:r w:rsidRPr="00451991">
              <w:rPr>
                <w:rFonts w:ascii="ＭＳ 明朝" w:hAnsi="ＭＳ 明朝"/>
                <w:color w:val="000000"/>
                <w:szCs w:val="21"/>
              </w:rPr>
              <w:t>23%</w:t>
            </w:r>
          </w:p>
        </w:tc>
      </w:tr>
      <w:tr w:rsidR="00E1718E" w:rsidRPr="00272938" w:rsidTr="00884CF5">
        <w:trPr>
          <w:jc w:val="center"/>
        </w:trPr>
        <w:tc>
          <w:tcPr>
            <w:tcW w:w="1320" w:type="dxa"/>
            <w:vMerge w:val="restart"/>
            <w:shd w:val="clear" w:color="auto" w:fill="FFFFFF"/>
            <w:vAlign w:val="center"/>
          </w:tcPr>
          <w:p w:rsidR="00E1718E" w:rsidRPr="00272938" w:rsidRDefault="00E1718E" w:rsidP="00884CF5">
            <w:pPr>
              <w:spacing w:line="300" w:lineRule="exact"/>
              <w:jc w:val="center"/>
              <w:rPr>
                <w:rFonts w:ascii="ＭＳ 明朝" w:hAnsi="ＭＳ 明朝"/>
                <w:color w:val="000000"/>
                <w:szCs w:val="21"/>
              </w:rPr>
            </w:pPr>
            <w:r>
              <w:rPr>
                <w:rFonts w:ascii="ＭＳ 明朝" w:hAnsi="ＭＳ 明朝" w:hint="eastAsia"/>
                <w:color w:val="000000"/>
                <w:szCs w:val="21"/>
              </w:rPr>
              <w:t>2014</w:t>
            </w:r>
            <w:r w:rsidRPr="00272938">
              <w:rPr>
                <w:rFonts w:ascii="ＭＳ 明朝" w:hAnsi="ＭＳ 明朝" w:hint="eastAsia"/>
                <w:color w:val="000000"/>
                <w:szCs w:val="21"/>
              </w:rPr>
              <w:t>年度</w:t>
            </w:r>
          </w:p>
        </w:tc>
        <w:tc>
          <w:tcPr>
            <w:tcW w:w="992" w:type="dxa"/>
            <w:vMerge w:val="restart"/>
            <w:shd w:val="clear" w:color="auto" w:fill="FFFFFF"/>
            <w:vAlign w:val="center"/>
          </w:tcPr>
          <w:p w:rsidR="00E1718E" w:rsidRPr="00272938" w:rsidRDefault="00E1718E" w:rsidP="00884CF5">
            <w:pPr>
              <w:tabs>
                <w:tab w:val="left" w:pos="1080"/>
              </w:tabs>
              <w:spacing w:line="260" w:lineRule="exact"/>
              <w:jc w:val="center"/>
              <w:rPr>
                <w:rFonts w:ascii="ＭＳ 明朝" w:hAnsi="ＭＳ 明朝"/>
                <w:color w:val="000000"/>
                <w:szCs w:val="21"/>
              </w:rPr>
            </w:pPr>
            <w:r w:rsidRPr="00272938">
              <w:rPr>
                <w:rFonts w:ascii="ＭＳ 明朝" w:hAnsi="ＭＳ 明朝" w:hint="eastAsia"/>
                <w:color w:val="000000"/>
                <w:szCs w:val="21"/>
              </w:rPr>
              <w:t>非住宅</w:t>
            </w:r>
          </w:p>
        </w:tc>
        <w:tc>
          <w:tcPr>
            <w:tcW w:w="2268" w:type="dxa"/>
            <w:shd w:val="clear" w:color="auto" w:fill="FFFFFF"/>
          </w:tcPr>
          <w:p w:rsidR="00E1718E" w:rsidRPr="00272938" w:rsidRDefault="00E1718E" w:rsidP="00884CF5">
            <w:pPr>
              <w:tabs>
                <w:tab w:val="left" w:pos="1080"/>
              </w:tabs>
              <w:spacing w:line="260" w:lineRule="exact"/>
              <w:jc w:val="center"/>
              <w:rPr>
                <w:rFonts w:ascii="ＭＳ 明朝" w:hAnsi="ＭＳ 明朝"/>
                <w:color w:val="000000"/>
                <w:szCs w:val="21"/>
              </w:rPr>
            </w:pPr>
            <w:r>
              <w:rPr>
                <w:rFonts w:ascii="ＭＳ 明朝" w:hAnsi="ＭＳ 明朝" w:hint="eastAsia"/>
                <w:color w:val="000000"/>
                <w:szCs w:val="21"/>
              </w:rPr>
              <w:t>第一種特定建築物</w:t>
            </w:r>
          </w:p>
        </w:tc>
        <w:tc>
          <w:tcPr>
            <w:tcW w:w="1142" w:type="dxa"/>
            <w:shd w:val="clear" w:color="auto" w:fill="FFFFFF"/>
            <w:vAlign w:val="center"/>
          </w:tcPr>
          <w:p w:rsidR="00E1718E" w:rsidRPr="00272938" w:rsidRDefault="00E1718E" w:rsidP="00884CF5">
            <w:pPr>
              <w:tabs>
                <w:tab w:val="left" w:pos="1080"/>
              </w:tabs>
              <w:spacing w:line="260" w:lineRule="exact"/>
              <w:jc w:val="center"/>
              <w:rPr>
                <w:rFonts w:ascii="ＭＳ 明朝" w:hAnsi="ＭＳ 明朝"/>
                <w:color w:val="000000"/>
                <w:szCs w:val="21"/>
              </w:rPr>
            </w:pPr>
            <w:r w:rsidRPr="00E1718E">
              <w:rPr>
                <w:rFonts w:ascii="ＭＳ 明朝" w:hAnsi="ＭＳ 明朝"/>
                <w:color w:val="000000"/>
                <w:szCs w:val="21"/>
              </w:rPr>
              <w:t>196</w:t>
            </w:r>
          </w:p>
        </w:tc>
        <w:tc>
          <w:tcPr>
            <w:tcW w:w="1205" w:type="dxa"/>
            <w:shd w:val="clear" w:color="auto" w:fill="FFFFFF"/>
            <w:vAlign w:val="center"/>
          </w:tcPr>
          <w:p w:rsidR="00E1718E" w:rsidRPr="00272938" w:rsidRDefault="00451991" w:rsidP="00884CF5">
            <w:pPr>
              <w:tabs>
                <w:tab w:val="left" w:pos="1080"/>
              </w:tabs>
              <w:spacing w:line="260" w:lineRule="exact"/>
              <w:jc w:val="center"/>
              <w:rPr>
                <w:rFonts w:ascii="ＭＳ 明朝" w:hAnsi="ＭＳ 明朝"/>
                <w:color w:val="000000"/>
                <w:szCs w:val="21"/>
              </w:rPr>
            </w:pPr>
            <w:r w:rsidRPr="00451991">
              <w:rPr>
                <w:rFonts w:ascii="ＭＳ 明朝" w:hAnsi="ＭＳ 明朝"/>
                <w:color w:val="000000"/>
                <w:szCs w:val="21"/>
              </w:rPr>
              <w:t>190</w:t>
            </w:r>
          </w:p>
        </w:tc>
        <w:tc>
          <w:tcPr>
            <w:tcW w:w="1205" w:type="dxa"/>
            <w:shd w:val="clear" w:color="auto" w:fill="FFFFFF"/>
            <w:vAlign w:val="center"/>
          </w:tcPr>
          <w:p w:rsidR="00E1718E" w:rsidRPr="00272938" w:rsidRDefault="00451991" w:rsidP="00884CF5">
            <w:pPr>
              <w:tabs>
                <w:tab w:val="left" w:pos="1080"/>
              </w:tabs>
              <w:spacing w:line="260" w:lineRule="exact"/>
              <w:jc w:val="center"/>
              <w:rPr>
                <w:rFonts w:ascii="ＭＳ 明朝" w:hAnsi="ＭＳ 明朝"/>
                <w:color w:val="000000"/>
                <w:szCs w:val="21"/>
              </w:rPr>
            </w:pPr>
            <w:r w:rsidRPr="00451991">
              <w:rPr>
                <w:rFonts w:ascii="ＭＳ 明朝" w:hAnsi="ＭＳ 明朝"/>
                <w:color w:val="000000"/>
                <w:szCs w:val="21"/>
              </w:rPr>
              <w:t>97%</w:t>
            </w:r>
          </w:p>
        </w:tc>
      </w:tr>
      <w:tr w:rsidR="00E1718E" w:rsidRPr="00272938" w:rsidTr="00884CF5">
        <w:trPr>
          <w:jc w:val="center"/>
        </w:trPr>
        <w:tc>
          <w:tcPr>
            <w:tcW w:w="1320" w:type="dxa"/>
            <w:vMerge/>
            <w:shd w:val="clear" w:color="auto" w:fill="FFFFFF"/>
            <w:vAlign w:val="center"/>
          </w:tcPr>
          <w:p w:rsidR="00E1718E" w:rsidRPr="00272938" w:rsidRDefault="00E1718E" w:rsidP="00884CF5">
            <w:pPr>
              <w:spacing w:line="300" w:lineRule="exact"/>
              <w:jc w:val="center"/>
              <w:rPr>
                <w:rFonts w:ascii="ＭＳ 明朝" w:hAnsi="ＭＳ 明朝"/>
                <w:color w:val="000000"/>
                <w:szCs w:val="21"/>
              </w:rPr>
            </w:pPr>
          </w:p>
        </w:tc>
        <w:tc>
          <w:tcPr>
            <w:tcW w:w="992" w:type="dxa"/>
            <w:vMerge/>
            <w:shd w:val="clear" w:color="auto" w:fill="FFFFFF"/>
            <w:vAlign w:val="center"/>
          </w:tcPr>
          <w:p w:rsidR="00E1718E" w:rsidRPr="00272938" w:rsidRDefault="00E1718E" w:rsidP="00884CF5">
            <w:pPr>
              <w:tabs>
                <w:tab w:val="left" w:pos="1080"/>
              </w:tabs>
              <w:spacing w:line="260" w:lineRule="exact"/>
              <w:jc w:val="center"/>
              <w:rPr>
                <w:rFonts w:ascii="ＭＳ 明朝" w:hAnsi="ＭＳ 明朝"/>
                <w:color w:val="000000"/>
                <w:szCs w:val="21"/>
              </w:rPr>
            </w:pPr>
          </w:p>
        </w:tc>
        <w:tc>
          <w:tcPr>
            <w:tcW w:w="2268" w:type="dxa"/>
            <w:shd w:val="clear" w:color="auto" w:fill="FFFFFF"/>
          </w:tcPr>
          <w:p w:rsidR="00E1718E" w:rsidRPr="00272938" w:rsidRDefault="00E1718E" w:rsidP="00884CF5">
            <w:pPr>
              <w:tabs>
                <w:tab w:val="left" w:pos="1080"/>
              </w:tabs>
              <w:spacing w:line="260" w:lineRule="exact"/>
              <w:jc w:val="center"/>
              <w:rPr>
                <w:rFonts w:ascii="ＭＳ 明朝" w:hAnsi="ＭＳ 明朝"/>
                <w:color w:val="000000"/>
                <w:szCs w:val="21"/>
              </w:rPr>
            </w:pPr>
            <w:r>
              <w:rPr>
                <w:rFonts w:ascii="ＭＳ 明朝" w:hAnsi="ＭＳ 明朝" w:hint="eastAsia"/>
                <w:color w:val="000000"/>
                <w:szCs w:val="21"/>
              </w:rPr>
              <w:t>第二種特定建築物</w:t>
            </w:r>
          </w:p>
        </w:tc>
        <w:tc>
          <w:tcPr>
            <w:tcW w:w="1142" w:type="dxa"/>
            <w:shd w:val="clear" w:color="auto" w:fill="FFFFFF"/>
            <w:vAlign w:val="center"/>
          </w:tcPr>
          <w:p w:rsidR="00E1718E" w:rsidRPr="00272938" w:rsidRDefault="00451991" w:rsidP="00884CF5">
            <w:pPr>
              <w:tabs>
                <w:tab w:val="left" w:pos="1080"/>
              </w:tabs>
              <w:spacing w:line="260" w:lineRule="exact"/>
              <w:jc w:val="center"/>
              <w:rPr>
                <w:rFonts w:ascii="ＭＳ 明朝" w:hAnsi="ＭＳ 明朝"/>
                <w:color w:val="000000"/>
                <w:szCs w:val="21"/>
              </w:rPr>
            </w:pPr>
            <w:r w:rsidRPr="00451991">
              <w:rPr>
                <w:rFonts w:ascii="ＭＳ 明朝" w:hAnsi="ＭＳ 明朝"/>
                <w:color w:val="000000"/>
                <w:szCs w:val="21"/>
              </w:rPr>
              <w:t>521</w:t>
            </w:r>
          </w:p>
        </w:tc>
        <w:tc>
          <w:tcPr>
            <w:tcW w:w="1205" w:type="dxa"/>
            <w:shd w:val="clear" w:color="auto" w:fill="FFFFFF"/>
            <w:vAlign w:val="center"/>
          </w:tcPr>
          <w:p w:rsidR="00E1718E" w:rsidRPr="00272938" w:rsidRDefault="00451991" w:rsidP="00884CF5">
            <w:pPr>
              <w:tabs>
                <w:tab w:val="left" w:pos="1080"/>
              </w:tabs>
              <w:spacing w:line="260" w:lineRule="exact"/>
              <w:jc w:val="center"/>
              <w:rPr>
                <w:rFonts w:ascii="ＭＳ 明朝" w:hAnsi="ＭＳ 明朝"/>
                <w:color w:val="000000"/>
                <w:szCs w:val="21"/>
              </w:rPr>
            </w:pPr>
            <w:r w:rsidRPr="00451991">
              <w:rPr>
                <w:rFonts w:ascii="ＭＳ 明朝" w:hAnsi="ＭＳ 明朝"/>
                <w:color w:val="000000"/>
                <w:szCs w:val="21"/>
              </w:rPr>
              <w:t>507</w:t>
            </w:r>
          </w:p>
        </w:tc>
        <w:tc>
          <w:tcPr>
            <w:tcW w:w="1205" w:type="dxa"/>
            <w:shd w:val="clear" w:color="auto" w:fill="FFFFFF"/>
            <w:vAlign w:val="center"/>
          </w:tcPr>
          <w:p w:rsidR="00E1718E" w:rsidRPr="00272938" w:rsidRDefault="00451991" w:rsidP="00884CF5">
            <w:pPr>
              <w:tabs>
                <w:tab w:val="left" w:pos="1080"/>
              </w:tabs>
              <w:spacing w:line="260" w:lineRule="exact"/>
              <w:jc w:val="center"/>
              <w:rPr>
                <w:rFonts w:ascii="ＭＳ 明朝" w:hAnsi="ＭＳ 明朝"/>
                <w:color w:val="000000"/>
                <w:szCs w:val="21"/>
              </w:rPr>
            </w:pPr>
            <w:r w:rsidRPr="00451991">
              <w:rPr>
                <w:rFonts w:ascii="ＭＳ 明朝" w:hAnsi="ＭＳ 明朝"/>
                <w:color w:val="000000"/>
                <w:szCs w:val="21"/>
              </w:rPr>
              <w:t>97%</w:t>
            </w:r>
          </w:p>
        </w:tc>
      </w:tr>
      <w:tr w:rsidR="00E1718E" w:rsidRPr="00272938" w:rsidTr="00884CF5">
        <w:trPr>
          <w:jc w:val="center"/>
        </w:trPr>
        <w:tc>
          <w:tcPr>
            <w:tcW w:w="1320" w:type="dxa"/>
            <w:vMerge/>
            <w:shd w:val="clear" w:color="auto" w:fill="FFFFFF"/>
            <w:vAlign w:val="center"/>
          </w:tcPr>
          <w:p w:rsidR="00E1718E" w:rsidRPr="00272938" w:rsidRDefault="00E1718E" w:rsidP="00884CF5">
            <w:pPr>
              <w:spacing w:line="300" w:lineRule="exact"/>
              <w:jc w:val="center"/>
              <w:rPr>
                <w:rFonts w:ascii="ＭＳ 明朝" w:hAnsi="ＭＳ 明朝"/>
                <w:color w:val="000000"/>
                <w:szCs w:val="21"/>
              </w:rPr>
            </w:pPr>
          </w:p>
        </w:tc>
        <w:tc>
          <w:tcPr>
            <w:tcW w:w="992" w:type="dxa"/>
            <w:vMerge w:val="restart"/>
            <w:shd w:val="clear" w:color="auto" w:fill="FFFFFF"/>
            <w:vAlign w:val="center"/>
          </w:tcPr>
          <w:p w:rsidR="00E1718E" w:rsidRPr="00272938" w:rsidRDefault="00E1718E" w:rsidP="00884CF5">
            <w:pPr>
              <w:tabs>
                <w:tab w:val="left" w:pos="1080"/>
              </w:tabs>
              <w:spacing w:line="260" w:lineRule="exact"/>
              <w:jc w:val="center"/>
              <w:rPr>
                <w:rFonts w:ascii="ＭＳ 明朝" w:hAnsi="ＭＳ 明朝"/>
                <w:color w:val="000000"/>
                <w:szCs w:val="21"/>
              </w:rPr>
            </w:pPr>
            <w:r w:rsidRPr="00272938">
              <w:rPr>
                <w:rFonts w:ascii="ＭＳ 明朝" w:hAnsi="ＭＳ 明朝" w:hint="eastAsia"/>
                <w:color w:val="000000"/>
                <w:szCs w:val="21"/>
              </w:rPr>
              <w:t>住宅</w:t>
            </w:r>
          </w:p>
        </w:tc>
        <w:tc>
          <w:tcPr>
            <w:tcW w:w="2268" w:type="dxa"/>
            <w:shd w:val="clear" w:color="auto" w:fill="FFFFFF"/>
          </w:tcPr>
          <w:p w:rsidR="00E1718E" w:rsidRPr="00272938" w:rsidRDefault="00E1718E" w:rsidP="00884CF5">
            <w:pPr>
              <w:tabs>
                <w:tab w:val="left" w:pos="1080"/>
              </w:tabs>
              <w:spacing w:line="260" w:lineRule="exact"/>
              <w:jc w:val="center"/>
              <w:rPr>
                <w:rFonts w:ascii="ＭＳ 明朝" w:hAnsi="ＭＳ 明朝"/>
                <w:color w:val="000000"/>
                <w:szCs w:val="21"/>
              </w:rPr>
            </w:pPr>
            <w:r>
              <w:rPr>
                <w:rFonts w:ascii="ＭＳ 明朝" w:hAnsi="ＭＳ 明朝" w:hint="eastAsia"/>
                <w:color w:val="000000"/>
                <w:szCs w:val="21"/>
              </w:rPr>
              <w:t>第一種特定建築物</w:t>
            </w:r>
          </w:p>
        </w:tc>
        <w:tc>
          <w:tcPr>
            <w:tcW w:w="1142" w:type="dxa"/>
            <w:shd w:val="clear" w:color="auto" w:fill="FFFFFF"/>
            <w:vAlign w:val="center"/>
          </w:tcPr>
          <w:p w:rsidR="00E1718E" w:rsidRPr="00272938" w:rsidRDefault="00451991" w:rsidP="00884CF5">
            <w:pPr>
              <w:tabs>
                <w:tab w:val="left" w:pos="1080"/>
              </w:tabs>
              <w:spacing w:line="260" w:lineRule="exact"/>
              <w:jc w:val="center"/>
              <w:rPr>
                <w:rFonts w:ascii="ＭＳ 明朝" w:hAnsi="ＭＳ 明朝"/>
                <w:color w:val="000000"/>
                <w:szCs w:val="21"/>
              </w:rPr>
            </w:pPr>
            <w:r w:rsidRPr="00451991">
              <w:rPr>
                <w:rFonts w:ascii="ＭＳ 明朝" w:hAnsi="ＭＳ 明朝"/>
                <w:color w:val="000000"/>
                <w:szCs w:val="21"/>
              </w:rPr>
              <w:t>269</w:t>
            </w:r>
          </w:p>
        </w:tc>
        <w:tc>
          <w:tcPr>
            <w:tcW w:w="1205" w:type="dxa"/>
            <w:shd w:val="clear" w:color="auto" w:fill="FFFFFF"/>
            <w:vAlign w:val="center"/>
          </w:tcPr>
          <w:p w:rsidR="00E1718E" w:rsidRPr="00272938" w:rsidRDefault="00451991" w:rsidP="00884CF5">
            <w:pPr>
              <w:tabs>
                <w:tab w:val="left" w:pos="1080"/>
              </w:tabs>
              <w:spacing w:line="260" w:lineRule="exact"/>
              <w:jc w:val="center"/>
              <w:rPr>
                <w:rFonts w:ascii="ＭＳ 明朝" w:hAnsi="ＭＳ 明朝"/>
                <w:color w:val="000000"/>
                <w:szCs w:val="21"/>
              </w:rPr>
            </w:pPr>
            <w:r w:rsidRPr="00451991">
              <w:rPr>
                <w:rFonts w:ascii="ＭＳ 明朝" w:hAnsi="ＭＳ 明朝"/>
                <w:color w:val="000000"/>
                <w:szCs w:val="21"/>
              </w:rPr>
              <w:t>52</w:t>
            </w:r>
          </w:p>
        </w:tc>
        <w:tc>
          <w:tcPr>
            <w:tcW w:w="1205" w:type="dxa"/>
            <w:shd w:val="clear" w:color="auto" w:fill="FFFFFF"/>
            <w:vAlign w:val="center"/>
          </w:tcPr>
          <w:p w:rsidR="00E1718E" w:rsidRPr="00272938" w:rsidRDefault="00451991" w:rsidP="00884CF5">
            <w:pPr>
              <w:tabs>
                <w:tab w:val="left" w:pos="1080"/>
              </w:tabs>
              <w:spacing w:line="260" w:lineRule="exact"/>
              <w:jc w:val="center"/>
              <w:rPr>
                <w:rFonts w:ascii="ＭＳ 明朝" w:hAnsi="ＭＳ 明朝"/>
                <w:color w:val="000000"/>
                <w:szCs w:val="21"/>
              </w:rPr>
            </w:pPr>
            <w:r w:rsidRPr="00451991">
              <w:rPr>
                <w:rFonts w:ascii="ＭＳ 明朝" w:hAnsi="ＭＳ 明朝"/>
                <w:color w:val="000000"/>
                <w:szCs w:val="21"/>
              </w:rPr>
              <w:t>19%</w:t>
            </w:r>
          </w:p>
        </w:tc>
      </w:tr>
      <w:tr w:rsidR="00E1718E" w:rsidRPr="00272938" w:rsidTr="00884CF5">
        <w:trPr>
          <w:jc w:val="center"/>
        </w:trPr>
        <w:tc>
          <w:tcPr>
            <w:tcW w:w="1320" w:type="dxa"/>
            <w:vMerge/>
            <w:shd w:val="clear" w:color="auto" w:fill="FFFFFF"/>
            <w:vAlign w:val="center"/>
          </w:tcPr>
          <w:p w:rsidR="00E1718E" w:rsidRPr="00272938" w:rsidRDefault="00E1718E" w:rsidP="00884CF5">
            <w:pPr>
              <w:spacing w:line="300" w:lineRule="exact"/>
              <w:jc w:val="center"/>
              <w:rPr>
                <w:rFonts w:ascii="ＭＳ 明朝" w:hAnsi="ＭＳ 明朝"/>
                <w:color w:val="000000"/>
                <w:szCs w:val="21"/>
              </w:rPr>
            </w:pPr>
          </w:p>
        </w:tc>
        <w:tc>
          <w:tcPr>
            <w:tcW w:w="992" w:type="dxa"/>
            <w:vMerge/>
            <w:shd w:val="clear" w:color="auto" w:fill="FFFFFF"/>
            <w:vAlign w:val="center"/>
          </w:tcPr>
          <w:p w:rsidR="00E1718E" w:rsidRPr="00272938" w:rsidRDefault="00E1718E" w:rsidP="00884CF5">
            <w:pPr>
              <w:tabs>
                <w:tab w:val="left" w:pos="1080"/>
              </w:tabs>
              <w:spacing w:line="260" w:lineRule="exact"/>
              <w:jc w:val="center"/>
              <w:rPr>
                <w:rFonts w:ascii="ＭＳ 明朝" w:hAnsi="ＭＳ 明朝"/>
                <w:color w:val="000000"/>
                <w:szCs w:val="21"/>
              </w:rPr>
            </w:pPr>
          </w:p>
        </w:tc>
        <w:tc>
          <w:tcPr>
            <w:tcW w:w="2268" w:type="dxa"/>
            <w:shd w:val="clear" w:color="auto" w:fill="FFFFFF"/>
          </w:tcPr>
          <w:p w:rsidR="00E1718E" w:rsidRPr="00272938" w:rsidRDefault="00E1718E" w:rsidP="00884CF5">
            <w:pPr>
              <w:tabs>
                <w:tab w:val="left" w:pos="1080"/>
              </w:tabs>
              <w:spacing w:line="260" w:lineRule="exact"/>
              <w:jc w:val="center"/>
              <w:rPr>
                <w:rFonts w:ascii="ＭＳ 明朝" w:hAnsi="ＭＳ 明朝"/>
                <w:color w:val="000000"/>
                <w:szCs w:val="21"/>
              </w:rPr>
            </w:pPr>
            <w:r>
              <w:rPr>
                <w:rFonts w:ascii="ＭＳ 明朝" w:hAnsi="ＭＳ 明朝" w:hint="eastAsia"/>
                <w:color w:val="000000"/>
                <w:szCs w:val="21"/>
              </w:rPr>
              <w:t>第二種特定建築物</w:t>
            </w:r>
          </w:p>
        </w:tc>
        <w:tc>
          <w:tcPr>
            <w:tcW w:w="1142" w:type="dxa"/>
            <w:shd w:val="clear" w:color="auto" w:fill="FFFFFF"/>
            <w:vAlign w:val="center"/>
          </w:tcPr>
          <w:p w:rsidR="00E1718E" w:rsidRPr="00272938" w:rsidRDefault="00451991" w:rsidP="00884CF5">
            <w:pPr>
              <w:tabs>
                <w:tab w:val="left" w:pos="1080"/>
              </w:tabs>
              <w:spacing w:line="260" w:lineRule="exact"/>
              <w:jc w:val="center"/>
              <w:rPr>
                <w:rFonts w:ascii="ＭＳ 明朝" w:hAnsi="ＭＳ 明朝"/>
                <w:color w:val="000000"/>
                <w:szCs w:val="21"/>
              </w:rPr>
            </w:pPr>
            <w:r w:rsidRPr="00451991">
              <w:rPr>
                <w:rFonts w:ascii="ＭＳ 明朝" w:hAnsi="ＭＳ 明朝"/>
                <w:color w:val="000000"/>
                <w:szCs w:val="21"/>
              </w:rPr>
              <w:t>1,480</w:t>
            </w:r>
          </w:p>
        </w:tc>
        <w:tc>
          <w:tcPr>
            <w:tcW w:w="1205" w:type="dxa"/>
            <w:shd w:val="clear" w:color="auto" w:fill="FFFFFF"/>
            <w:vAlign w:val="center"/>
          </w:tcPr>
          <w:p w:rsidR="00E1718E" w:rsidRPr="00272938" w:rsidRDefault="00451991" w:rsidP="00884CF5">
            <w:pPr>
              <w:tabs>
                <w:tab w:val="left" w:pos="1080"/>
              </w:tabs>
              <w:spacing w:line="260" w:lineRule="exact"/>
              <w:jc w:val="center"/>
              <w:rPr>
                <w:rFonts w:ascii="ＭＳ 明朝" w:hAnsi="ＭＳ 明朝"/>
                <w:color w:val="000000"/>
                <w:szCs w:val="21"/>
              </w:rPr>
            </w:pPr>
            <w:r w:rsidRPr="00451991">
              <w:rPr>
                <w:rFonts w:ascii="ＭＳ 明朝" w:hAnsi="ＭＳ 明朝"/>
                <w:color w:val="000000"/>
                <w:szCs w:val="21"/>
              </w:rPr>
              <w:t>407</w:t>
            </w:r>
          </w:p>
        </w:tc>
        <w:tc>
          <w:tcPr>
            <w:tcW w:w="1205" w:type="dxa"/>
            <w:shd w:val="clear" w:color="auto" w:fill="FFFFFF"/>
            <w:vAlign w:val="center"/>
          </w:tcPr>
          <w:p w:rsidR="00E1718E" w:rsidRPr="00272938" w:rsidRDefault="00451991" w:rsidP="00884CF5">
            <w:pPr>
              <w:tabs>
                <w:tab w:val="left" w:pos="1080"/>
              </w:tabs>
              <w:spacing w:line="260" w:lineRule="exact"/>
              <w:jc w:val="center"/>
              <w:rPr>
                <w:rFonts w:ascii="ＭＳ 明朝" w:hAnsi="ＭＳ 明朝"/>
                <w:color w:val="000000"/>
                <w:szCs w:val="21"/>
              </w:rPr>
            </w:pPr>
            <w:r w:rsidRPr="00451991">
              <w:rPr>
                <w:rFonts w:ascii="ＭＳ 明朝" w:hAnsi="ＭＳ 明朝"/>
                <w:color w:val="000000"/>
                <w:szCs w:val="21"/>
              </w:rPr>
              <w:t>28%</w:t>
            </w:r>
          </w:p>
        </w:tc>
      </w:tr>
      <w:tr w:rsidR="00E1718E" w:rsidRPr="00272938" w:rsidTr="00884CF5">
        <w:trPr>
          <w:jc w:val="center"/>
        </w:trPr>
        <w:tc>
          <w:tcPr>
            <w:tcW w:w="1320" w:type="dxa"/>
            <w:vMerge w:val="restart"/>
            <w:shd w:val="clear" w:color="auto" w:fill="FFFFFF"/>
            <w:vAlign w:val="center"/>
          </w:tcPr>
          <w:p w:rsidR="00E1718E" w:rsidRPr="00272938" w:rsidRDefault="00E1718E" w:rsidP="00884CF5">
            <w:pPr>
              <w:spacing w:line="300" w:lineRule="exact"/>
              <w:jc w:val="center"/>
              <w:rPr>
                <w:rFonts w:ascii="ＭＳ 明朝" w:hAnsi="ＭＳ 明朝"/>
                <w:color w:val="000000"/>
                <w:szCs w:val="21"/>
              </w:rPr>
            </w:pPr>
            <w:r>
              <w:rPr>
                <w:rFonts w:ascii="ＭＳ 明朝" w:hAnsi="ＭＳ 明朝" w:hint="eastAsia"/>
                <w:color w:val="000000"/>
                <w:szCs w:val="21"/>
              </w:rPr>
              <w:t>2015</w:t>
            </w:r>
            <w:r w:rsidRPr="00272938">
              <w:rPr>
                <w:rFonts w:ascii="ＭＳ 明朝" w:hAnsi="ＭＳ 明朝" w:hint="eastAsia"/>
                <w:color w:val="000000"/>
                <w:szCs w:val="21"/>
              </w:rPr>
              <w:t>年度</w:t>
            </w:r>
          </w:p>
        </w:tc>
        <w:tc>
          <w:tcPr>
            <w:tcW w:w="992" w:type="dxa"/>
            <w:vMerge w:val="restart"/>
            <w:shd w:val="clear" w:color="auto" w:fill="FFFFFF"/>
            <w:vAlign w:val="center"/>
          </w:tcPr>
          <w:p w:rsidR="00E1718E" w:rsidRPr="00272938" w:rsidRDefault="00E1718E" w:rsidP="00884CF5">
            <w:pPr>
              <w:tabs>
                <w:tab w:val="left" w:pos="1080"/>
              </w:tabs>
              <w:spacing w:line="260" w:lineRule="exact"/>
              <w:jc w:val="center"/>
              <w:rPr>
                <w:rFonts w:ascii="ＭＳ 明朝" w:hAnsi="ＭＳ 明朝"/>
                <w:color w:val="000000"/>
                <w:szCs w:val="21"/>
              </w:rPr>
            </w:pPr>
            <w:r w:rsidRPr="00272938">
              <w:rPr>
                <w:rFonts w:ascii="ＭＳ 明朝" w:hAnsi="ＭＳ 明朝" w:hint="eastAsia"/>
                <w:color w:val="000000"/>
                <w:szCs w:val="21"/>
              </w:rPr>
              <w:t>非住宅</w:t>
            </w:r>
          </w:p>
        </w:tc>
        <w:tc>
          <w:tcPr>
            <w:tcW w:w="2268" w:type="dxa"/>
            <w:shd w:val="clear" w:color="auto" w:fill="FFFFFF"/>
          </w:tcPr>
          <w:p w:rsidR="00E1718E" w:rsidRPr="00272938" w:rsidRDefault="00E1718E" w:rsidP="00884CF5">
            <w:pPr>
              <w:tabs>
                <w:tab w:val="left" w:pos="1080"/>
              </w:tabs>
              <w:spacing w:line="260" w:lineRule="exact"/>
              <w:jc w:val="center"/>
              <w:rPr>
                <w:rFonts w:ascii="ＭＳ 明朝" w:hAnsi="ＭＳ 明朝"/>
                <w:color w:val="000000"/>
                <w:szCs w:val="21"/>
              </w:rPr>
            </w:pPr>
            <w:r>
              <w:rPr>
                <w:rFonts w:ascii="ＭＳ 明朝" w:hAnsi="ＭＳ 明朝" w:hint="eastAsia"/>
                <w:color w:val="000000"/>
                <w:szCs w:val="21"/>
              </w:rPr>
              <w:t>第一種特定建築物</w:t>
            </w:r>
          </w:p>
        </w:tc>
        <w:tc>
          <w:tcPr>
            <w:tcW w:w="1142" w:type="dxa"/>
            <w:shd w:val="clear" w:color="auto" w:fill="FFFFFF"/>
            <w:vAlign w:val="center"/>
          </w:tcPr>
          <w:p w:rsidR="00E1718E" w:rsidRPr="00272938" w:rsidRDefault="00E1718E" w:rsidP="00884CF5">
            <w:pPr>
              <w:tabs>
                <w:tab w:val="left" w:pos="1080"/>
              </w:tabs>
              <w:spacing w:line="260" w:lineRule="exact"/>
              <w:jc w:val="center"/>
              <w:rPr>
                <w:rFonts w:ascii="ＭＳ 明朝" w:hAnsi="ＭＳ 明朝"/>
                <w:color w:val="000000"/>
                <w:szCs w:val="21"/>
              </w:rPr>
            </w:pPr>
            <w:r w:rsidRPr="00E1718E">
              <w:rPr>
                <w:rFonts w:ascii="ＭＳ 明朝" w:hAnsi="ＭＳ 明朝"/>
                <w:color w:val="000000"/>
                <w:szCs w:val="21"/>
              </w:rPr>
              <w:t>216</w:t>
            </w:r>
          </w:p>
        </w:tc>
        <w:tc>
          <w:tcPr>
            <w:tcW w:w="1205" w:type="dxa"/>
            <w:shd w:val="clear" w:color="auto" w:fill="FFFFFF"/>
            <w:vAlign w:val="center"/>
          </w:tcPr>
          <w:p w:rsidR="00E1718E" w:rsidRPr="00272938" w:rsidRDefault="00E1718E" w:rsidP="00884CF5">
            <w:pPr>
              <w:tabs>
                <w:tab w:val="left" w:pos="1080"/>
              </w:tabs>
              <w:spacing w:line="260" w:lineRule="exact"/>
              <w:jc w:val="center"/>
              <w:rPr>
                <w:rFonts w:ascii="ＭＳ 明朝" w:hAnsi="ＭＳ 明朝"/>
                <w:color w:val="000000"/>
                <w:szCs w:val="21"/>
              </w:rPr>
            </w:pPr>
            <w:r w:rsidRPr="00E1718E">
              <w:rPr>
                <w:rFonts w:ascii="ＭＳ 明朝" w:hAnsi="ＭＳ 明朝"/>
                <w:color w:val="000000"/>
                <w:szCs w:val="21"/>
              </w:rPr>
              <w:t>204</w:t>
            </w:r>
          </w:p>
        </w:tc>
        <w:tc>
          <w:tcPr>
            <w:tcW w:w="1205" w:type="dxa"/>
            <w:shd w:val="clear" w:color="auto" w:fill="FFFFFF"/>
            <w:vAlign w:val="center"/>
          </w:tcPr>
          <w:p w:rsidR="00E1718E" w:rsidRPr="00272938" w:rsidRDefault="00451991" w:rsidP="00884CF5">
            <w:pPr>
              <w:tabs>
                <w:tab w:val="left" w:pos="1080"/>
              </w:tabs>
              <w:spacing w:line="260" w:lineRule="exact"/>
              <w:jc w:val="center"/>
              <w:rPr>
                <w:rFonts w:ascii="ＭＳ 明朝" w:hAnsi="ＭＳ 明朝"/>
                <w:color w:val="000000"/>
                <w:szCs w:val="21"/>
              </w:rPr>
            </w:pPr>
            <w:r w:rsidRPr="00451991">
              <w:rPr>
                <w:rFonts w:ascii="ＭＳ 明朝" w:hAnsi="ＭＳ 明朝"/>
                <w:color w:val="000000"/>
                <w:szCs w:val="21"/>
              </w:rPr>
              <w:t>94%</w:t>
            </w:r>
          </w:p>
        </w:tc>
      </w:tr>
      <w:tr w:rsidR="00E1718E" w:rsidRPr="00272938" w:rsidTr="00884CF5">
        <w:trPr>
          <w:jc w:val="center"/>
        </w:trPr>
        <w:tc>
          <w:tcPr>
            <w:tcW w:w="1320" w:type="dxa"/>
            <w:vMerge/>
            <w:shd w:val="clear" w:color="auto" w:fill="FFFFFF"/>
            <w:vAlign w:val="center"/>
          </w:tcPr>
          <w:p w:rsidR="00E1718E" w:rsidRPr="00272938" w:rsidRDefault="00E1718E" w:rsidP="00884CF5">
            <w:pPr>
              <w:spacing w:line="300" w:lineRule="exact"/>
              <w:jc w:val="center"/>
              <w:rPr>
                <w:rFonts w:ascii="ＭＳ 明朝" w:hAnsi="ＭＳ 明朝"/>
                <w:color w:val="000000"/>
                <w:szCs w:val="21"/>
              </w:rPr>
            </w:pPr>
          </w:p>
        </w:tc>
        <w:tc>
          <w:tcPr>
            <w:tcW w:w="992" w:type="dxa"/>
            <w:vMerge/>
            <w:shd w:val="clear" w:color="auto" w:fill="FFFFFF"/>
            <w:vAlign w:val="center"/>
          </w:tcPr>
          <w:p w:rsidR="00E1718E" w:rsidRPr="00272938" w:rsidRDefault="00E1718E" w:rsidP="00884CF5">
            <w:pPr>
              <w:tabs>
                <w:tab w:val="left" w:pos="1080"/>
              </w:tabs>
              <w:spacing w:line="260" w:lineRule="exact"/>
              <w:jc w:val="center"/>
              <w:rPr>
                <w:rFonts w:ascii="ＭＳ 明朝" w:hAnsi="ＭＳ 明朝"/>
                <w:color w:val="000000"/>
                <w:szCs w:val="21"/>
              </w:rPr>
            </w:pPr>
          </w:p>
        </w:tc>
        <w:tc>
          <w:tcPr>
            <w:tcW w:w="2268" w:type="dxa"/>
            <w:shd w:val="clear" w:color="auto" w:fill="FFFFFF"/>
          </w:tcPr>
          <w:p w:rsidR="00E1718E" w:rsidRPr="00272938" w:rsidRDefault="00E1718E" w:rsidP="00884CF5">
            <w:pPr>
              <w:tabs>
                <w:tab w:val="left" w:pos="1080"/>
              </w:tabs>
              <w:spacing w:line="260" w:lineRule="exact"/>
              <w:jc w:val="center"/>
              <w:rPr>
                <w:rFonts w:ascii="ＭＳ 明朝" w:hAnsi="ＭＳ 明朝"/>
                <w:color w:val="000000"/>
                <w:szCs w:val="21"/>
              </w:rPr>
            </w:pPr>
            <w:r>
              <w:rPr>
                <w:rFonts w:ascii="ＭＳ 明朝" w:hAnsi="ＭＳ 明朝" w:hint="eastAsia"/>
                <w:color w:val="000000"/>
                <w:szCs w:val="21"/>
              </w:rPr>
              <w:t>第二種特定建築物</w:t>
            </w:r>
          </w:p>
        </w:tc>
        <w:tc>
          <w:tcPr>
            <w:tcW w:w="1142" w:type="dxa"/>
            <w:shd w:val="clear" w:color="auto" w:fill="FFFFFF"/>
            <w:vAlign w:val="center"/>
          </w:tcPr>
          <w:p w:rsidR="00E1718E" w:rsidRPr="00272938" w:rsidRDefault="00451991" w:rsidP="00884CF5">
            <w:pPr>
              <w:tabs>
                <w:tab w:val="left" w:pos="1080"/>
              </w:tabs>
              <w:spacing w:line="260" w:lineRule="exact"/>
              <w:jc w:val="center"/>
              <w:rPr>
                <w:rFonts w:ascii="ＭＳ 明朝" w:hAnsi="ＭＳ 明朝"/>
                <w:color w:val="000000"/>
                <w:szCs w:val="21"/>
              </w:rPr>
            </w:pPr>
            <w:r w:rsidRPr="00451991">
              <w:rPr>
                <w:rFonts w:ascii="ＭＳ 明朝" w:hAnsi="ＭＳ 明朝"/>
                <w:color w:val="000000"/>
                <w:szCs w:val="21"/>
              </w:rPr>
              <w:t>757</w:t>
            </w:r>
          </w:p>
        </w:tc>
        <w:tc>
          <w:tcPr>
            <w:tcW w:w="1205" w:type="dxa"/>
            <w:shd w:val="clear" w:color="auto" w:fill="FFFFFF"/>
            <w:vAlign w:val="center"/>
          </w:tcPr>
          <w:p w:rsidR="00E1718E" w:rsidRPr="00272938" w:rsidRDefault="00451991" w:rsidP="00884CF5">
            <w:pPr>
              <w:tabs>
                <w:tab w:val="left" w:pos="1080"/>
              </w:tabs>
              <w:spacing w:line="260" w:lineRule="exact"/>
              <w:jc w:val="center"/>
              <w:rPr>
                <w:rFonts w:ascii="ＭＳ 明朝" w:hAnsi="ＭＳ 明朝"/>
                <w:color w:val="000000"/>
                <w:szCs w:val="21"/>
              </w:rPr>
            </w:pPr>
            <w:r w:rsidRPr="00451991">
              <w:rPr>
                <w:rFonts w:ascii="ＭＳ 明朝" w:hAnsi="ＭＳ 明朝"/>
                <w:color w:val="000000"/>
                <w:szCs w:val="21"/>
              </w:rPr>
              <w:t>720</w:t>
            </w:r>
          </w:p>
        </w:tc>
        <w:tc>
          <w:tcPr>
            <w:tcW w:w="1205" w:type="dxa"/>
            <w:shd w:val="clear" w:color="auto" w:fill="FFFFFF"/>
            <w:vAlign w:val="center"/>
          </w:tcPr>
          <w:p w:rsidR="00E1718E" w:rsidRPr="00272938" w:rsidRDefault="00451991" w:rsidP="00884CF5">
            <w:pPr>
              <w:tabs>
                <w:tab w:val="left" w:pos="1080"/>
              </w:tabs>
              <w:spacing w:line="260" w:lineRule="exact"/>
              <w:jc w:val="center"/>
              <w:rPr>
                <w:rFonts w:ascii="ＭＳ 明朝" w:hAnsi="ＭＳ 明朝"/>
                <w:color w:val="000000"/>
                <w:szCs w:val="21"/>
              </w:rPr>
            </w:pPr>
            <w:r w:rsidRPr="00451991">
              <w:rPr>
                <w:rFonts w:ascii="ＭＳ 明朝" w:hAnsi="ＭＳ 明朝"/>
                <w:color w:val="000000"/>
                <w:szCs w:val="21"/>
              </w:rPr>
              <w:t>95%</w:t>
            </w:r>
          </w:p>
        </w:tc>
      </w:tr>
      <w:tr w:rsidR="00E1718E" w:rsidRPr="00272938" w:rsidTr="00884CF5">
        <w:trPr>
          <w:jc w:val="center"/>
        </w:trPr>
        <w:tc>
          <w:tcPr>
            <w:tcW w:w="1320" w:type="dxa"/>
            <w:vMerge/>
            <w:shd w:val="clear" w:color="auto" w:fill="FFFFFF"/>
            <w:vAlign w:val="center"/>
          </w:tcPr>
          <w:p w:rsidR="00E1718E" w:rsidRPr="00272938" w:rsidRDefault="00E1718E" w:rsidP="00884CF5">
            <w:pPr>
              <w:spacing w:line="300" w:lineRule="exact"/>
              <w:jc w:val="center"/>
              <w:rPr>
                <w:rFonts w:ascii="ＭＳ 明朝" w:hAnsi="ＭＳ 明朝"/>
                <w:color w:val="000000"/>
                <w:szCs w:val="21"/>
              </w:rPr>
            </w:pPr>
          </w:p>
        </w:tc>
        <w:tc>
          <w:tcPr>
            <w:tcW w:w="992" w:type="dxa"/>
            <w:vMerge w:val="restart"/>
            <w:shd w:val="clear" w:color="auto" w:fill="FFFFFF"/>
            <w:vAlign w:val="center"/>
          </w:tcPr>
          <w:p w:rsidR="00E1718E" w:rsidRPr="00272938" w:rsidRDefault="00E1718E" w:rsidP="00884CF5">
            <w:pPr>
              <w:tabs>
                <w:tab w:val="left" w:pos="1080"/>
              </w:tabs>
              <w:spacing w:line="260" w:lineRule="exact"/>
              <w:jc w:val="center"/>
              <w:rPr>
                <w:rFonts w:ascii="ＭＳ 明朝" w:hAnsi="ＭＳ 明朝"/>
                <w:color w:val="000000"/>
                <w:szCs w:val="21"/>
              </w:rPr>
            </w:pPr>
            <w:r w:rsidRPr="00272938">
              <w:rPr>
                <w:rFonts w:ascii="ＭＳ 明朝" w:hAnsi="ＭＳ 明朝" w:hint="eastAsia"/>
                <w:color w:val="000000"/>
                <w:szCs w:val="21"/>
              </w:rPr>
              <w:t>住宅</w:t>
            </w:r>
          </w:p>
        </w:tc>
        <w:tc>
          <w:tcPr>
            <w:tcW w:w="2268" w:type="dxa"/>
            <w:shd w:val="clear" w:color="auto" w:fill="FFFFFF"/>
          </w:tcPr>
          <w:p w:rsidR="00E1718E" w:rsidRPr="00272938" w:rsidRDefault="00E1718E" w:rsidP="00884CF5">
            <w:pPr>
              <w:tabs>
                <w:tab w:val="left" w:pos="1080"/>
              </w:tabs>
              <w:spacing w:line="260" w:lineRule="exact"/>
              <w:jc w:val="center"/>
              <w:rPr>
                <w:rFonts w:ascii="ＭＳ 明朝" w:hAnsi="ＭＳ 明朝"/>
                <w:color w:val="000000"/>
                <w:szCs w:val="21"/>
              </w:rPr>
            </w:pPr>
            <w:r>
              <w:rPr>
                <w:rFonts w:ascii="ＭＳ 明朝" w:hAnsi="ＭＳ 明朝" w:hint="eastAsia"/>
                <w:color w:val="000000"/>
                <w:szCs w:val="21"/>
              </w:rPr>
              <w:t>第一種特定建築物</w:t>
            </w:r>
          </w:p>
        </w:tc>
        <w:tc>
          <w:tcPr>
            <w:tcW w:w="1142" w:type="dxa"/>
            <w:shd w:val="clear" w:color="auto" w:fill="FFFFFF"/>
            <w:vAlign w:val="center"/>
          </w:tcPr>
          <w:p w:rsidR="00E1718E" w:rsidRPr="00272938" w:rsidRDefault="00451991" w:rsidP="00884CF5">
            <w:pPr>
              <w:tabs>
                <w:tab w:val="left" w:pos="1080"/>
              </w:tabs>
              <w:spacing w:line="260" w:lineRule="exact"/>
              <w:jc w:val="center"/>
              <w:rPr>
                <w:rFonts w:ascii="ＭＳ 明朝" w:hAnsi="ＭＳ 明朝"/>
                <w:color w:val="000000"/>
                <w:szCs w:val="21"/>
              </w:rPr>
            </w:pPr>
            <w:r w:rsidRPr="00451991">
              <w:rPr>
                <w:rFonts w:ascii="ＭＳ 明朝" w:hAnsi="ＭＳ 明朝"/>
                <w:color w:val="000000"/>
                <w:szCs w:val="21"/>
              </w:rPr>
              <w:t>158</w:t>
            </w:r>
          </w:p>
        </w:tc>
        <w:tc>
          <w:tcPr>
            <w:tcW w:w="1205" w:type="dxa"/>
            <w:shd w:val="clear" w:color="auto" w:fill="FFFFFF"/>
            <w:vAlign w:val="center"/>
          </w:tcPr>
          <w:p w:rsidR="00E1718E" w:rsidRPr="00272938" w:rsidRDefault="00451991" w:rsidP="00884CF5">
            <w:pPr>
              <w:tabs>
                <w:tab w:val="left" w:pos="1080"/>
              </w:tabs>
              <w:spacing w:line="260" w:lineRule="exact"/>
              <w:jc w:val="center"/>
              <w:rPr>
                <w:rFonts w:ascii="ＭＳ 明朝" w:hAnsi="ＭＳ 明朝"/>
                <w:color w:val="000000"/>
                <w:szCs w:val="21"/>
              </w:rPr>
            </w:pPr>
            <w:r w:rsidRPr="00451991">
              <w:rPr>
                <w:rFonts w:ascii="ＭＳ 明朝" w:hAnsi="ＭＳ 明朝"/>
                <w:color w:val="000000"/>
                <w:szCs w:val="21"/>
              </w:rPr>
              <w:t>21</w:t>
            </w:r>
          </w:p>
        </w:tc>
        <w:tc>
          <w:tcPr>
            <w:tcW w:w="1205" w:type="dxa"/>
            <w:shd w:val="clear" w:color="auto" w:fill="FFFFFF"/>
            <w:vAlign w:val="center"/>
          </w:tcPr>
          <w:p w:rsidR="00E1718E" w:rsidRPr="00272938" w:rsidRDefault="00451991" w:rsidP="00884CF5">
            <w:pPr>
              <w:tabs>
                <w:tab w:val="left" w:pos="1080"/>
              </w:tabs>
              <w:spacing w:line="260" w:lineRule="exact"/>
              <w:jc w:val="center"/>
              <w:rPr>
                <w:rFonts w:ascii="ＭＳ 明朝" w:hAnsi="ＭＳ 明朝"/>
                <w:color w:val="000000"/>
                <w:szCs w:val="21"/>
              </w:rPr>
            </w:pPr>
            <w:r w:rsidRPr="00451991">
              <w:rPr>
                <w:rFonts w:ascii="ＭＳ 明朝" w:hAnsi="ＭＳ 明朝"/>
                <w:color w:val="000000"/>
                <w:szCs w:val="21"/>
              </w:rPr>
              <w:t>13%</w:t>
            </w:r>
          </w:p>
        </w:tc>
      </w:tr>
      <w:tr w:rsidR="00E1718E" w:rsidRPr="00272938" w:rsidTr="00884CF5">
        <w:trPr>
          <w:jc w:val="center"/>
        </w:trPr>
        <w:tc>
          <w:tcPr>
            <w:tcW w:w="1320" w:type="dxa"/>
            <w:vMerge/>
            <w:shd w:val="clear" w:color="auto" w:fill="FFFFFF"/>
            <w:vAlign w:val="center"/>
          </w:tcPr>
          <w:p w:rsidR="00E1718E" w:rsidRPr="00272938" w:rsidRDefault="00E1718E" w:rsidP="00884CF5">
            <w:pPr>
              <w:spacing w:line="300" w:lineRule="exact"/>
              <w:jc w:val="center"/>
              <w:rPr>
                <w:rFonts w:ascii="ＭＳ 明朝" w:hAnsi="ＭＳ 明朝"/>
                <w:color w:val="000000"/>
                <w:szCs w:val="21"/>
              </w:rPr>
            </w:pPr>
          </w:p>
        </w:tc>
        <w:tc>
          <w:tcPr>
            <w:tcW w:w="992" w:type="dxa"/>
            <w:vMerge/>
            <w:shd w:val="clear" w:color="auto" w:fill="FFFFFF"/>
            <w:vAlign w:val="center"/>
          </w:tcPr>
          <w:p w:rsidR="00E1718E" w:rsidRPr="00272938" w:rsidRDefault="00E1718E" w:rsidP="00884CF5">
            <w:pPr>
              <w:tabs>
                <w:tab w:val="left" w:pos="1080"/>
              </w:tabs>
              <w:spacing w:line="260" w:lineRule="exact"/>
              <w:jc w:val="center"/>
              <w:rPr>
                <w:rFonts w:ascii="ＭＳ 明朝" w:hAnsi="ＭＳ 明朝"/>
                <w:color w:val="000000"/>
                <w:szCs w:val="21"/>
              </w:rPr>
            </w:pPr>
          </w:p>
        </w:tc>
        <w:tc>
          <w:tcPr>
            <w:tcW w:w="2268" w:type="dxa"/>
            <w:shd w:val="clear" w:color="auto" w:fill="FFFFFF"/>
          </w:tcPr>
          <w:p w:rsidR="00E1718E" w:rsidRPr="00272938" w:rsidRDefault="00E1718E" w:rsidP="00884CF5">
            <w:pPr>
              <w:tabs>
                <w:tab w:val="left" w:pos="1080"/>
              </w:tabs>
              <w:spacing w:line="260" w:lineRule="exact"/>
              <w:jc w:val="center"/>
              <w:rPr>
                <w:rFonts w:ascii="ＭＳ 明朝" w:hAnsi="ＭＳ 明朝"/>
                <w:color w:val="000000"/>
                <w:szCs w:val="21"/>
              </w:rPr>
            </w:pPr>
            <w:r>
              <w:rPr>
                <w:rFonts w:ascii="ＭＳ 明朝" w:hAnsi="ＭＳ 明朝" w:hint="eastAsia"/>
                <w:color w:val="000000"/>
                <w:szCs w:val="21"/>
              </w:rPr>
              <w:t>第二種特定建築物</w:t>
            </w:r>
          </w:p>
        </w:tc>
        <w:tc>
          <w:tcPr>
            <w:tcW w:w="1142" w:type="dxa"/>
            <w:shd w:val="clear" w:color="auto" w:fill="FFFFFF"/>
            <w:vAlign w:val="center"/>
          </w:tcPr>
          <w:p w:rsidR="00E1718E" w:rsidRPr="00272938" w:rsidRDefault="00451991" w:rsidP="00884CF5">
            <w:pPr>
              <w:tabs>
                <w:tab w:val="left" w:pos="1080"/>
              </w:tabs>
              <w:spacing w:line="260" w:lineRule="exact"/>
              <w:jc w:val="center"/>
              <w:rPr>
                <w:rFonts w:ascii="ＭＳ 明朝" w:hAnsi="ＭＳ 明朝"/>
                <w:color w:val="000000"/>
                <w:szCs w:val="21"/>
              </w:rPr>
            </w:pPr>
            <w:r w:rsidRPr="00451991">
              <w:rPr>
                <w:rFonts w:ascii="ＭＳ 明朝" w:hAnsi="ＭＳ 明朝"/>
                <w:color w:val="000000"/>
                <w:szCs w:val="21"/>
              </w:rPr>
              <w:t>957</w:t>
            </w:r>
          </w:p>
        </w:tc>
        <w:tc>
          <w:tcPr>
            <w:tcW w:w="1205" w:type="dxa"/>
            <w:shd w:val="clear" w:color="auto" w:fill="FFFFFF"/>
            <w:vAlign w:val="center"/>
          </w:tcPr>
          <w:p w:rsidR="00E1718E" w:rsidRPr="00272938" w:rsidRDefault="00451991" w:rsidP="00884CF5">
            <w:pPr>
              <w:tabs>
                <w:tab w:val="left" w:pos="1080"/>
              </w:tabs>
              <w:spacing w:line="260" w:lineRule="exact"/>
              <w:jc w:val="center"/>
              <w:rPr>
                <w:rFonts w:ascii="ＭＳ 明朝" w:hAnsi="ＭＳ 明朝"/>
                <w:color w:val="000000"/>
                <w:szCs w:val="21"/>
              </w:rPr>
            </w:pPr>
            <w:r w:rsidRPr="00451991">
              <w:rPr>
                <w:rFonts w:ascii="ＭＳ 明朝" w:hAnsi="ＭＳ 明朝"/>
                <w:color w:val="000000"/>
                <w:szCs w:val="21"/>
              </w:rPr>
              <w:t>533</w:t>
            </w:r>
          </w:p>
        </w:tc>
        <w:tc>
          <w:tcPr>
            <w:tcW w:w="1205" w:type="dxa"/>
            <w:shd w:val="clear" w:color="auto" w:fill="FFFFFF"/>
            <w:vAlign w:val="center"/>
          </w:tcPr>
          <w:p w:rsidR="00E1718E" w:rsidRPr="00272938" w:rsidRDefault="00451991" w:rsidP="00884CF5">
            <w:pPr>
              <w:tabs>
                <w:tab w:val="left" w:pos="1080"/>
              </w:tabs>
              <w:spacing w:line="260" w:lineRule="exact"/>
              <w:jc w:val="center"/>
              <w:rPr>
                <w:rFonts w:ascii="ＭＳ 明朝" w:hAnsi="ＭＳ 明朝"/>
                <w:color w:val="000000"/>
                <w:szCs w:val="21"/>
              </w:rPr>
            </w:pPr>
            <w:r w:rsidRPr="00451991">
              <w:rPr>
                <w:rFonts w:ascii="ＭＳ 明朝" w:hAnsi="ＭＳ 明朝"/>
                <w:color w:val="000000"/>
                <w:szCs w:val="21"/>
              </w:rPr>
              <w:t>56%</w:t>
            </w:r>
          </w:p>
        </w:tc>
      </w:tr>
    </w:tbl>
    <w:p w:rsidR="00C84CCE" w:rsidRDefault="00C84CCE" w:rsidP="00C84CCE">
      <w:pPr>
        <w:spacing w:beforeLines="50" w:before="180" w:line="0" w:lineRule="atLeast"/>
        <w:ind w:firstLineChars="1900" w:firstLine="3990"/>
        <w:rPr>
          <w:rFonts w:ascii="ＭＳ 明朝" w:hAnsi="ＭＳ 明朝"/>
          <w:szCs w:val="21"/>
        </w:rPr>
      </w:pPr>
      <w:r>
        <w:rPr>
          <w:rFonts w:ascii="ＭＳ 明朝" w:hAnsi="ＭＳ 明朝" w:hint="eastAsia"/>
          <w:szCs w:val="21"/>
        </w:rPr>
        <w:t xml:space="preserve">第一種特定建築物：延べ面積2,000㎡以上　　</w:t>
      </w:r>
    </w:p>
    <w:p w:rsidR="00C84CCE" w:rsidRPr="00C84CCE" w:rsidRDefault="00C84CCE" w:rsidP="00C84CCE">
      <w:pPr>
        <w:spacing w:beforeLines="50" w:before="180" w:line="0" w:lineRule="atLeast"/>
        <w:ind w:firstLineChars="1900" w:firstLine="3990"/>
        <w:rPr>
          <w:rFonts w:ascii="ＭＳ 明朝" w:hAnsi="ＭＳ 明朝"/>
          <w:szCs w:val="21"/>
        </w:rPr>
      </w:pPr>
      <w:r>
        <w:rPr>
          <w:rFonts w:ascii="ＭＳ 明朝" w:hAnsi="ＭＳ 明朝" w:hint="eastAsia"/>
          <w:szCs w:val="21"/>
        </w:rPr>
        <w:t>第二種特定建築物：延べ面積300㎡以上2,000㎡未満</w:t>
      </w:r>
    </w:p>
    <w:p w:rsidR="00C84CCE" w:rsidRDefault="00C84CCE">
      <w:pPr>
        <w:widowControl/>
        <w:jc w:val="left"/>
        <w:rPr>
          <w:rFonts w:ascii="ＭＳ 明朝" w:hAnsi="ＭＳ 明朝"/>
          <w:b/>
          <w:sz w:val="24"/>
          <w:szCs w:val="24"/>
        </w:rPr>
      </w:pPr>
      <w:r>
        <w:rPr>
          <w:rFonts w:ascii="ＭＳ 明朝" w:hAnsi="ＭＳ 明朝"/>
          <w:b/>
          <w:sz w:val="24"/>
          <w:szCs w:val="24"/>
        </w:rPr>
        <w:br w:type="page"/>
      </w:r>
    </w:p>
    <w:p w:rsidR="00C52B4D" w:rsidRPr="00CE65AF" w:rsidRDefault="00770940" w:rsidP="00165D93">
      <w:pPr>
        <w:spacing w:beforeLines="50" w:before="180"/>
        <w:rPr>
          <w:rFonts w:ascii="ＭＳ 明朝" w:hAnsi="ＭＳ 明朝"/>
          <w:b/>
          <w:sz w:val="24"/>
          <w:szCs w:val="24"/>
        </w:rPr>
      </w:pPr>
      <w:r>
        <w:rPr>
          <w:rFonts w:ascii="ＭＳ 明朝" w:hAnsi="ＭＳ 明朝" w:hint="eastAsia"/>
          <w:b/>
          <w:sz w:val="24"/>
          <w:szCs w:val="24"/>
        </w:rPr>
        <w:lastRenderedPageBreak/>
        <w:t>４</w:t>
      </w:r>
      <w:r w:rsidR="00C52B4D" w:rsidRPr="00CE65AF">
        <w:rPr>
          <w:rFonts w:ascii="ＭＳ 明朝" w:hAnsi="ＭＳ 明朝" w:hint="eastAsia"/>
          <w:b/>
          <w:sz w:val="24"/>
          <w:szCs w:val="24"/>
        </w:rPr>
        <w:t>．建築物環境性能表示の届出状況について</w:t>
      </w:r>
    </w:p>
    <w:p w:rsidR="00C52B4D" w:rsidRPr="00CE65AF" w:rsidRDefault="00C52B4D" w:rsidP="00C52B4D">
      <w:pPr>
        <w:rPr>
          <w:rFonts w:ascii="ＭＳ 明朝" w:hAnsi="ＭＳ 明朝"/>
          <w:b/>
          <w:sz w:val="24"/>
          <w:szCs w:val="24"/>
        </w:rPr>
      </w:pPr>
    </w:p>
    <w:p w:rsidR="00C52B4D" w:rsidRPr="00CE65AF" w:rsidRDefault="00C52B4D" w:rsidP="00C52B4D">
      <w:pPr>
        <w:ind w:leftChars="100" w:left="420" w:hangingChars="100" w:hanging="210"/>
        <w:rPr>
          <w:rFonts w:ascii="ＭＳ 明朝" w:hAnsi="ＭＳ 明朝"/>
          <w:szCs w:val="21"/>
        </w:rPr>
      </w:pPr>
      <w:r w:rsidRPr="00CE65AF">
        <w:rPr>
          <w:rFonts w:ascii="ＭＳ 明朝" w:hAnsi="ＭＳ 明朝" w:hint="eastAsia"/>
          <w:szCs w:val="21"/>
        </w:rPr>
        <w:t>・建築物環境計画書の届出件数に対し、表示の届出件数は１割程度</w:t>
      </w:r>
    </w:p>
    <w:p w:rsidR="00C52B4D" w:rsidRPr="00CE65AF" w:rsidRDefault="00C52B4D" w:rsidP="00C52B4D">
      <w:pPr>
        <w:ind w:leftChars="100" w:left="420" w:hangingChars="100" w:hanging="210"/>
        <w:rPr>
          <w:rFonts w:ascii="ＭＳ 明朝" w:hAnsi="ＭＳ 明朝"/>
          <w:szCs w:val="21"/>
        </w:rPr>
      </w:pPr>
      <w:r w:rsidRPr="00CE65AF">
        <w:rPr>
          <w:rFonts w:ascii="ＭＳ 明朝" w:hAnsi="ＭＳ 明朝" w:hint="eastAsia"/>
          <w:szCs w:val="21"/>
        </w:rPr>
        <w:t>・表示を義務付けている対象が、実態としては共同住宅の販売に係る広告になるため、住宅の購入を検討している方以外が目にする機会が少ないと考えられる</w:t>
      </w:r>
    </w:p>
    <w:p w:rsidR="00FB6293" w:rsidRPr="00E1718E" w:rsidRDefault="00FB6293" w:rsidP="00FB6293">
      <w:pPr>
        <w:spacing w:beforeLines="50" w:before="180"/>
        <w:jc w:val="center"/>
        <w:rPr>
          <w:rFonts w:ascii="ＭＳ 明朝" w:hAnsi="ＭＳ 明朝"/>
          <w:color w:val="000000" w:themeColor="text1"/>
          <w:szCs w:val="21"/>
        </w:rPr>
      </w:pPr>
      <w:r w:rsidRPr="00E1718E">
        <w:rPr>
          <w:rFonts w:hint="eastAsia"/>
          <w:b/>
        </w:rPr>
        <w:t>表</w:t>
      </w:r>
      <w:r w:rsidR="006D2A86">
        <w:rPr>
          <w:rFonts w:hint="eastAsia"/>
          <w:b/>
        </w:rPr>
        <w:t>７</w:t>
      </w:r>
      <w:r w:rsidRPr="00E1718E">
        <w:rPr>
          <w:rFonts w:hint="eastAsia"/>
          <w:b/>
        </w:rPr>
        <w:t xml:space="preserve">　</w:t>
      </w:r>
      <w:r w:rsidR="00A04E30" w:rsidRPr="00A04E30">
        <w:rPr>
          <w:rFonts w:hint="eastAsia"/>
          <w:b/>
        </w:rPr>
        <w:t>建築物環境性能表示の届出</w:t>
      </w:r>
      <w:r w:rsidRPr="00E1718E">
        <w:rPr>
          <w:rFonts w:ascii="ＭＳ 明朝" w:hAnsi="ＭＳ 明朝" w:hint="eastAsia"/>
          <w:b/>
          <w:szCs w:val="21"/>
        </w:rPr>
        <w:t>状況</w:t>
      </w:r>
    </w:p>
    <w:p w:rsidR="00C52B4D" w:rsidRPr="00FB6293" w:rsidRDefault="00C52B4D" w:rsidP="00C52B4D">
      <w:pPr>
        <w:rPr>
          <w:rFonts w:ascii="ＭＳ 明朝" w:hAnsi="ＭＳ 明朝"/>
          <w:b/>
          <w:sz w:val="24"/>
          <w:szCs w:val="24"/>
        </w:rPr>
      </w:pPr>
    </w:p>
    <w:tbl>
      <w:tblPr>
        <w:tblpPr w:leftFromText="142" w:rightFromText="142" w:vertAnchor="text" w:horzAnchor="page" w:tblpXSpec="center" w:tblpY="-57"/>
        <w:tblW w:w="4111" w:type="dxa"/>
        <w:tblCellMar>
          <w:left w:w="0" w:type="dxa"/>
          <w:right w:w="0" w:type="dxa"/>
        </w:tblCellMar>
        <w:tblLook w:val="0420" w:firstRow="1" w:lastRow="0" w:firstColumn="0" w:lastColumn="0" w:noHBand="0" w:noVBand="1"/>
      </w:tblPr>
      <w:tblGrid>
        <w:gridCol w:w="1370"/>
        <w:gridCol w:w="1370"/>
        <w:gridCol w:w="1371"/>
      </w:tblGrid>
      <w:tr w:rsidR="00C52B4D" w:rsidRPr="00CE65AF" w:rsidTr="00C52B4D">
        <w:trPr>
          <w:trHeight w:val="430"/>
        </w:trPr>
        <w:tc>
          <w:tcPr>
            <w:tcW w:w="13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52B4D" w:rsidRPr="00CE65AF" w:rsidRDefault="00C52B4D" w:rsidP="00C52B4D">
            <w:pPr>
              <w:jc w:val="center"/>
              <w:rPr>
                <w:rFonts w:ascii="ＭＳ 明朝" w:hAnsi="ＭＳ 明朝"/>
                <w:szCs w:val="21"/>
              </w:rPr>
            </w:pPr>
            <w:r w:rsidRPr="00CE65AF">
              <w:rPr>
                <w:rFonts w:ascii="ＭＳ 明朝" w:hAnsi="ＭＳ 明朝" w:hint="eastAsia"/>
                <w:szCs w:val="21"/>
              </w:rPr>
              <w:t>2013年度</w:t>
            </w:r>
          </w:p>
        </w:tc>
        <w:tc>
          <w:tcPr>
            <w:tcW w:w="13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52B4D" w:rsidRPr="00CE65AF" w:rsidRDefault="00C52B4D" w:rsidP="00C52B4D">
            <w:pPr>
              <w:jc w:val="center"/>
              <w:rPr>
                <w:rFonts w:ascii="ＭＳ 明朝" w:hAnsi="ＭＳ 明朝"/>
                <w:szCs w:val="21"/>
              </w:rPr>
            </w:pPr>
            <w:r w:rsidRPr="00CE65AF">
              <w:rPr>
                <w:rFonts w:ascii="ＭＳ 明朝" w:hAnsi="ＭＳ 明朝" w:hint="eastAsia"/>
                <w:szCs w:val="21"/>
              </w:rPr>
              <w:t>2014年度</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52B4D" w:rsidRPr="00CE65AF" w:rsidRDefault="00C52B4D" w:rsidP="00C52B4D">
            <w:pPr>
              <w:jc w:val="center"/>
              <w:rPr>
                <w:rFonts w:ascii="ＭＳ 明朝" w:hAnsi="ＭＳ 明朝"/>
                <w:szCs w:val="21"/>
              </w:rPr>
            </w:pPr>
            <w:r w:rsidRPr="00CE65AF">
              <w:rPr>
                <w:rFonts w:ascii="ＭＳ 明朝" w:hAnsi="ＭＳ 明朝" w:hint="eastAsia"/>
                <w:szCs w:val="21"/>
              </w:rPr>
              <w:t>2015年度</w:t>
            </w:r>
          </w:p>
        </w:tc>
      </w:tr>
      <w:tr w:rsidR="00C52B4D" w:rsidRPr="00CE65AF" w:rsidTr="00C52B4D">
        <w:trPr>
          <w:trHeight w:val="113"/>
        </w:trPr>
        <w:tc>
          <w:tcPr>
            <w:tcW w:w="13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52B4D" w:rsidRPr="00CE65AF" w:rsidRDefault="00C52B4D" w:rsidP="00C52B4D">
            <w:pPr>
              <w:jc w:val="center"/>
              <w:rPr>
                <w:rFonts w:ascii="ＭＳ 明朝" w:hAnsi="ＭＳ 明朝"/>
                <w:szCs w:val="21"/>
              </w:rPr>
            </w:pPr>
            <w:r w:rsidRPr="00CE65AF">
              <w:rPr>
                <w:rFonts w:ascii="ＭＳ 明朝" w:hAnsi="ＭＳ 明朝" w:hint="eastAsia"/>
                <w:szCs w:val="21"/>
              </w:rPr>
              <w:t>44件</w:t>
            </w:r>
          </w:p>
        </w:tc>
        <w:tc>
          <w:tcPr>
            <w:tcW w:w="13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52B4D" w:rsidRPr="00CE65AF" w:rsidRDefault="00C52B4D" w:rsidP="00C52B4D">
            <w:pPr>
              <w:jc w:val="center"/>
              <w:rPr>
                <w:rFonts w:ascii="ＭＳ 明朝" w:hAnsi="ＭＳ 明朝"/>
                <w:szCs w:val="21"/>
              </w:rPr>
            </w:pPr>
            <w:r w:rsidRPr="00CE65AF">
              <w:rPr>
                <w:rFonts w:ascii="ＭＳ 明朝" w:hAnsi="ＭＳ 明朝" w:hint="eastAsia"/>
                <w:szCs w:val="21"/>
              </w:rPr>
              <w:t>41件</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52B4D" w:rsidRPr="00CE65AF" w:rsidRDefault="00C52B4D" w:rsidP="00C52B4D">
            <w:pPr>
              <w:jc w:val="center"/>
              <w:rPr>
                <w:rFonts w:ascii="ＭＳ 明朝" w:hAnsi="ＭＳ 明朝"/>
                <w:szCs w:val="21"/>
              </w:rPr>
            </w:pPr>
            <w:r w:rsidRPr="00CE65AF">
              <w:rPr>
                <w:rFonts w:ascii="ＭＳ 明朝" w:hAnsi="ＭＳ 明朝" w:hint="eastAsia"/>
                <w:szCs w:val="21"/>
              </w:rPr>
              <w:t>36件</w:t>
            </w:r>
          </w:p>
        </w:tc>
      </w:tr>
    </w:tbl>
    <w:p w:rsidR="00C52B4D" w:rsidRPr="00CE65AF" w:rsidRDefault="00C52B4D" w:rsidP="00C52B4D">
      <w:pPr>
        <w:rPr>
          <w:rFonts w:ascii="ＭＳ 明朝" w:hAnsi="ＭＳ 明朝"/>
          <w:b/>
          <w:sz w:val="24"/>
          <w:szCs w:val="24"/>
        </w:rPr>
      </w:pPr>
    </w:p>
    <w:p w:rsidR="00C52B4D" w:rsidRPr="00CE65AF" w:rsidRDefault="00C52B4D" w:rsidP="00C52B4D">
      <w:pPr>
        <w:rPr>
          <w:rFonts w:ascii="ＭＳ 明朝" w:hAnsi="ＭＳ 明朝"/>
          <w:b/>
          <w:sz w:val="24"/>
          <w:szCs w:val="24"/>
        </w:rPr>
      </w:pPr>
    </w:p>
    <w:p w:rsidR="00C52B4D" w:rsidRDefault="00C52B4D" w:rsidP="00C52B4D">
      <w:pPr>
        <w:rPr>
          <w:rFonts w:ascii="ＭＳ 明朝" w:hAnsi="ＭＳ 明朝"/>
          <w:b/>
          <w:sz w:val="24"/>
          <w:szCs w:val="24"/>
        </w:rPr>
      </w:pPr>
    </w:p>
    <w:p w:rsidR="00C84CCE" w:rsidRPr="00CE65AF" w:rsidRDefault="00C84CCE" w:rsidP="00C52B4D">
      <w:pPr>
        <w:rPr>
          <w:rFonts w:ascii="ＭＳ 明朝" w:hAnsi="ＭＳ 明朝"/>
          <w:b/>
          <w:sz w:val="24"/>
          <w:szCs w:val="24"/>
        </w:rPr>
      </w:pPr>
    </w:p>
    <w:p w:rsidR="00C52B4D" w:rsidRPr="00CE65AF" w:rsidRDefault="00770940" w:rsidP="00C52B4D">
      <w:pPr>
        <w:rPr>
          <w:rFonts w:ascii="ＭＳ 明朝" w:hAnsi="ＭＳ 明朝"/>
          <w:b/>
          <w:sz w:val="24"/>
          <w:szCs w:val="24"/>
        </w:rPr>
      </w:pPr>
      <w:r>
        <w:rPr>
          <w:rFonts w:ascii="ＭＳ 明朝" w:hAnsi="ＭＳ 明朝" w:hint="eastAsia"/>
          <w:b/>
          <w:sz w:val="24"/>
          <w:szCs w:val="24"/>
        </w:rPr>
        <w:t>５</w:t>
      </w:r>
      <w:r w:rsidR="00C52B4D" w:rsidRPr="00CE65AF">
        <w:rPr>
          <w:rFonts w:ascii="ＭＳ 明朝" w:hAnsi="ＭＳ 明朝" w:hint="eastAsia"/>
          <w:b/>
          <w:sz w:val="24"/>
          <w:szCs w:val="24"/>
        </w:rPr>
        <w:t>．おおさか環境にやさしい建築賞</w:t>
      </w:r>
    </w:p>
    <w:p w:rsidR="00C52B4D" w:rsidRPr="00CE65AF" w:rsidRDefault="00C52B4D" w:rsidP="00C52B4D">
      <w:pPr>
        <w:ind w:leftChars="200" w:left="420" w:firstLineChars="100" w:firstLine="210"/>
        <w:rPr>
          <w:rFonts w:ascii="ＭＳ 明朝" w:hAnsi="ＭＳ 明朝"/>
          <w:szCs w:val="21"/>
        </w:rPr>
      </w:pPr>
      <w:r w:rsidRPr="00CE65AF">
        <w:rPr>
          <w:rFonts w:ascii="ＭＳ 明朝" w:hAnsi="ＭＳ 明朝" w:hint="eastAsia"/>
          <w:szCs w:val="21"/>
        </w:rPr>
        <w:t>大阪府では平成19年度から大阪サステナブル建築賞（大阪建築環境配慮賞）を、大阪市では平成18年度からCASBEE 大阪OF THE YEAR の表彰制度により、特に環境配慮に優れた建築物の建築主及び設計者を表彰し、建築主等の環境に対する自主的な取組を促進することにより、良好な都市環境の確保と、環境にやさしい建築・まちづくりに対する意識の高揚を図ってきた。</w:t>
      </w:r>
    </w:p>
    <w:p w:rsidR="00C52B4D" w:rsidRDefault="00C52B4D" w:rsidP="00C52B4D">
      <w:pPr>
        <w:ind w:leftChars="200" w:left="420" w:firstLineChars="100" w:firstLine="210"/>
        <w:rPr>
          <w:rFonts w:ascii="ＭＳ 明朝" w:hAnsi="ＭＳ 明朝"/>
          <w:szCs w:val="21"/>
        </w:rPr>
      </w:pPr>
      <w:r w:rsidRPr="00CE65AF">
        <w:rPr>
          <w:rFonts w:ascii="ＭＳ 明朝" w:hAnsi="ＭＳ 明朝" w:hint="eastAsia"/>
          <w:szCs w:val="21"/>
        </w:rPr>
        <w:t>平成27年度からは、よりわかりやすく親しみやすい魅力ある賞を目指し、大阪府と大阪市の賞の名称を「おおさか環境にやさしい建築賞」に統一した。</w:t>
      </w:r>
    </w:p>
    <w:p w:rsidR="00026418" w:rsidRPr="00CE65AF" w:rsidRDefault="00026418" w:rsidP="00C52B4D">
      <w:pPr>
        <w:ind w:leftChars="200" w:left="420" w:firstLineChars="100" w:firstLine="210"/>
        <w:rPr>
          <w:rFonts w:ascii="ＭＳ 明朝" w:hAnsi="ＭＳ 明朝"/>
          <w:szCs w:val="21"/>
        </w:rPr>
      </w:pPr>
    </w:p>
    <w:p w:rsidR="00C52B4D" w:rsidRDefault="00C52B4D" w:rsidP="00C52B4D">
      <w:pPr>
        <w:widowControl/>
        <w:spacing w:line="200" w:lineRule="exact"/>
        <w:ind w:left="360" w:hangingChars="200" w:hanging="360"/>
        <w:jc w:val="left"/>
        <w:rPr>
          <w:sz w:val="18"/>
          <w:szCs w:val="18"/>
        </w:rPr>
      </w:pPr>
    </w:p>
    <w:p w:rsidR="00C84A46" w:rsidRPr="006D2A86" w:rsidRDefault="00C84A46" w:rsidP="007A1667">
      <w:pPr>
        <w:spacing w:beforeLines="50" w:before="180"/>
        <w:ind w:firstLineChars="100" w:firstLine="210"/>
        <w:jc w:val="left"/>
        <w:rPr>
          <w:rFonts w:ascii="ＭＳ 明朝" w:hAnsi="ＭＳ 明朝" w:cs="ＭＳ Ｐゴシック"/>
          <w:color w:val="000000"/>
          <w:kern w:val="0"/>
          <w:szCs w:val="21"/>
        </w:rPr>
      </w:pPr>
    </w:p>
    <w:sectPr w:rsidR="00C84A46" w:rsidRPr="006D2A86" w:rsidSect="00976715">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519" w:rsidRDefault="00567519" w:rsidP="00976715">
      <w:r>
        <w:separator/>
      </w:r>
    </w:p>
  </w:endnote>
  <w:endnote w:type="continuationSeparator" w:id="0">
    <w:p w:rsidR="00567519" w:rsidRDefault="00567519" w:rsidP="0097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AB" w:rsidRDefault="00D732A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7CA" w:rsidRPr="00D732AB" w:rsidRDefault="005557CA" w:rsidP="00D732A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AB" w:rsidRDefault="00D732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519" w:rsidRDefault="00567519" w:rsidP="00976715">
      <w:r>
        <w:separator/>
      </w:r>
    </w:p>
  </w:footnote>
  <w:footnote w:type="continuationSeparator" w:id="0">
    <w:p w:rsidR="00567519" w:rsidRDefault="00567519" w:rsidP="00976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AB" w:rsidRDefault="00D732A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B4D" w:rsidRPr="00CE65AF" w:rsidRDefault="00C52B4D" w:rsidP="00976715">
    <w:pPr>
      <w:pStyle w:val="a3"/>
      <w:tabs>
        <w:tab w:val="center" w:pos="4873"/>
        <w:tab w:val="right" w:pos="9746"/>
      </w:tabs>
      <w:jc w:val="left"/>
      <w:rPr>
        <w:rFonts w:ascii="ＭＳ ゴシック" w:eastAsia="ＭＳ ゴシック" w:hAnsi="ＭＳ ゴシック"/>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AB" w:rsidRDefault="00D732A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C5D19"/>
    <w:multiLevelType w:val="hybridMultilevel"/>
    <w:tmpl w:val="C78616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715"/>
    <w:rsid w:val="00014F0B"/>
    <w:rsid w:val="0002051A"/>
    <w:rsid w:val="00020891"/>
    <w:rsid w:val="000246D1"/>
    <w:rsid w:val="00026418"/>
    <w:rsid w:val="00037952"/>
    <w:rsid w:val="0004403C"/>
    <w:rsid w:val="00053BCB"/>
    <w:rsid w:val="00062AB0"/>
    <w:rsid w:val="00065B58"/>
    <w:rsid w:val="00083B87"/>
    <w:rsid w:val="000949B0"/>
    <w:rsid w:val="00096900"/>
    <w:rsid w:val="000974FE"/>
    <w:rsid w:val="000C2825"/>
    <w:rsid w:val="000E0F50"/>
    <w:rsid w:val="000F4C9D"/>
    <w:rsid w:val="001055F0"/>
    <w:rsid w:val="001061A7"/>
    <w:rsid w:val="00112F7F"/>
    <w:rsid w:val="001210A9"/>
    <w:rsid w:val="001472A5"/>
    <w:rsid w:val="0016168A"/>
    <w:rsid w:val="00161DDF"/>
    <w:rsid w:val="00165D93"/>
    <w:rsid w:val="00166049"/>
    <w:rsid w:val="001A4F3F"/>
    <w:rsid w:val="001A7DBC"/>
    <w:rsid w:val="001B4874"/>
    <w:rsid w:val="001C6AA9"/>
    <w:rsid w:val="001D364F"/>
    <w:rsid w:val="001E45E4"/>
    <w:rsid w:val="001F3C8A"/>
    <w:rsid w:val="001F6AF5"/>
    <w:rsid w:val="00214537"/>
    <w:rsid w:val="00231FA5"/>
    <w:rsid w:val="00241A06"/>
    <w:rsid w:val="00272938"/>
    <w:rsid w:val="0028052C"/>
    <w:rsid w:val="002846DF"/>
    <w:rsid w:val="00295C1A"/>
    <w:rsid w:val="002B0014"/>
    <w:rsid w:val="002F5C18"/>
    <w:rsid w:val="002F6E12"/>
    <w:rsid w:val="003068B6"/>
    <w:rsid w:val="00336E5D"/>
    <w:rsid w:val="0034658A"/>
    <w:rsid w:val="0034673F"/>
    <w:rsid w:val="0035784D"/>
    <w:rsid w:val="003663BC"/>
    <w:rsid w:val="00391A70"/>
    <w:rsid w:val="003A62DD"/>
    <w:rsid w:val="003B5E42"/>
    <w:rsid w:val="003C6EBF"/>
    <w:rsid w:val="003D0FBB"/>
    <w:rsid w:val="00440F4B"/>
    <w:rsid w:val="00451991"/>
    <w:rsid w:val="00457599"/>
    <w:rsid w:val="00464D40"/>
    <w:rsid w:val="00474694"/>
    <w:rsid w:val="00481FE1"/>
    <w:rsid w:val="00487912"/>
    <w:rsid w:val="004E1B25"/>
    <w:rsid w:val="004E37C6"/>
    <w:rsid w:val="004E5404"/>
    <w:rsid w:val="004E54FD"/>
    <w:rsid w:val="004F17F4"/>
    <w:rsid w:val="004F7FE3"/>
    <w:rsid w:val="005304FA"/>
    <w:rsid w:val="0054286C"/>
    <w:rsid w:val="0055366F"/>
    <w:rsid w:val="005557CA"/>
    <w:rsid w:val="00555E49"/>
    <w:rsid w:val="00560497"/>
    <w:rsid w:val="00567519"/>
    <w:rsid w:val="00576E84"/>
    <w:rsid w:val="005A424D"/>
    <w:rsid w:val="005B2794"/>
    <w:rsid w:val="005B7FD0"/>
    <w:rsid w:val="005C1178"/>
    <w:rsid w:val="005C1274"/>
    <w:rsid w:val="005C2010"/>
    <w:rsid w:val="005C5DD9"/>
    <w:rsid w:val="005C7F9E"/>
    <w:rsid w:val="005E3F76"/>
    <w:rsid w:val="005E4254"/>
    <w:rsid w:val="005F3BC2"/>
    <w:rsid w:val="00616BDB"/>
    <w:rsid w:val="0064340C"/>
    <w:rsid w:val="006460B7"/>
    <w:rsid w:val="00651230"/>
    <w:rsid w:val="00660FAE"/>
    <w:rsid w:val="006734ED"/>
    <w:rsid w:val="006B0765"/>
    <w:rsid w:val="006B5A2B"/>
    <w:rsid w:val="006C42DD"/>
    <w:rsid w:val="006C755A"/>
    <w:rsid w:val="006D2A86"/>
    <w:rsid w:val="006F1A2B"/>
    <w:rsid w:val="006F452E"/>
    <w:rsid w:val="0072091D"/>
    <w:rsid w:val="00726F5C"/>
    <w:rsid w:val="0075008C"/>
    <w:rsid w:val="0075541E"/>
    <w:rsid w:val="00766934"/>
    <w:rsid w:val="00770245"/>
    <w:rsid w:val="00770940"/>
    <w:rsid w:val="007738ED"/>
    <w:rsid w:val="0079338B"/>
    <w:rsid w:val="007A1667"/>
    <w:rsid w:val="007B1761"/>
    <w:rsid w:val="007B74B7"/>
    <w:rsid w:val="007B758A"/>
    <w:rsid w:val="007C4EBA"/>
    <w:rsid w:val="007E37DA"/>
    <w:rsid w:val="00810FC1"/>
    <w:rsid w:val="008174EB"/>
    <w:rsid w:val="00833EEC"/>
    <w:rsid w:val="00837582"/>
    <w:rsid w:val="00885697"/>
    <w:rsid w:val="00892F43"/>
    <w:rsid w:val="008A4F37"/>
    <w:rsid w:val="008A7E95"/>
    <w:rsid w:val="008B39AB"/>
    <w:rsid w:val="008C729A"/>
    <w:rsid w:val="008D671C"/>
    <w:rsid w:val="008E4C89"/>
    <w:rsid w:val="00900E52"/>
    <w:rsid w:val="009515FE"/>
    <w:rsid w:val="0095198C"/>
    <w:rsid w:val="009611BA"/>
    <w:rsid w:val="009630D9"/>
    <w:rsid w:val="00963A16"/>
    <w:rsid w:val="00967D62"/>
    <w:rsid w:val="00973D80"/>
    <w:rsid w:val="009761DE"/>
    <w:rsid w:val="00976715"/>
    <w:rsid w:val="0097792D"/>
    <w:rsid w:val="00992176"/>
    <w:rsid w:val="0099418F"/>
    <w:rsid w:val="009A11E5"/>
    <w:rsid w:val="009A5A6F"/>
    <w:rsid w:val="009B3C2A"/>
    <w:rsid w:val="009B5B54"/>
    <w:rsid w:val="009E6AB6"/>
    <w:rsid w:val="009F3219"/>
    <w:rsid w:val="009F4937"/>
    <w:rsid w:val="00A04E30"/>
    <w:rsid w:val="00A33EF3"/>
    <w:rsid w:val="00A6219B"/>
    <w:rsid w:val="00A97F7B"/>
    <w:rsid w:val="00AA22B9"/>
    <w:rsid w:val="00AA40DC"/>
    <w:rsid w:val="00AB2BD5"/>
    <w:rsid w:val="00AB3DB5"/>
    <w:rsid w:val="00AC3D4F"/>
    <w:rsid w:val="00AF4EEE"/>
    <w:rsid w:val="00AF528E"/>
    <w:rsid w:val="00B024D9"/>
    <w:rsid w:val="00B34E6C"/>
    <w:rsid w:val="00B448E0"/>
    <w:rsid w:val="00B53B50"/>
    <w:rsid w:val="00B566B7"/>
    <w:rsid w:val="00B81751"/>
    <w:rsid w:val="00BA2F2E"/>
    <w:rsid w:val="00BB4AA0"/>
    <w:rsid w:val="00BD0003"/>
    <w:rsid w:val="00C04C44"/>
    <w:rsid w:val="00C1645D"/>
    <w:rsid w:val="00C4057D"/>
    <w:rsid w:val="00C4371C"/>
    <w:rsid w:val="00C52B4D"/>
    <w:rsid w:val="00C674F6"/>
    <w:rsid w:val="00C84A46"/>
    <w:rsid w:val="00C84CCE"/>
    <w:rsid w:val="00C93E39"/>
    <w:rsid w:val="00CB3C38"/>
    <w:rsid w:val="00CB4C80"/>
    <w:rsid w:val="00CB6B03"/>
    <w:rsid w:val="00CC31EC"/>
    <w:rsid w:val="00CE5ACD"/>
    <w:rsid w:val="00CE65AF"/>
    <w:rsid w:val="00CF4A88"/>
    <w:rsid w:val="00D413D8"/>
    <w:rsid w:val="00D732AB"/>
    <w:rsid w:val="00D77DD6"/>
    <w:rsid w:val="00D85DF4"/>
    <w:rsid w:val="00D86AE1"/>
    <w:rsid w:val="00D87DD2"/>
    <w:rsid w:val="00DB000E"/>
    <w:rsid w:val="00DD09F4"/>
    <w:rsid w:val="00DD0ADB"/>
    <w:rsid w:val="00E11743"/>
    <w:rsid w:val="00E15E3A"/>
    <w:rsid w:val="00E1718E"/>
    <w:rsid w:val="00E241C8"/>
    <w:rsid w:val="00E403AF"/>
    <w:rsid w:val="00E62455"/>
    <w:rsid w:val="00E774DC"/>
    <w:rsid w:val="00EB6946"/>
    <w:rsid w:val="00ED60BB"/>
    <w:rsid w:val="00EE02DD"/>
    <w:rsid w:val="00EE0370"/>
    <w:rsid w:val="00EE42BA"/>
    <w:rsid w:val="00EE6E26"/>
    <w:rsid w:val="00EF2111"/>
    <w:rsid w:val="00F160CC"/>
    <w:rsid w:val="00F20E64"/>
    <w:rsid w:val="00F46D5A"/>
    <w:rsid w:val="00F64B72"/>
    <w:rsid w:val="00F87D77"/>
    <w:rsid w:val="00F90529"/>
    <w:rsid w:val="00F967D8"/>
    <w:rsid w:val="00FB6042"/>
    <w:rsid w:val="00FB6293"/>
    <w:rsid w:val="00FB6A58"/>
    <w:rsid w:val="00FE071A"/>
    <w:rsid w:val="00FE1FE4"/>
    <w:rsid w:val="00FF4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6715"/>
    <w:pPr>
      <w:tabs>
        <w:tab w:val="center" w:pos="4252"/>
        <w:tab w:val="right" w:pos="8504"/>
      </w:tabs>
      <w:snapToGrid w:val="0"/>
    </w:pPr>
  </w:style>
  <w:style w:type="character" w:customStyle="1" w:styleId="a4">
    <w:name w:val="ヘッダー (文字)"/>
    <w:basedOn w:val="a0"/>
    <w:link w:val="a3"/>
    <w:uiPriority w:val="99"/>
    <w:rsid w:val="00976715"/>
  </w:style>
  <w:style w:type="paragraph" w:styleId="a5">
    <w:name w:val="footer"/>
    <w:basedOn w:val="a"/>
    <w:link w:val="a6"/>
    <w:uiPriority w:val="99"/>
    <w:unhideWhenUsed/>
    <w:rsid w:val="00976715"/>
    <w:pPr>
      <w:tabs>
        <w:tab w:val="center" w:pos="4252"/>
        <w:tab w:val="right" w:pos="8504"/>
      </w:tabs>
      <w:snapToGrid w:val="0"/>
    </w:pPr>
  </w:style>
  <w:style w:type="character" w:customStyle="1" w:styleId="a6">
    <w:name w:val="フッター (文字)"/>
    <w:basedOn w:val="a0"/>
    <w:link w:val="a5"/>
    <w:uiPriority w:val="99"/>
    <w:rsid w:val="00976715"/>
  </w:style>
  <w:style w:type="paragraph" w:styleId="a7">
    <w:name w:val="List Paragraph"/>
    <w:basedOn w:val="a"/>
    <w:uiPriority w:val="34"/>
    <w:qFormat/>
    <w:rsid w:val="00976715"/>
    <w:pPr>
      <w:ind w:leftChars="400" w:left="840"/>
    </w:pPr>
  </w:style>
  <w:style w:type="table" w:styleId="a8">
    <w:name w:val="Table Grid"/>
    <w:basedOn w:val="a1"/>
    <w:uiPriority w:val="59"/>
    <w:rsid w:val="00FE0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uiPriority w:val="35"/>
    <w:unhideWhenUsed/>
    <w:qFormat/>
    <w:rsid w:val="00D86AE1"/>
    <w:rPr>
      <w:b/>
      <w:bCs/>
      <w:szCs w:val="21"/>
    </w:rPr>
  </w:style>
  <w:style w:type="character" w:styleId="aa">
    <w:name w:val="Hyperlink"/>
    <w:uiPriority w:val="99"/>
    <w:semiHidden/>
    <w:unhideWhenUsed/>
    <w:rsid w:val="0079338B"/>
    <w:rPr>
      <w:color w:val="0000FF"/>
      <w:u w:val="single"/>
    </w:rPr>
  </w:style>
  <w:style w:type="character" w:customStyle="1" w:styleId="p20">
    <w:name w:val="p20"/>
    <w:basedOn w:val="a0"/>
    <w:rsid w:val="0079338B"/>
  </w:style>
  <w:style w:type="paragraph" w:styleId="ab">
    <w:name w:val="Balloon Text"/>
    <w:basedOn w:val="a"/>
    <w:link w:val="ac"/>
    <w:uiPriority w:val="99"/>
    <w:semiHidden/>
    <w:unhideWhenUsed/>
    <w:rsid w:val="00EE0370"/>
    <w:rPr>
      <w:rFonts w:ascii="Arial" w:eastAsia="ＭＳ ゴシック" w:hAnsi="Arial"/>
      <w:sz w:val="18"/>
      <w:szCs w:val="18"/>
    </w:rPr>
  </w:style>
  <w:style w:type="character" w:customStyle="1" w:styleId="ac">
    <w:name w:val="吹き出し (文字)"/>
    <w:link w:val="ab"/>
    <w:uiPriority w:val="99"/>
    <w:semiHidden/>
    <w:rsid w:val="00EE0370"/>
    <w:rPr>
      <w:rFonts w:ascii="Arial" w:eastAsia="ＭＳ ゴシック" w:hAnsi="Arial" w:cs="Times New Roman"/>
      <w:sz w:val="18"/>
      <w:szCs w:val="18"/>
    </w:rPr>
  </w:style>
  <w:style w:type="paragraph" w:styleId="ad">
    <w:name w:val="Date"/>
    <w:basedOn w:val="a"/>
    <w:next w:val="a"/>
    <w:link w:val="ae"/>
    <w:uiPriority w:val="99"/>
    <w:semiHidden/>
    <w:unhideWhenUsed/>
    <w:rsid w:val="00C52B4D"/>
  </w:style>
  <w:style w:type="character" w:customStyle="1" w:styleId="ae">
    <w:name w:val="日付 (文字)"/>
    <w:basedOn w:val="a0"/>
    <w:link w:val="ad"/>
    <w:uiPriority w:val="99"/>
    <w:semiHidden/>
    <w:rsid w:val="00C52B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6715"/>
    <w:pPr>
      <w:tabs>
        <w:tab w:val="center" w:pos="4252"/>
        <w:tab w:val="right" w:pos="8504"/>
      </w:tabs>
      <w:snapToGrid w:val="0"/>
    </w:pPr>
  </w:style>
  <w:style w:type="character" w:customStyle="1" w:styleId="a4">
    <w:name w:val="ヘッダー (文字)"/>
    <w:basedOn w:val="a0"/>
    <w:link w:val="a3"/>
    <w:uiPriority w:val="99"/>
    <w:rsid w:val="00976715"/>
  </w:style>
  <w:style w:type="paragraph" w:styleId="a5">
    <w:name w:val="footer"/>
    <w:basedOn w:val="a"/>
    <w:link w:val="a6"/>
    <w:uiPriority w:val="99"/>
    <w:unhideWhenUsed/>
    <w:rsid w:val="00976715"/>
    <w:pPr>
      <w:tabs>
        <w:tab w:val="center" w:pos="4252"/>
        <w:tab w:val="right" w:pos="8504"/>
      </w:tabs>
      <w:snapToGrid w:val="0"/>
    </w:pPr>
  </w:style>
  <w:style w:type="character" w:customStyle="1" w:styleId="a6">
    <w:name w:val="フッター (文字)"/>
    <w:basedOn w:val="a0"/>
    <w:link w:val="a5"/>
    <w:uiPriority w:val="99"/>
    <w:rsid w:val="00976715"/>
  </w:style>
  <w:style w:type="paragraph" w:styleId="a7">
    <w:name w:val="List Paragraph"/>
    <w:basedOn w:val="a"/>
    <w:uiPriority w:val="34"/>
    <w:qFormat/>
    <w:rsid w:val="00976715"/>
    <w:pPr>
      <w:ind w:leftChars="400" w:left="840"/>
    </w:pPr>
  </w:style>
  <w:style w:type="table" w:styleId="a8">
    <w:name w:val="Table Grid"/>
    <w:basedOn w:val="a1"/>
    <w:uiPriority w:val="59"/>
    <w:rsid w:val="00FE0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uiPriority w:val="35"/>
    <w:unhideWhenUsed/>
    <w:qFormat/>
    <w:rsid w:val="00D86AE1"/>
    <w:rPr>
      <w:b/>
      <w:bCs/>
      <w:szCs w:val="21"/>
    </w:rPr>
  </w:style>
  <w:style w:type="character" w:styleId="aa">
    <w:name w:val="Hyperlink"/>
    <w:uiPriority w:val="99"/>
    <w:semiHidden/>
    <w:unhideWhenUsed/>
    <w:rsid w:val="0079338B"/>
    <w:rPr>
      <w:color w:val="0000FF"/>
      <w:u w:val="single"/>
    </w:rPr>
  </w:style>
  <w:style w:type="character" w:customStyle="1" w:styleId="p20">
    <w:name w:val="p20"/>
    <w:basedOn w:val="a0"/>
    <w:rsid w:val="0079338B"/>
  </w:style>
  <w:style w:type="paragraph" w:styleId="ab">
    <w:name w:val="Balloon Text"/>
    <w:basedOn w:val="a"/>
    <w:link w:val="ac"/>
    <w:uiPriority w:val="99"/>
    <w:semiHidden/>
    <w:unhideWhenUsed/>
    <w:rsid w:val="00EE0370"/>
    <w:rPr>
      <w:rFonts w:ascii="Arial" w:eastAsia="ＭＳ ゴシック" w:hAnsi="Arial"/>
      <w:sz w:val="18"/>
      <w:szCs w:val="18"/>
    </w:rPr>
  </w:style>
  <w:style w:type="character" w:customStyle="1" w:styleId="ac">
    <w:name w:val="吹き出し (文字)"/>
    <w:link w:val="ab"/>
    <w:uiPriority w:val="99"/>
    <w:semiHidden/>
    <w:rsid w:val="00EE0370"/>
    <w:rPr>
      <w:rFonts w:ascii="Arial" w:eastAsia="ＭＳ ゴシック" w:hAnsi="Arial" w:cs="Times New Roman"/>
      <w:sz w:val="18"/>
      <w:szCs w:val="18"/>
    </w:rPr>
  </w:style>
  <w:style w:type="paragraph" w:styleId="ad">
    <w:name w:val="Date"/>
    <w:basedOn w:val="a"/>
    <w:next w:val="a"/>
    <w:link w:val="ae"/>
    <w:uiPriority w:val="99"/>
    <w:semiHidden/>
    <w:unhideWhenUsed/>
    <w:rsid w:val="00C52B4D"/>
  </w:style>
  <w:style w:type="character" w:customStyle="1" w:styleId="ae">
    <w:name w:val="日付 (文字)"/>
    <w:basedOn w:val="a0"/>
    <w:link w:val="ad"/>
    <w:uiPriority w:val="99"/>
    <w:semiHidden/>
    <w:rsid w:val="00C52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0123">
      <w:bodyDiv w:val="1"/>
      <w:marLeft w:val="0"/>
      <w:marRight w:val="0"/>
      <w:marTop w:val="0"/>
      <w:marBottom w:val="0"/>
      <w:divBdr>
        <w:top w:val="none" w:sz="0" w:space="0" w:color="auto"/>
        <w:left w:val="none" w:sz="0" w:space="0" w:color="auto"/>
        <w:bottom w:val="none" w:sz="0" w:space="0" w:color="auto"/>
        <w:right w:val="none" w:sz="0" w:space="0" w:color="auto"/>
      </w:divBdr>
    </w:div>
    <w:div w:id="737166033">
      <w:bodyDiv w:val="1"/>
      <w:marLeft w:val="0"/>
      <w:marRight w:val="0"/>
      <w:marTop w:val="0"/>
      <w:marBottom w:val="0"/>
      <w:divBdr>
        <w:top w:val="none" w:sz="0" w:space="0" w:color="auto"/>
        <w:left w:val="none" w:sz="0" w:space="0" w:color="auto"/>
        <w:bottom w:val="none" w:sz="0" w:space="0" w:color="auto"/>
        <w:right w:val="none" w:sz="0" w:space="0" w:color="auto"/>
      </w:divBdr>
    </w:div>
    <w:div w:id="1423334184">
      <w:bodyDiv w:val="1"/>
      <w:marLeft w:val="0"/>
      <w:marRight w:val="0"/>
      <w:marTop w:val="0"/>
      <w:marBottom w:val="0"/>
      <w:divBdr>
        <w:top w:val="none" w:sz="0" w:space="0" w:color="auto"/>
        <w:left w:val="none" w:sz="0" w:space="0" w:color="auto"/>
        <w:bottom w:val="none" w:sz="0" w:space="0" w:color="auto"/>
        <w:right w:val="none" w:sz="0" w:space="0" w:color="auto"/>
      </w:divBdr>
    </w:div>
    <w:div w:id="2000451895">
      <w:bodyDiv w:val="1"/>
      <w:marLeft w:val="0"/>
      <w:marRight w:val="0"/>
      <w:marTop w:val="0"/>
      <w:marBottom w:val="0"/>
      <w:divBdr>
        <w:top w:val="none" w:sz="0" w:space="0" w:color="auto"/>
        <w:left w:val="none" w:sz="0" w:space="0" w:color="auto"/>
        <w:bottom w:val="none" w:sz="0" w:space="0" w:color="auto"/>
        <w:right w:val="none" w:sz="0" w:space="0" w:color="auto"/>
      </w:divBdr>
    </w:div>
    <w:div w:id="214029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2016-07-20T07:22:00Z</dcterms:created>
  <dcterms:modified xsi:type="dcterms:W3CDTF">2016-07-27T00:44:00Z</dcterms:modified>
</cp:coreProperties>
</file>