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margin" w:tblpY="168"/>
        <w:tblW w:w="10456" w:type="dxa"/>
        <w:tblLook w:val="04A0" w:firstRow="1" w:lastRow="0" w:firstColumn="1" w:lastColumn="0" w:noHBand="0" w:noVBand="1"/>
      </w:tblPr>
      <w:tblGrid>
        <w:gridCol w:w="8755"/>
        <w:gridCol w:w="1701"/>
      </w:tblGrid>
      <w:tr w:rsidR="000A184E" w:rsidTr="000A184E">
        <w:tc>
          <w:tcPr>
            <w:tcW w:w="8755" w:type="dxa"/>
          </w:tcPr>
          <w:p w:rsidR="000A184E" w:rsidRDefault="000A184E" w:rsidP="000A184E">
            <w:pPr>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平成28年</w:t>
            </w:r>
            <w:r w:rsidR="0058571A">
              <w:rPr>
                <w:rFonts w:asciiTheme="minorEastAsia" w:hAnsiTheme="minorEastAsia" w:hint="eastAsia"/>
                <w:b/>
                <w:sz w:val="28"/>
                <w:szCs w:val="28"/>
              </w:rPr>
              <w:t>11</w:t>
            </w:r>
            <w:r>
              <w:rPr>
                <w:rFonts w:asciiTheme="minorEastAsia" w:hAnsiTheme="minorEastAsia" w:hint="eastAsia"/>
                <w:b/>
                <w:sz w:val="28"/>
                <w:szCs w:val="28"/>
              </w:rPr>
              <w:t>月　環境審議会答申</w:t>
            </w:r>
            <w:r w:rsidR="00A60F01">
              <w:rPr>
                <w:rFonts w:asciiTheme="minorEastAsia" w:hAnsiTheme="minorEastAsia" w:hint="eastAsia"/>
                <w:b/>
                <w:sz w:val="28"/>
                <w:szCs w:val="28"/>
              </w:rPr>
              <w:t xml:space="preserve">　抜粋</w:t>
            </w:r>
          </w:p>
        </w:tc>
        <w:tc>
          <w:tcPr>
            <w:tcW w:w="1701" w:type="dxa"/>
          </w:tcPr>
          <w:p w:rsidR="000A184E" w:rsidRDefault="000A184E" w:rsidP="000A184E">
            <w:pPr>
              <w:jc w:val="center"/>
              <w:rPr>
                <w:rFonts w:asciiTheme="minorEastAsia" w:hAnsiTheme="minorEastAsia"/>
                <w:b/>
                <w:sz w:val="28"/>
                <w:szCs w:val="28"/>
              </w:rPr>
            </w:pPr>
            <w:r>
              <w:rPr>
                <w:rFonts w:asciiTheme="minorEastAsia" w:hAnsiTheme="minorEastAsia" w:hint="eastAsia"/>
                <w:b/>
                <w:sz w:val="28"/>
                <w:szCs w:val="28"/>
              </w:rPr>
              <w:t>対応状況</w:t>
            </w:r>
          </w:p>
        </w:tc>
      </w:tr>
      <w:tr w:rsidR="000A184E" w:rsidTr="000A184E">
        <w:tc>
          <w:tcPr>
            <w:tcW w:w="8755" w:type="dxa"/>
          </w:tcPr>
          <w:p w:rsidR="000A184E" w:rsidRPr="000C72CA" w:rsidRDefault="00FD7658" w:rsidP="000A184E">
            <w:pPr>
              <w:jc w:val="left"/>
              <w:rPr>
                <w:rFonts w:asciiTheme="minorEastAsia" w:hAnsiTheme="minorEastAsia"/>
                <w:b/>
                <w:sz w:val="28"/>
                <w:szCs w:val="28"/>
              </w:rPr>
            </w:pPr>
            <w:r>
              <w:rPr>
                <w:rFonts w:asciiTheme="minorEastAsia" w:hAnsiTheme="minorEastAsia" w:hint="eastAsia"/>
                <w:b/>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5667434</wp:posOffset>
                      </wp:positionH>
                      <wp:positionV relativeFrom="paragraph">
                        <wp:posOffset>-1152082</wp:posOffset>
                      </wp:positionV>
                      <wp:extent cx="940435" cy="390525"/>
                      <wp:effectExtent l="0" t="0" r="1206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435" cy="390525"/>
                              </a:xfrm>
                              <a:prstGeom prst="rect">
                                <a:avLst/>
                              </a:prstGeom>
                              <a:solidFill>
                                <a:sysClr val="window" lastClr="FFFFFF"/>
                              </a:solidFill>
                              <a:ln>
                                <a:solidFill>
                                  <a:sysClr val="windowText" lastClr="000000"/>
                                </a:solidFill>
                              </a:ln>
                            </wps:spPr>
                            <wps:txbx>
                              <w:txbxContent>
                                <w:p w:rsidR="00FD7658" w:rsidRPr="00FD7658" w:rsidRDefault="006654C2" w:rsidP="00304C52">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3-2</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446.25pt;margin-top:-90.7pt;width:74.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" fillcolor="window" strokecolor="windowText">
                      <v:path arrowok="t"/>
                      <v:textbox inset="0,0,0,0">
                        <w:txbxContent>
                          <w:p w:rsidR="00FD7658" w:rsidRPr="00FD7658" w:rsidRDefault="006654C2" w:rsidP="00304C52">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3-2</w:t>
                            </w:r>
                          </w:p>
                        </w:txbxContent>
                      </v:textbox>
                    </v:shape>
                  </w:pict>
                </mc:Fallback>
              </mc:AlternateContent>
            </w:r>
            <w:r w:rsidR="000A184E" w:rsidRPr="000C72CA">
              <w:rPr>
                <w:rFonts w:asciiTheme="minorEastAsia" w:hAnsiTheme="minorEastAsia" w:hint="eastAsia"/>
                <w:b/>
                <w:kern w:val="0"/>
                <w:sz w:val="28"/>
                <w:szCs w:val="28"/>
              </w:rPr>
              <w:t>Ⅱ</w:t>
            </w:r>
            <w:r w:rsidR="000A184E">
              <w:rPr>
                <w:rFonts w:asciiTheme="minorEastAsia" w:hAnsiTheme="minorEastAsia" w:hint="eastAsia"/>
                <w:b/>
                <w:kern w:val="0"/>
                <w:sz w:val="28"/>
                <w:szCs w:val="28"/>
              </w:rPr>
              <w:t xml:space="preserve">　</w:t>
            </w:r>
            <w:r w:rsidR="000A184E" w:rsidRPr="000C72CA">
              <w:rPr>
                <w:rFonts w:asciiTheme="minorEastAsia" w:hAnsiTheme="minorEastAsia" w:hint="eastAsia"/>
                <w:b/>
                <w:noProof/>
                <w:sz w:val="28"/>
                <w:szCs w:val="28"/>
              </w:rPr>
              <w:t>今後の建築物の環境配慮のあり方について</w:t>
            </w:r>
          </w:p>
          <w:p w:rsidR="000A184E" w:rsidRPr="00ED632C" w:rsidRDefault="000A184E" w:rsidP="000A184E">
            <w:pPr>
              <w:rPr>
                <w:rFonts w:asciiTheme="minorEastAsia" w:hAnsiTheme="minorEastAsia"/>
                <w:b/>
                <w:sz w:val="24"/>
                <w:szCs w:val="24"/>
              </w:rPr>
            </w:pPr>
            <w:r>
              <w:rPr>
                <w:rFonts w:asciiTheme="minorEastAsia" w:hAnsiTheme="minorEastAsia" w:hint="eastAsia"/>
                <w:b/>
                <w:sz w:val="24"/>
                <w:szCs w:val="24"/>
              </w:rPr>
              <w:t xml:space="preserve">１　</w:t>
            </w:r>
            <w:r w:rsidRPr="00ED632C">
              <w:rPr>
                <w:rFonts w:asciiTheme="minorEastAsia" w:hAnsiTheme="minorEastAsia" w:hint="eastAsia"/>
                <w:b/>
                <w:sz w:val="24"/>
                <w:szCs w:val="24"/>
              </w:rPr>
              <w:t>非住宅建築物における外皮性能基準への適合について</w:t>
            </w: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（１）現状</w:t>
            </w:r>
          </w:p>
          <w:p w:rsidR="000A184E" w:rsidRPr="0075678B"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建築物省エネ法は、</w:t>
            </w:r>
            <w:r w:rsidRPr="0075678B">
              <w:rPr>
                <w:rFonts w:asciiTheme="minorEastAsia" w:hAnsiTheme="minorEastAsia"/>
                <w:szCs w:val="21"/>
              </w:rPr>
              <w:t>2017</w:t>
            </w:r>
            <w:r w:rsidRPr="0075678B">
              <w:rPr>
                <w:rFonts w:asciiTheme="minorEastAsia" w:hAnsiTheme="minorEastAsia" w:hint="eastAsia"/>
                <w:szCs w:val="21"/>
              </w:rPr>
              <w:t>年度より床面積の合計が2,000㎡以上の非住宅建築物を新築・増改築しようとするときに、建築基準法と連動して、断熱性能等の外皮性能、建築設備の効率性及び再生可能エネルギーの利用を踏まえて総合化した一次エネルギー消費量に関する基準に</w:t>
            </w:r>
            <w:r>
              <w:rPr>
                <w:rFonts w:asciiTheme="minorEastAsia" w:hAnsiTheme="minorEastAsia" w:hint="eastAsia"/>
                <w:szCs w:val="21"/>
              </w:rPr>
              <w:t>のみ</w:t>
            </w:r>
            <w:r w:rsidRPr="0075678B">
              <w:rPr>
                <w:rFonts w:asciiTheme="minorEastAsia" w:hAnsiTheme="minorEastAsia" w:hint="eastAsia"/>
                <w:szCs w:val="21"/>
              </w:rPr>
              <w:t>適合することを義務化する予定としている。</w:t>
            </w:r>
          </w:p>
          <w:p w:rsidR="000A184E" w:rsidRPr="000C72CA" w:rsidRDefault="000A184E" w:rsidP="000A184E">
            <w:pPr>
              <w:ind w:leftChars="135" w:left="283" w:firstLineChars="100" w:firstLine="210"/>
              <w:rPr>
                <w:rFonts w:asciiTheme="minorEastAsia" w:hAnsiTheme="minorEastAsia"/>
                <w:szCs w:val="21"/>
              </w:rPr>
            </w:pPr>
            <w:r w:rsidRPr="0075678B">
              <w:rPr>
                <w:rFonts w:asciiTheme="minorEastAsia" w:hAnsiTheme="minorEastAsia" w:hint="eastAsia"/>
                <w:szCs w:val="21"/>
              </w:rPr>
              <w:t>「大阪府温暖化の防止等に関する条例」（以下「条例」という。）では、床面積の合計が</w:t>
            </w:r>
            <w:r w:rsidRPr="0075678B">
              <w:rPr>
                <w:rFonts w:asciiTheme="minorEastAsia" w:hAnsiTheme="minorEastAsia"/>
                <w:szCs w:val="21"/>
              </w:rPr>
              <w:t>2,000</w:t>
            </w:r>
            <w:r w:rsidRPr="0075678B">
              <w:rPr>
                <w:rFonts w:asciiTheme="minorEastAsia" w:hAnsiTheme="minorEastAsia" w:hint="eastAsia"/>
                <w:szCs w:val="21"/>
              </w:rPr>
              <w:t>㎡以上の新築・増改築</w:t>
            </w:r>
            <w:r>
              <w:rPr>
                <w:rFonts w:asciiTheme="minorEastAsia" w:hAnsiTheme="minorEastAsia" w:hint="eastAsia"/>
                <w:szCs w:val="21"/>
              </w:rPr>
              <w:t>をしようとするとき</w:t>
            </w:r>
            <w:r w:rsidRPr="0075678B">
              <w:rPr>
                <w:rFonts w:asciiTheme="minorEastAsia" w:hAnsiTheme="minorEastAsia" w:hint="eastAsia"/>
                <w:szCs w:val="21"/>
              </w:rPr>
              <w:t>に、建築物環境計画書の届出を義務付けている。また、</w:t>
            </w:r>
            <w:r w:rsidRPr="0075678B">
              <w:rPr>
                <w:rFonts w:asciiTheme="minorEastAsia" w:hAnsiTheme="minorEastAsia"/>
                <w:szCs w:val="21"/>
              </w:rPr>
              <w:t>2015</w:t>
            </w:r>
            <w:r w:rsidRPr="0075678B">
              <w:rPr>
                <w:rFonts w:asciiTheme="minorEastAsia" w:hAnsiTheme="minorEastAsia" w:hint="eastAsia"/>
                <w:szCs w:val="21"/>
              </w:rPr>
              <w:t>年度から国に先駆けて床面積の合計が</w:t>
            </w:r>
            <w:r w:rsidRPr="0075678B">
              <w:rPr>
                <w:rFonts w:asciiTheme="minorEastAsia" w:hAnsiTheme="minorEastAsia"/>
                <w:szCs w:val="21"/>
              </w:rPr>
              <w:t>10,000</w:t>
            </w:r>
            <w:r w:rsidRPr="0075678B">
              <w:rPr>
                <w:rFonts w:asciiTheme="minorEastAsia" w:hAnsiTheme="minorEastAsia" w:hint="eastAsia"/>
                <w:szCs w:val="21"/>
              </w:rPr>
              <w:t>㎡以上の非住宅建築物について、一次エネルギー消費量の基準に加え、建築物の外壁、窓等の断熱化等の外皮基準の双方を満足することとしている。</w:t>
            </w:r>
          </w:p>
          <w:p w:rsidR="000A184E" w:rsidRPr="008A2EE0" w:rsidRDefault="000A184E" w:rsidP="000A184E">
            <w:pPr>
              <w:ind w:leftChars="135" w:left="283" w:firstLineChars="100" w:firstLine="210"/>
              <w:rPr>
                <w:rFonts w:asciiTheme="minorEastAsia" w:hAnsiTheme="minorEastAsia"/>
                <w:szCs w:val="21"/>
              </w:rPr>
            </w:pP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（２）課題</w:t>
            </w:r>
          </w:p>
          <w:p w:rsidR="000A184E"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建築物省エネ法においては、非住宅建築物は</w:t>
            </w:r>
            <w:r w:rsidRPr="0075678B">
              <w:rPr>
                <w:rFonts w:asciiTheme="minorEastAsia" w:hAnsiTheme="minorEastAsia" w:hint="eastAsia"/>
                <w:szCs w:val="21"/>
              </w:rPr>
              <w:t>一次エ</w:t>
            </w:r>
            <w:r w:rsidRPr="000C72CA">
              <w:rPr>
                <w:rFonts w:asciiTheme="minorEastAsia" w:hAnsiTheme="minorEastAsia" w:hint="eastAsia"/>
                <w:szCs w:val="21"/>
              </w:rPr>
              <w:t>ネルギー消費量の基準適合が条件とされているが、外皮性能については適合条件とはされていないため、府条例と異なっている。</w:t>
            </w:r>
          </w:p>
          <w:p w:rsidR="000A184E" w:rsidRPr="00A13FCA" w:rsidRDefault="000A184E" w:rsidP="000A184E">
            <w:pPr>
              <w:ind w:leftChars="135" w:left="283" w:firstLineChars="100" w:firstLine="210"/>
              <w:rPr>
                <w:rFonts w:asciiTheme="minorEastAsia" w:hAnsiTheme="minorEastAsia"/>
                <w:szCs w:val="21"/>
                <w:shd w:val="pct15" w:color="auto" w:fill="FFFFFF"/>
              </w:rPr>
            </w:pPr>
            <w:r w:rsidRPr="00F30FFF">
              <w:rPr>
                <w:rFonts w:asciiTheme="minorEastAsia" w:hAnsiTheme="minorEastAsia" w:hint="eastAsia"/>
                <w:szCs w:val="21"/>
              </w:rPr>
              <w:t>また、建築物省エネ法の義務化の対象は、既存建築物も含めた建築物全体であるため、増改築部分の床面積の増改築後の建築物の延べ面積の割合により義務化の除外規定を設けている。一方、条例の届出対象は、新築・増改築部分のみとしているため、この建築物省エネ法の除外規定を適用することは難しい。</w:t>
            </w:r>
          </w:p>
          <w:p w:rsidR="000A184E" w:rsidRPr="00F30FFF" w:rsidRDefault="000A184E" w:rsidP="000A184E">
            <w:pPr>
              <w:ind w:leftChars="135" w:left="283" w:firstLineChars="100" w:firstLine="210"/>
              <w:rPr>
                <w:rFonts w:asciiTheme="minorEastAsia" w:hAnsiTheme="minorEastAsia"/>
                <w:szCs w:val="21"/>
              </w:rPr>
            </w:pP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（３）対応の方向性</w:t>
            </w:r>
          </w:p>
          <w:p w:rsidR="000A184E" w:rsidRDefault="000A184E" w:rsidP="000A184E">
            <w:pPr>
              <w:ind w:leftChars="135" w:left="283" w:firstLineChars="100" w:firstLine="210"/>
              <w:rPr>
                <w:rFonts w:asciiTheme="minorEastAsia" w:hAnsiTheme="minorEastAsia"/>
                <w:szCs w:val="21"/>
              </w:rPr>
            </w:pPr>
            <w:r w:rsidRPr="00BD1F9B">
              <w:rPr>
                <w:rFonts w:asciiTheme="minorEastAsia" w:hAnsiTheme="minorEastAsia" w:hint="eastAsia"/>
                <w:szCs w:val="21"/>
              </w:rPr>
              <w:t>建築物の外皮</w:t>
            </w:r>
            <w:r w:rsidRPr="0075678B">
              <w:rPr>
                <w:rFonts w:asciiTheme="minorEastAsia" w:hAnsiTheme="minorEastAsia" w:hint="eastAsia"/>
                <w:szCs w:val="21"/>
              </w:rPr>
              <w:t>性能の向上は新築・増改築時には比較的対</w:t>
            </w:r>
            <w:r w:rsidRPr="00BD1F9B">
              <w:rPr>
                <w:rFonts w:asciiTheme="minorEastAsia" w:hAnsiTheme="minorEastAsia" w:hint="eastAsia"/>
                <w:szCs w:val="21"/>
              </w:rPr>
              <w:t>応が容易であるが、建築後は対応が困難</w:t>
            </w:r>
            <w:r w:rsidRPr="0075678B">
              <w:rPr>
                <w:rFonts w:asciiTheme="minorEastAsia" w:hAnsiTheme="minorEastAsia" w:hint="eastAsia"/>
                <w:szCs w:val="21"/>
              </w:rPr>
              <w:t>であるため、外皮性能を新築・増改築時に向上させておくことは重要である。また、外皮性能の向上は、</w:t>
            </w:r>
            <w:r>
              <w:rPr>
                <w:rFonts w:asciiTheme="minorEastAsia" w:hAnsiTheme="minorEastAsia" w:hint="eastAsia"/>
                <w:szCs w:val="21"/>
              </w:rPr>
              <w:t>長期的なランニングコストの削減や</w:t>
            </w:r>
            <w:r w:rsidRPr="0075678B">
              <w:rPr>
                <w:rFonts w:asciiTheme="minorEastAsia" w:hAnsiTheme="minorEastAsia" w:hint="eastAsia"/>
                <w:szCs w:val="21"/>
              </w:rPr>
              <w:t>温室効果ガスの排出抑制に加え、執務環境の向上に寄与</w:t>
            </w:r>
            <w:r>
              <w:rPr>
                <w:rFonts w:asciiTheme="minorEastAsia" w:hAnsiTheme="minorEastAsia" w:hint="eastAsia"/>
                <w:szCs w:val="21"/>
              </w:rPr>
              <w:t>し</w:t>
            </w:r>
            <w:r w:rsidRPr="0075678B">
              <w:rPr>
                <w:rFonts w:asciiTheme="minorEastAsia" w:hAnsiTheme="minorEastAsia" w:hint="eastAsia"/>
                <w:szCs w:val="21"/>
              </w:rPr>
              <w:t>、</w:t>
            </w:r>
            <w:r w:rsidRPr="0075678B">
              <w:rPr>
                <w:rFonts w:hint="eastAsia"/>
              </w:rPr>
              <w:t>電気</w:t>
            </w:r>
            <w:r w:rsidRPr="004A0D74">
              <w:rPr>
                <w:rFonts w:hint="eastAsia"/>
              </w:rPr>
              <w:t>やガス等のインフラが途絶するような</w:t>
            </w:r>
            <w:r w:rsidRPr="00BD1F9B">
              <w:rPr>
                <w:rFonts w:asciiTheme="minorEastAsia" w:hAnsiTheme="minorEastAsia" w:hint="eastAsia"/>
                <w:szCs w:val="21"/>
              </w:rPr>
              <w:t>災害時</w:t>
            </w:r>
            <w:r w:rsidRPr="0075678B">
              <w:rPr>
                <w:rFonts w:asciiTheme="minorEastAsia" w:hAnsiTheme="minorEastAsia" w:hint="eastAsia"/>
                <w:szCs w:val="21"/>
              </w:rPr>
              <w:t>にも</w:t>
            </w:r>
            <w:r w:rsidRPr="00F11B88">
              <w:rPr>
                <w:rFonts w:asciiTheme="minorEastAsia" w:hAnsiTheme="minorEastAsia" w:hint="eastAsia"/>
                <w:szCs w:val="21"/>
              </w:rPr>
              <w:t>暖房時の室温低下の抑制など室内環境維持への効果を期待できる。条例は届出対象が新築・増改築の部分であることを考慮すると、新築・増改築する部分が2,000㎡以上の場合、その部分に適用すべきと考え</w:t>
            </w:r>
            <w:r w:rsidRPr="00F30FFF">
              <w:rPr>
                <w:rFonts w:asciiTheme="minorEastAsia" w:hAnsiTheme="minorEastAsia" w:hint="eastAsia"/>
                <w:szCs w:val="21"/>
              </w:rPr>
              <w:t>る。</w:t>
            </w:r>
          </w:p>
          <w:p w:rsidR="000A184E" w:rsidRDefault="000A184E" w:rsidP="000A184E">
            <w:pPr>
              <w:ind w:leftChars="135" w:left="283" w:firstLineChars="100" w:firstLine="210"/>
              <w:rPr>
                <w:rFonts w:asciiTheme="minorEastAsia" w:hAnsiTheme="minorEastAsia"/>
                <w:szCs w:val="21"/>
              </w:rPr>
            </w:pPr>
            <w:r>
              <w:rPr>
                <w:rFonts w:asciiTheme="minorEastAsia" w:hAnsiTheme="minorEastAsia" w:hint="eastAsia"/>
                <w:szCs w:val="21"/>
              </w:rPr>
              <w:t>よって、</w:t>
            </w:r>
            <w:r w:rsidRPr="00537F39">
              <w:rPr>
                <w:rFonts w:asciiTheme="minorEastAsia" w:hAnsiTheme="minorEastAsia" w:hint="eastAsia"/>
                <w:b/>
                <w:szCs w:val="21"/>
                <w:u w:val="single"/>
              </w:rPr>
              <w:t>これまで条例により</w:t>
            </w:r>
            <w:r>
              <w:rPr>
                <w:rFonts w:asciiTheme="minorEastAsia" w:hAnsiTheme="minorEastAsia" w:hint="eastAsia"/>
                <w:b/>
                <w:szCs w:val="21"/>
                <w:u w:val="single"/>
              </w:rPr>
              <w:t>床面積の合計が</w:t>
            </w:r>
            <w:r w:rsidRPr="00537F39">
              <w:rPr>
                <w:rFonts w:asciiTheme="minorEastAsia" w:hAnsiTheme="minorEastAsia" w:hint="eastAsia"/>
                <w:b/>
                <w:szCs w:val="21"/>
                <w:u w:val="single"/>
              </w:rPr>
              <w:t>10,000㎡以上の非住宅建築物に外皮性能と</w:t>
            </w:r>
            <w:r>
              <w:rPr>
                <w:rFonts w:asciiTheme="minorEastAsia" w:hAnsiTheme="minorEastAsia" w:hint="eastAsia"/>
                <w:b/>
                <w:szCs w:val="21"/>
                <w:u w:val="single"/>
              </w:rPr>
              <w:t>一</w:t>
            </w:r>
            <w:r w:rsidRPr="00537F39">
              <w:rPr>
                <w:rFonts w:asciiTheme="minorEastAsia" w:hAnsiTheme="minorEastAsia" w:hint="eastAsia"/>
                <w:b/>
                <w:szCs w:val="21"/>
                <w:u w:val="single"/>
              </w:rPr>
              <w:t>次エネルギー消費量の基準適合を義務化していたものを、建築物省エネ法の適合基準である2,000㎡以上（予定）</w:t>
            </w:r>
            <w:r>
              <w:rPr>
                <w:rFonts w:asciiTheme="minorEastAsia" w:hAnsiTheme="minorEastAsia" w:hint="eastAsia"/>
                <w:b/>
                <w:szCs w:val="21"/>
                <w:u w:val="single"/>
              </w:rPr>
              <w:t>の非住宅建築物に</w:t>
            </w:r>
            <w:r w:rsidRPr="00537F39">
              <w:rPr>
                <w:rFonts w:asciiTheme="minorEastAsia" w:hAnsiTheme="minorEastAsia" w:hint="eastAsia"/>
                <w:b/>
                <w:szCs w:val="21"/>
                <w:u w:val="single"/>
              </w:rPr>
              <w:t>適用面積を</w:t>
            </w:r>
            <w:r>
              <w:rPr>
                <w:rFonts w:asciiTheme="minorEastAsia" w:hAnsiTheme="minorEastAsia" w:hint="eastAsia"/>
                <w:b/>
                <w:szCs w:val="21"/>
                <w:u w:val="single"/>
              </w:rPr>
              <w:t>拡大することが適当である</w:t>
            </w:r>
            <w:r w:rsidRPr="00537F39">
              <w:rPr>
                <w:rFonts w:asciiTheme="minorEastAsia" w:hAnsiTheme="minorEastAsia" w:hint="eastAsia"/>
                <w:b/>
                <w:szCs w:val="21"/>
                <w:u w:val="single"/>
              </w:rPr>
              <w:t>。</w:t>
            </w:r>
          </w:p>
          <w:p w:rsidR="000A184E" w:rsidRDefault="000A184E" w:rsidP="000A184E">
            <w:pPr>
              <w:ind w:leftChars="135" w:left="283" w:firstLineChars="100" w:firstLine="210"/>
              <w:rPr>
                <w:rFonts w:asciiTheme="minorEastAsia" w:hAnsiTheme="minorEastAsia"/>
                <w:szCs w:val="21"/>
              </w:rPr>
            </w:pPr>
            <w:r>
              <w:rPr>
                <w:rFonts w:asciiTheme="minorEastAsia" w:hAnsiTheme="minorEastAsia" w:hint="eastAsia"/>
                <w:szCs w:val="21"/>
              </w:rPr>
              <w:t>ただし、以下のものは、その適用を除外することが望ましい。</w:t>
            </w:r>
          </w:p>
          <w:p w:rsidR="000A184E" w:rsidRDefault="000A184E" w:rsidP="000A184E">
            <w:pPr>
              <w:ind w:leftChars="135" w:left="283" w:firstLineChars="100" w:firstLine="210"/>
              <w:rPr>
                <w:rFonts w:asciiTheme="minorEastAsia" w:hAnsiTheme="minorEastAsia"/>
                <w:szCs w:val="21"/>
              </w:rPr>
            </w:pPr>
          </w:p>
          <w:p w:rsidR="000A184E" w:rsidRPr="004334CD" w:rsidRDefault="000A184E" w:rsidP="000A184E">
            <w:pPr>
              <w:ind w:leftChars="235" w:left="1758" w:hangingChars="600" w:hanging="1265"/>
              <w:rPr>
                <w:rFonts w:asciiTheme="minorEastAsia" w:hAnsiTheme="minorEastAsia"/>
                <w:b/>
                <w:szCs w:val="21"/>
                <w:u w:val="single"/>
              </w:rPr>
            </w:pPr>
            <w:r w:rsidRPr="004334CD">
              <w:rPr>
                <w:rFonts w:asciiTheme="minorEastAsia" w:hAnsiTheme="minorEastAsia" w:hint="eastAsia"/>
                <w:b/>
                <w:szCs w:val="21"/>
                <w:u w:val="single"/>
              </w:rPr>
              <w:lastRenderedPageBreak/>
              <w:t>建築物省エネ法第18条で規制的措置の適用除外とされているもの</w:t>
            </w:r>
          </w:p>
          <w:p w:rsidR="000A184E" w:rsidRDefault="000A184E" w:rsidP="000A184E">
            <w:pPr>
              <w:ind w:leftChars="335" w:left="850" w:hangingChars="70" w:hanging="147"/>
              <w:rPr>
                <w:rFonts w:asciiTheme="minorEastAsia" w:hAnsiTheme="minorEastAsia"/>
                <w:szCs w:val="21"/>
              </w:rPr>
            </w:pPr>
            <w:r>
              <w:rPr>
                <w:rFonts w:asciiTheme="minorEastAsia" w:hAnsiTheme="minorEastAsia" w:hint="eastAsia"/>
                <w:szCs w:val="21"/>
              </w:rPr>
              <w:t>・</w:t>
            </w:r>
            <w:r w:rsidRPr="00772592">
              <w:rPr>
                <w:rFonts w:asciiTheme="minorEastAsia" w:hAnsiTheme="minorEastAsia" w:hint="eastAsia"/>
                <w:szCs w:val="21"/>
              </w:rPr>
              <w:t>居室を有しないこと又は高い開放性を有することにより空気調和設備を設ける必要がないものとして政令に定める用途に供する建築物</w:t>
            </w:r>
            <w:r w:rsidRPr="00F30FFF">
              <w:rPr>
                <w:rFonts w:asciiTheme="minorEastAsia" w:hAnsiTheme="minorEastAsia" w:hint="eastAsia"/>
                <w:szCs w:val="21"/>
              </w:rPr>
              <w:t>（省エネ基準のみ適用除外）</w:t>
            </w:r>
          </w:p>
          <w:p w:rsidR="000A184E" w:rsidRDefault="000A184E" w:rsidP="000A184E">
            <w:pPr>
              <w:ind w:leftChars="335" w:left="850" w:hangingChars="70" w:hanging="147"/>
              <w:rPr>
                <w:rFonts w:asciiTheme="minorEastAsia" w:hAnsiTheme="minorEastAsia"/>
                <w:b/>
                <w:sz w:val="24"/>
                <w:szCs w:val="24"/>
              </w:rPr>
            </w:pPr>
            <w:r>
              <w:rPr>
                <w:rFonts w:asciiTheme="minorEastAsia" w:hAnsiTheme="minorEastAsia" w:hint="eastAsia"/>
                <w:szCs w:val="21"/>
              </w:rPr>
              <w:t>・</w:t>
            </w:r>
            <w:r w:rsidRPr="00772592">
              <w:rPr>
                <w:rFonts w:asciiTheme="minorEastAsia" w:hAnsiTheme="minorEastAsia" w:hint="eastAsia"/>
                <w:szCs w:val="21"/>
              </w:rPr>
              <w:t>法令</w:t>
            </w:r>
            <w:r>
              <w:rPr>
                <w:rFonts w:asciiTheme="minorEastAsia" w:hAnsiTheme="minorEastAsia" w:hint="eastAsia"/>
                <w:szCs w:val="21"/>
              </w:rPr>
              <w:t>若しく</w:t>
            </w:r>
            <w:r w:rsidRPr="00772592">
              <w:rPr>
                <w:rFonts w:asciiTheme="minorEastAsia" w:hAnsiTheme="minorEastAsia" w:hint="eastAsia"/>
                <w:szCs w:val="21"/>
              </w:rPr>
              <w:t>は条例の定める現状変更の規制及び保存のための措置がとられていることにより建築物エネルギー消費性能基準に適合させることが困難なものとして政令で定める建築物</w:t>
            </w:r>
            <w:r>
              <w:rPr>
                <w:rFonts w:asciiTheme="minorEastAsia" w:hAnsiTheme="minorEastAsia" w:hint="eastAsia"/>
                <w:szCs w:val="21"/>
              </w:rPr>
              <w:t>又は</w:t>
            </w:r>
            <w:r w:rsidRPr="00772592">
              <w:rPr>
                <w:rFonts w:asciiTheme="minorEastAsia" w:hAnsiTheme="minorEastAsia" w:hint="eastAsia"/>
                <w:szCs w:val="21"/>
              </w:rPr>
              <w:t>仮設の建築物であって政令で定めるもの</w:t>
            </w:r>
            <w:r w:rsidRPr="00F30FFF">
              <w:rPr>
                <w:rFonts w:asciiTheme="minorEastAsia" w:hAnsiTheme="minorEastAsia" w:hint="eastAsia"/>
                <w:szCs w:val="21"/>
              </w:rPr>
              <w:t>（条例の適用除外）</w:t>
            </w:r>
            <w:r>
              <w:rPr>
                <w:rFonts w:asciiTheme="minorEastAsia" w:hAnsiTheme="minorEastAsia"/>
                <w:b/>
                <w:sz w:val="24"/>
                <w:szCs w:val="24"/>
              </w:rPr>
              <w:br w:type="page"/>
            </w:r>
          </w:p>
          <w:p w:rsidR="000A184E" w:rsidRPr="00ED632C" w:rsidRDefault="000A184E" w:rsidP="000A184E">
            <w:pPr>
              <w:widowControl/>
              <w:jc w:val="left"/>
              <w:rPr>
                <w:rFonts w:asciiTheme="minorEastAsia" w:hAnsiTheme="minorEastAsia"/>
                <w:b/>
                <w:sz w:val="24"/>
                <w:szCs w:val="24"/>
              </w:rPr>
            </w:pPr>
            <w:r>
              <w:rPr>
                <w:rFonts w:asciiTheme="minorEastAsia" w:hAnsiTheme="minorEastAsia" w:hint="eastAsia"/>
                <w:b/>
                <w:sz w:val="24"/>
                <w:szCs w:val="24"/>
              </w:rPr>
              <w:t xml:space="preserve">２　</w:t>
            </w:r>
            <w:r w:rsidRPr="00ED632C">
              <w:rPr>
                <w:rFonts w:asciiTheme="minorEastAsia" w:hAnsiTheme="minorEastAsia" w:hint="eastAsia"/>
                <w:b/>
                <w:sz w:val="24"/>
                <w:szCs w:val="24"/>
              </w:rPr>
              <w:t>住宅における</w:t>
            </w:r>
            <w:r>
              <w:rPr>
                <w:rFonts w:asciiTheme="minorEastAsia" w:hAnsiTheme="minorEastAsia" w:hint="eastAsia"/>
                <w:b/>
                <w:sz w:val="24"/>
                <w:szCs w:val="24"/>
              </w:rPr>
              <w:t>省エネ</w:t>
            </w:r>
            <w:r w:rsidRPr="00ED632C">
              <w:rPr>
                <w:rFonts w:asciiTheme="minorEastAsia" w:hAnsiTheme="minorEastAsia" w:hint="eastAsia"/>
                <w:b/>
                <w:sz w:val="24"/>
                <w:szCs w:val="24"/>
              </w:rPr>
              <w:t>基準への適合について</w:t>
            </w: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（１）現状</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大阪府内の住宅の省エネ基準適合率は、</w:t>
            </w:r>
            <w:r>
              <w:rPr>
                <w:rFonts w:asciiTheme="minorEastAsia" w:hAnsiTheme="minorEastAsia" w:hint="eastAsia"/>
                <w:szCs w:val="21"/>
              </w:rPr>
              <w:t>第一種特定建築物（</w:t>
            </w:r>
            <w:r w:rsidRPr="000C72CA">
              <w:rPr>
                <w:rFonts w:asciiTheme="minorEastAsia" w:hAnsiTheme="minorEastAsia"/>
                <w:szCs w:val="21"/>
              </w:rPr>
              <w:t>2,000</w:t>
            </w:r>
            <w:r w:rsidRPr="000C72CA">
              <w:rPr>
                <w:rFonts w:asciiTheme="minorEastAsia" w:hAnsiTheme="minorEastAsia" w:hint="eastAsia"/>
                <w:szCs w:val="21"/>
              </w:rPr>
              <w:t>㎡以上</w:t>
            </w:r>
            <w:r>
              <w:rPr>
                <w:rFonts w:asciiTheme="minorEastAsia" w:hAnsiTheme="minorEastAsia" w:hint="eastAsia"/>
                <w:szCs w:val="21"/>
              </w:rPr>
              <w:t>）</w:t>
            </w:r>
            <w:r w:rsidRPr="000C72CA">
              <w:rPr>
                <w:rFonts w:asciiTheme="minorEastAsia" w:hAnsiTheme="minorEastAsia" w:hint="eastAsia"/>
                <w:szCs w:val="21"/>
              </w:rPr>
              <w:t>については、</w:t>
            </w:r>
            <w:r w:rsidRPr="000C72CA">
              <w:rPr>
                <w:rFonts w:asciiTheme="minorEastAsia" w:hAnsiTheme="minorEastAsia"/>
                <w:szCs w:val="21"/>
              </w:rPr>
              <w:t>2015</w:t>
            </w:r>
            <w:r w:rsidRPr="000C72CA">
              <w:rPr>
                <w:rFonts w:asciiTheme="minorEastAsia" w:hAnsiTheme="minorEastAsia" w:hint="eastAsia"/>
                <w:szCs w:val="21"/>
              </w:rPr>
              <w:t>年度　非住宅</w:t>
            </w:r>
            <w:r w:rsidRPr="000C72CA">
              <w:rPr>
                <w:rFonts w:asciiTheme="minorEastAsia" w:hAnsiTheme="minorEastAsia"/>
                <w:szCs w:val="21"/>
              </w:rPr>
              <w:t>94</w:t>
            </w:r>
            <w:r w:rsidRPr="000C72CA">
              <w:rPr>
                <w:rFonts w:asciiTheme="minorEastAsia" w:hAnsiTheme="minorEastAsia" w:hint="eastAsia"/>
                <w:szCs w:val="21"/>
              </w:rPr>
              <w:t>％に対し住宅は、</w:t>
            </w:r>
            <w:r w:rsidRPr="000C72CA">
              <w:rPr>
                <w:rFonts w:asciiTheme="minorEastAsia" w:hAnsiTheme="minorEastAsia"/>
                <w:szCs w:val="21"/>
              </w:rPr>
              <w:t>13</w:t>
            </w:r>
            <w:r w:rsidRPr="000C72CA">
              <w:rPr>
                <w:rFonts w:asciiTheme="minorEastAsia" w:hAnsiTheme="minorEastAsia" w:hint="eastAsia"/>
                <w:szCs w:val="21"/>
              </w:rPr>
              <w:t>％と省エネ基準適合率が低い状況である。</w:t>
            </w:r>
          </w:p>
          <w:p w:rsidR="000A184E" w:rsidRPr="000C72CA" w:rsidRDefault="000A184E" w:rsidP="000A184E">
            <w:pPr>
              <w:ind w:leftChars="135" w:left="283" w:firstLineChars="100" w:firstLine="210"/>
              <w:rPr>
                <w:rFonts w:asciiTheme="minorEastAsia" w:hAnsiTheme="minorEastAsia"/>
                <w:szCs w:val="21"/>
              </w:rPr>
            </w:pP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（２）課題</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条例で</w:t>
            </w:r>
            <w:r w:rsidRPr="000C72CA">
              <w:rPr>
                <w:rFonts w:asciiTheme="minorEastAsia" w:hAnsiTheme="minorEastAsia"/>
                <w:szCs w:val="21"/>
              </w:rPr>
              <w:t>10,000</w:t>
            </w:r>
            <w:r w:rsidRPr="000C72CA">
              <w:rPr>
                <w:rFonts w:asciiTheme="minorEastAsia" w:hAnsiTheme="minorEastAsia" w:hint="eastAsia"/>
                <w:szCs w:val="21"/>
              </w:rPr>
              <w:t>㎡以上の非住宅</w:t>
            </w:r>
            <w:r>
              <w:rPr>
                <w:rFonts w:asciiTheme="minorEastAsia" w:hAnsiTheme="minorEastAsia" w:hint="eastAsia"/>
                <w:szCs w:val="21"/>
              </w:rPr>
              <w:t>建築物</w:t>
            </w:r>
            <w:r w:rsidRPr="000C72CA">
              <w:rPr>
                <w:rFonts w:asciiTheme="minorEastAsia" w:hAnsiTheme="minorEastAsia" w:hint="eastAsia"/>
                <w:szCs w:val="21"/>
              </w:rPr>
              <w:t>には、省エネ基準の適合を義務化しているが、住宅については、適用していない。</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国は、</w:t>
            </w:r>
            <w:r w:rsidRPr="000C72CA">
              <w:rPr>
                <w:rFonts w:asciiTheme="minorEastAsia" w:hAnsiTheme="minorEastAsia"/>
                <w:szCs w:val="21"/>
              </w:rPr>
              <w:t>2020</w:t>
            </w:r>
            <w:r w:rsidRPr="000C72CA">
              <w:rPr>
                <w:rFonts w:asciiTheme="minorEastAsia" w:hAnsiTheme="minorEastAsia" w:hint="eastAsia"/>
                <w:szCs w:val="21"/>
              </w:rPr>
              <w:t>年度には、住宅を含めてすべての建築物について適合義務化を予定している。建築物省エネ法では、住宅は現時点においては、外皮基準も必要とされている。</w:t>
            </w:r>
          </w:p>
          <w:p w:rsidR="000A184E" w:rsidRPr="000C72CA" w:rsidRDefault="000A184E" w:rsidP="000A184E">
            <w:pPr>
              <w:ind w:leftChars="135" w:left="283" w:firstLine="1"/>
              <w:rPr>
                <w:rFonts w:asciiTheme="minorEastAsia" w:hAnsiTheme="minorEastAsia"/>
                <w:szCs w:val="21"/>
              </w:rPr>
            </w:pP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 xml:space="preserve">（３）対応の方向性　</w:t>
            </w:r>
          </w:p>
          <w:p w:rsidR="000A184E" w:rsidRDefault="000A184E" w:rsidP="000A184E">
            <w:pPr>
              <w:ind w:leftChars="135" w:left="283" w:firstLineChars="100" w:firstLine="210"/>
              <w:rPr>
                <w:rFonts w:asciiTheme="minorEastAsia" w:hAnsiTheme="minorEastAsia"/>
                <w:szCs w:val="21"/>
              </w:rPr>
            </w:pPr>
            <w:r>
              <w:rPr>
                <w:rFonts w:asciiTheme="minorEastAsia" w:hAnsiTheme="minorEastAsia" w:hint="eastAsia"/>
                <w:szCs w:val="21"/>
              </w:rPr>
              <w:t>住宅について</w:t>
            </w:r>
            <w:r w:rsidRPr="00E370E5">
              <w:rPr>
                <w:rFonts w:asciiTheme="minorEastAsia" w:hAnsiTheme="minorEastAsia" w:hint="eastAsia"/>
                <w:szCs w:val="21"/>
              </w:rPr>
              <w:t>断熱化による外皮性能の向上は、</w:t>
            </w:r>
            <w:r w:rsidRPr="00F11B88">
              <w:rPr>
                <w:rFonts w:asciiTheme="minorEastAsia" w:hAnsiTheme="minorEastAsia" w:hint="eastAsia"/>
                <w:szCs w:val="21"/>
              </w:rPr>
              <w:t>最初にコストはかかるものの、長期的なランニングコストの削減や温室効果ガスの排出抑制に加え、長</w:t>
            </w:r>
            <w:r w:rsidRPr="00E370E5">
              <w:rPr>
                <w:rFonts w:asciiTheme="minorEastAsia" w:hAnsiTheme="minorEastAsia" w:hint="eastAsia"/>
                <w:szCs w:val="21"/>
              </w:rPr>
              <w:t>く快適に住むことができ、ヒートショックの予防</w:t>
            </w:r>
            <w:r>
              <w:rPr>
                <w:rFonts w:asciiTheme="minorEastAsia" w:hAnsiTheme="minorEastAsia" w:hint="eastAsia"/>
                <w:szCs w:val="21"/>
              </w:rPr>
              <w:t>等</w:t>
            </w:r>
            <w:r w:rsidRPr="00F30FFF">
              <w:rPr>
                <w:rFonts w:asciiTheme="minorEastAsia" w:hAnsiTheme="minorEastAsia" w:hint="eastAsia"/>
                <w:szCs w:val="21"/>
              </w:rPr>
              <w:t>健康の維持や増進にも寄与すると考えられる。暖かい住まいが住宅内での循環器疾病の予防に繋がる。</w:t>
            </w:r>
          </w:p>
          <w:p w:rsidR="000A184E" w:rsidRPr="000C72CA" w:rsidRDefault="000A184E" w:rsidP="000A184E">
            <w:pPr>
              <w:ind w:leftChars="135" w:left="283" w:firstLineChars="100" w:firstLine="210"/>
              <w:rPr>
                <w:rFonts w:asciiTheme="minorEastAsia" w:hAnsiTheme="minorEastAsia"/>
                <w:szCs w:val="21"/>
              </w:rPr>
            </w:pPr>
            <w:r w:rsidRPr="00E370E5">
              <w:rPr>
                <w:rFonts w:asciiTheme="minorEastAsia" w:hAnsiTheme="minorEastAsia" w:hint="eastAsia"/>
                <w:szCs w:val="21"/>
              </w:rPr>
              <w:t>よって、</w:t>
            </w:r>
            <w:r>
              <w:rPr>
                <w:rFonts w:asciiTheme="minorEastAsia" w:hAnsiTheme="minorEastAsia" w:hint="eastAsia"/>
                <w:szCs w:val="21"/>
              </w:rPr>
              <w:t>国に先駆け、</w:t>
            </w:r>
            <w:r w:rsidRPr="000E45C4">
              <w:rPr>
                <w:rFonts w:hint="eastAsia"/>
              </w:rPr>
              <w:t>特に</w:t>
            </w:r>
            <w:r w:rsidRPr="000C72CA">
              <w:rPr>
                <w:rFonts w:asciiTheme="minorEastAsia" w:hAnsiTheme="minorEastAsia" w:hint="eastAsia"/>
                <w:szCs w:val="21"/>
              </w:rPr>
              <w:t>環境負荷が大きいと考えられる</w:t>
            </w:r>
            <w:r>
              <w:rPr>
                <w:rFonts w:asciiTheme="minorEastAsia" w:hAnsiTheme="minorEastAsia" w:hint="eastAsia"/>
                <w:szCs w:val="21"/>
              </w:rPr>
              <w:t>、</w:t>
            </w:r>
            <w:r>
              <w:rPr>
                <w:rFonts w:asciiTheme="minorEastAsia" w:hAnsiTheme="minorEastAsia" w:hint="eastAsia"/>
                <w:b/>
                <w:szCs w:val="21"/>
                <w:u w:val="single"/>
              </w:rPr>
              <w:t>床面積の合計が</w:t>
            </w:r>
            <w:r w:rsidRPr="00537F39">
              <w:rPr>
                <w:rFonts w:asciiTheme="minorEastAsia" w:hAnsiTheme="minorEastAsia"/>
                <w:b/>
                <w:szCs w:val="21"/>
                <w:u w:val="single"/>
              </w:rPr>
              <w:t>1</w:t>
            </w:r>
            <w:r w:rsidRPr="00537F39">
              <w:rPr>
                <w:rFonts w:asciiTheme="minorEastAsia" w:hAnsiTheme="minorEastAsia" w:hint="eastAsia"/>
                <w:b/>
                <w:szCs w:val="21"/>
                <w:u w:val="single"/>
              </w:rPr>
              <w:t>万㎡以上かつ</w:t>
            </w:r>
            <w:r>
              <w:rPr>
                <w:rFonts w:asciiTheme="minorEastAsia" w:hAnsiTheme="minorEastAsia" w:hint="eastAsia"/>
                <w:b/>
                <w:szCs w:val="21"/>
                <w:u w:val="single"/>
              </w:rPr>
              <w:t>建築物の高さ</w:t>
            </w:r>
            <w:r w:rsidRPr="00537F39">
              <w:rPr>
                <w:rFonts w:asciiTheme="minorEastAsia" w:hAnsiTheme="minorEastAsia" w:hint="eastAsia"/>
                <w:b/>
                <w:szCs w:val="21"/>
                <w:u w:val="single"/>
              </w:rPr>
              <w:t>６０ｍ超の住宅</w:t>
            </w:r>
            <w:r w:rsidRPr="000E45C4">
              <w:rPr>
                <w:rFonts w:hint="eastAsia"/>
                <w:b/>
                <w:u w:val="single"/>
              </w:rPr>
              <w:t>から</w:t>
            </w:r>
            <w:r>
              <w:rPr>
                <w:rFonts w:asciiTheme="minorEastAsia" w:hAnsiTheme="minorEastAsia" w:hint="eastAsia"/>
                <w:b/>
                <w:szCs w:val="21"/>
                <w:u w:val="single"/>
              </w:rPr>
              <w:t>省エネ基準への</w:t>
            </w:r>
            <w:r w:rsidRPr="00537F39">
              <w:rPr>
                <w:rFonts w:asciiTheme="minorEastAsia" w:hAnsiTheme="minorEastAsia" w:hint="eastAsia"/>
                <w:b/>
                <w:szCs w:val="21"/>
                <w:u w:val="single"/>
              </w:rPr>
              <w:t>適合</w:t>
            </w:r>
            <w:r>
              <w:rPr>
                <w:rFonts w:asciiTheme="minorEastAsia" w:hAnsiTheme="minorEastAsia" w:hint="eastAsia"/>
                <w:b/>
                <w:szCs w:val="21"/>
                <w:u w:val="single"/>
              </w:rPr>
              <w:t>を義務化</w:t>
            </w:r>
            <w:r w:rsidRPr="00537F39">
              <w:rPr>
                <w:rFonts w:asciiTheme="minorEastAsia" w:hAnsiTheme="minorEastAsia" w:hint="eastAsia"/>
                <w:b/>
                <w:szCs w:val="21"/>
                <w:u w:val="single"/>
              </w:rPr>
              <w:t>する</w:t>
            </w:r>
            <w:r>
              <w:rPr>
                <w:rFonts w:asciiTheme="minorEastAsia" w:hAnsiTheme="minorEastAsia" w:hint="eastAsia"/>
                <w:b/>
                <w:szCs w:val="21"/>
                <w:u w:val="single"/>
              </w:rPr>
              <w:t>ことが適当で</w:t>
            </w:r>
            <w:r w:rsidRPr="00537F39">
              <w:rPr>
                <w:rFonts w:asciiTheme="minorEastAsia" w:hAnsiTheme="minorEastAsia" w:hint="eastAsia"/>
                <w:b/>
                <w:szCs w:val="21"/>
                <w:u w:val="single"/>
              </w:rPr>
              <w:t>ある。</w:t>
            </w:r>
          </w:p>
          <w:p w:rsidR="000A184E" w:rsidRPr="000C72CA" w:rsidRDefault="000A184E" w:rsidP="000A184E">
            <w:pPr>
              <w:ind w:leftChars="135" w:left="283" w:firstLineChars="100" w:firstLine="210"/>
              <w:rPr>
                <w:rFonts w:asciiTheme="minorEastAsia" w:hAnsiTheme="minorEastAsia"/>
                <w:szCs w:val="21"/>
              </w:rPr>
            </w:pPr>
          </w:p>
          <w:p w:rsidR="000A184E" w:rsidRPr="00ED632C" w:rsidRDefault="000A184E" w:rsidP="000A184E">
            <w:pPr>
              <w:rPr>
                <w:rFonts w:asciiTheme="minorEastAsia" w:hAnsiTheme="minorEastAsia"/>
                <w:b/>
                <w:sz w:val="24"/>
                <w:szCs w:val="24"/>
              </w:rPr>
            </w:pPr>
            <w:r>
              <w:rPr>
                <w:rFonts w:asciiTheme="minorEastAsia" w:hAnsiTheme="minorEastAsia" w:hint="eastAsia"/>
                <w:b/>
                <w:sz w:val="24"/>
                <w:szCs w:val="24"/>
              </w:rPr>
              <w:t>３　建築物環境</w:t>
            </w:r>
            <w:r w:rsidRPr="00ED632C">
              <w:rPr>
                <w:rFonts w:asciiTheme="minorEastAsia" w:hAnsiTheme="minorEastAsia" w:hint="eastAsia"/>
                <w:b/>
                <w:sz w:val="24"/>
                <w:szCs w:val="24"/>
              </w:rPr>
              <w:t>計画書の</w:t>
            </w:r>
            <w:r w:rsidRPr="00ED632C">
              <w:rPr>
                <w:rFonts w:asciiTheme="minorEastAsia" w:hAnsiTheme="minorEastAsia"/>
                <w:b/>
                <w:sz w:val="24"/>
                <w:szCs w:val="24"/>
              </w:rPr>
              <w:t>BEE</w:t>
            </w:r>
            <w:r w:rsidRPr="00ED632C">
              <w:rPr>
                <w:rFonts w:asciiTheme="minorEastAsia" w:hAnsiTheme="minorEastAsia" w:hint="eastAsia"/>
                <w:b/>
                <w:sz w:val="24"/>
                <w:szCs w:val="24"/>
              </w:rPr>
              <w:t>値低下と表示制度の改善について</w:t>
            </w: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t>（１）現状</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建築物の環境配慮の取り組み指標である、</w:t>
            </w:r>
            <w:r w:rsidRPr="000C72CA">
              <w:rPr>
                <w:rFonts w:asciiTheme="minorEastAsia" w:hAnsiTheme="minorEastAsia"/>
                <w:szCs w:val="21"/>
              </w:rPr>
              <w:t>CASBEE</w:t>
            </w:r>
            <w:r w:rsidRPr="000C72CA">
              <w:rPr>
                <w:rFonts w:asciiTheme="minorEastAsia" w:hAnsiTheme="minorEastAsia" w:hint="eastAsia"/>
                <w:szCs w:val="21"/>
              </w:rPr>
              <w:t>の</w:t>
            </w:r>
            <w:r w:rsidRPr="000C72CA">
              <w:rPr>
                <w:rFonts w:asciiTheme="minorEastAsia" w:hAnsiTheme="minorEastAsia"/>
                <w:szCs w:val="21"/>
              </w:rPr>
              <w:t>BEE</w:t>
            </w:r>
            <w:r w:rsidRPr="000C72CA">
              <w:rPr>
                <w:rFonts w:asciiTheme="minorEastAsia" w:hAnsiTheme="minorEastAsia" w:hint="eastAsia"/>
                <w:szCs w:val="21"/>
              </w:rPr>
              <w:t>値は、年々低下傾向にある。</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szCs w:val="21"/>
              </w:rPr>
              <w:t>2012</w:t>
            </w:r>
            <w:r w:rsidRPr="000C72CA">
              <w:rPr>
                <w:rFonts w:asciiTheme="minorEastAsia" w:hAnsiTheme="minorEastAsia" w:hint="eastAsia"/>
                <w:szCs w:val="21"/>
              </w:rPr>
              <w:t>年から届出対象を</w:t>
            </w:r>
            <w:r>
              <w:rPr>
                <w:rFonts w:asciiTheme="minorEastAsia" w:hAnsiTheme="minorEastAsia" w:hint="eastAsia"/>
                <w:szCs w:val="21"/>
              </w:rPr>
              <w:t>床面積の合計が</w:t>
            </w:r>
            <w:r w:rsidRPr="000C72CA">
              <w:rPr>
                <w:rFonts w:asciiTheme="minorEastAsia" w:hAnsiTheme="minorEastAsia"/>
                <w:szCs w:val="21"/>
              </w:rPr>
              <w:t>5,000</w:t>
            </w:r>
            <w:r w:rsidRPr="000C72CA">
              <w:rPr>
                <w:rFonts w:asciiTheme="minorEastAsia" w:hAnsiTheme="minorEastAsia" w:hint="eastAsia"/>
                <w:szCs w:val="21"/>
              </w:rPr>
              <w:t>㎡から</w:t>
            </w:r>
            <w:r w:rsidRPr="000C72CA">
              <w:rPr>
                <w:rFonts w:asciiTheme="minorEastAsia" w:hAnsiTheme="minorEastAsia"/>
                <w:szCs w:val="21"/>
              </w:rPr>
              <w:t>2,000</w:t>
            </w:r>
            <w:r w:rsidRPr="000C72CA">
              <w:rPr>
                <w:rFonts w:asciiTheme="minorEastAsia" w:hAnsiTheme="minorEastAsia" w:hint="eastAsia"/>
                <w:szCs w:val="21"/>
              </w:rPr>
              <w:t>㎡への引き下げの影響が大きいと考えられる。</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中小の建物について、環境配慮へより一層取り組むための動機付けが不足していると</w:t>
            </w:r>
            <w:r>
              <w:rPr>
                <w:rFonts w:asciiTheme="minorEastAsia" w:hAnsiTheme="minorEastAsia" w:hint="eastAsia"/>
                <w:szCs w:val="21"/>
              </w:rPr>
              <w:t>考えられる</w:t>
            </w:r>
            <w:r w:rsidRPr="000C72CA">
              <w:rPr>
                <w:rFonts w:asciiTheme="minorEastAsia" w:hAnsiTheme="minorEastAsia" w:hint="eastAsia"/>
                <w:szCs w:val="21"/>
              </w:rPr>
              <w:t>。</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また、</w:t>
            </w:r>
            <w:r w:rsidRPr="000C72CA">
              <w:rPr>
                <w:rFonts w:asciiTheme="minorEastAsia" w:hAnsiTheme="minorEastAsia"/>
                <w:szCs w:val="21"/>
              </w:rPr>
              <w:t>BEE</w:t>
            </w:r>
            <w:r w:rsidRPr="000C72CA">
              <w:rPr>
                <w:rFonts w:asciiTheme="minorEastAsia" w:hAnsiTheme="minorEastAsia" w:hint="eastAsia"/>
                <w:szCs w:val="21"/>
              </w:rPr>
              <w:t>値は府のホームページに公表され</w:t>
            </w:r>
            <w:r>
              <w:rPr>
                <w:rFonts w:asciiTheme="minorEastAsia" w:hAnsiTheme="minorEastAsia" w:hint="eastAsia"/>
                <w:szCs w:val="21"/>
              </w:rPr>
              <w:t>てい</w:t>
            </w:r>
            <w:r w:rsidRPr="000C72CA">
              <w:rPr>
                <w:rFonts w:asciiTheme="minorEastAsia" w:hAnsiTheme="minorEastAsia" w:hint="eastAsia"/>
                <w:szCs w:val="21"/>
              </w:rPr>
              <w:t>る</w:t>
            </w:r>
            <w:r>
              <w:rPr>
                <w:rFonts w:asciiTheme="minorEastAsia" w:hAnsiTheme="minorEastAsia" w:hint="eastAsia"/>
                <w:szCs w:val="21"/>
              </w:rPr>
              <w:t>。</w:t>
            </w:r>
            <w:r w:rsidRPr="000C72CA">
              <w:rPr>
                <w:rFonts w:asciiTheme="minorEastAsia" w:hAnsiTheme="minorEastAsia" w:hint="eastAsia"/>
                <w:szCs w:val="21"/>
              </w:rPr>
              <w:t>条例第</w:t>
            </w:r>
            <w:r w:rsidRPr="000C72CA">
              <w:rPr>
                <w:rFonts w:asciiTheme="minorEastAsia" w:hAnsiTheme="minorEastAsia"/>
                <w:szCs w:val="21"/>
              </w:rPr>
              <w:t>21</w:t>
            </w:r>
            <w:r w:rsidRPr="000C72CA">
              <w:rPr>
                <w:rFonts w:asciiTheme="minorEastAsia" w:hAnsiTheme="minorEastAsia" w:hint="eastAsia"/>
                <w:szCs w:val="21"/>
              </w:rPr>
              <w:t>条（建築物環境性能表示の表示）の規定により、販売又は賃貸にかかる一定条件の広告を行う際には建築物環境性能評価結果の要旨を記載した標章（ラベル）の表示が義務付けされており、そのラベルにも</w:t>
            </w:r>
            <w:r w:rsidRPr="000C72CA">
              <w:rPr>
                <w:rFonts w:asciiTheme="minorEastAsia" w:hAnsiTheme="minorEastAsia"/>
                <w:szCs w:val="21"/>
              </w:rPr>
              <w:t>BEE</w:t>
            </w:r>
            <w:r w:rsidRPr="000C72CA">
              <w:rPr>
                <w:rFonts w:asciiTheme="minorEastAsia" w:hAnsiTheme="minorEastAsia" w:hint="eastAsia"/>
                <w:szCs w:val="21"/>
              </w:rPr>
              <w:t>値に応じた星の数を表示している。</w:t>
            </w:r>
          </w:p>
          <w:p w:rsidR="000A184E" w:rsidRPr="000C72CA" w:rsidRDefault="000A184E" w:rsidP="000A184E">
            <w:pPr>
              <w:ind w:leftChars="135" w:left="283" w:firstLine="1"/>
              <w:rPr>
                <w:rFonts w:asciiTheme="minorEastAsia" w:hAnsiTheme="minorEastAsia"/>
                <w:szCs w:val="21"/>
              </w:rPr>
            </w:pPr>
          </w:p>
          <w:p w:rsidR="000A184E" w:rsidRPr="006373E0" w:rsidRDefault="000A184E" w:rsidP="000A184E">
            <w:pPr>
              <w:rPr>
                <w:rFonts w:asciiTheme="minorEastAsia" w:hAnsiTheme="minorEastAsia"/>
                <w:b/>
                <w:sz w:val="24"/>
                <w:szCs w:val="24"/>
              </w:rPr>
            </w:pPr>
            <w:r w:rsidRPr="006373E0">
              <w:rPr>
                <w:rFonts w:asciiTheme="minorEastAsia" w:hAnsiTheme="minorEastAsia" w:hint="eastAsia"/>
                <w:b/>
                <w:sz w:val="24"/>
                <w:szCs w:val="24"/>
              </w:rPr>
              <w:lastRenderedPageBreak/>
              <w:t>（２）課題</w:t>
            </w:r>
          </w:p>
          <w:p w:rsidR="000A184E" w:rsidRPr="000C72CA" w:rsidRDefault="000A184E" w:rsidP="000A184E">
            <w:pPr>
              <w:ind w:leftChars="135" w:left="283" w:firstLineChars="100" w:firstLine="210"/>
              <w:rPr>
                <w:rFonts w:asciiTheme="minorEastAsia" w:hAnsiTheme="minorEastAsia"/>
                <w:szCs w:val="21"/>
              </w:rPr>
            </w:pPr>
            <w:r w:rsidRPr="000C72CA">
              <w:rPr>
                <w:rFonts w:asciiTheme="minorEastAsia" w:hAnsiTheme="minorEastAsia" w:hint="eastAsia"/>
                <w:szCs w:val="21"/>
              </w:rPr>
              <w:t>大阪府の建築物環境計画書の届出件数は、年間で概ね</w:t>
            </w:r>
            <w:r w:rsidRPr="000C72CA">
              <w:rPr>
                <w:rFonts w:asciiTheme="minorEastAsia" w:hAnsiTheme="minorEastAsia"/>
                <w:szCs w:val="21"/>
              </w:rPr>
              <w:t>400</w:t>
            </w:r>
            <w:r w:rsidRPr="000C72CA">
              <w:rPr>
                <w:rFonts w:asciiTheme="minorEastAsia" w:hAnsiTheme="minorEastAsia" w:hint="eastAsia"/>
                <w:szCs w:val="21"/>
              </w:rPr>
              <w:t>件程度であるが、建築物環境性能表示の件数は、年間で概ね</w:t>
            </w:r>
            <w:r w:rsidRPr="000C72CA">
              <w:rPr>
                <w:rFonts w:asciiTheme="minorEastAsia" w:hAnsiTheme="minorEastAsia"/>
                <w:szCs w:val="21"/>
              </w:rPr>
              <w:t>40</w:t>
            </w:r>
            <w:r w:rsidRPr="000C72CA">
              <w:rPr>
                <w:rFonts w:asciiTheme="minorEastAsia" w:hAnsiTheme="minorEastAsia" w:hint="eastAsia"/>
                <w:szCs w:val="21"/>
              </w:rPr>
              <w:t>件程度と限定された使用状況である。ラベル表示されているものは、実質的にマンションの販売広告に掲載するものが大半であることも関係している。</w:t>
            </w:r>
          </w:p>
          <w:p w:rsidR="000A184E" w:rsidRDefault="000A184E" w:rsidP="000A184E">
            <w:pPr>
              <w:ind w:leftChars="135" w:left="283" w:firstLineChars="100" w:firstLine="210"/>
              <w:rPr>
                <w:rFonts w:asciiTheme="minorEastAsia" w:hAnsiTheme="minorEastAsia"/>
                <w:szCs w:val="21"/>
              </w:rPr>
            </w:pPr>
            <w:r>
              <w:rPr>
                <w:rFonts w:asciiTheme="minorEastAsia" w:hAnsiTheme="minorEastAsia" w:hint="eastAsia"/>
                <w:szCs w:val="21"/>
              </w:rPr>
              <w:t>ラベリングについては、消費者の関心が低く、</w:t>
            </w:r>
            <w:r w:rsidRPr="000C72CA">
              <w:rPr>
                <w:rFonts w:asciiTheme="minorEastAsia" w:hAnsiTheme="minorEastAsia" w:hint="eastAsia"/>
                <w:szCs w:val="21"/>
              </w:rPr>
              <w:t>省エネ効果</w:t>
            </w:r>
            <w:r>
              <w:rPr>
                <w:rFonts w:asciiTheme="minorEastAsia" w:hAnsiTheme="minorEastAsia" w:hint="eastAsia"/>
                <w:szCs w:val="21"/>
              </w:rPr>
              <w:t>や健康</w:t>
            </w:r>
            <w:r w:rsidRPr="000C72CA">
              <w:rPr>
                <w:rFonts w:asciiTheme="minorEastAsia" w:hAnsiTheme="minorEastAsia" w:hint="eastAsia"/>
                <w:szCs w:val="21"/>
              </w:rPr>
              <w:t>など</w:t>
            </w:r>
            <w:r>
              <w:rPr>
                <w:rFonts w:asciiTheme="minorEastAsia" w:hAnsiTheme="minorEastAsia" w:hint="eastAsia"/>
                <w:szCs w:val="21"/>
              </w:rPr>
              <w:t>の</w:t>
            </w:r>
            <w:r w:rsidRPr="000C72CA">
              <w:rPr>
                <w:rFonts w:asciiTheme="minorEastAsia" w:hAnsiTheme="minorEastAsia" w:hint="eastAsia"/>
                <w:szCs w:val="21"/>
              </w:rPr>
              <w:t>消費者が求める情報</w:t>
            </w:r>
            <w:r>
              <w:rPr>
                <w:rFonts w:asciiTheme="minorEastAsia" w:hAnsiTheme="minorEastAsia" w:hint="eastAsia"/>
                <w:szCs w:val="21"/>
              </w:rPr>
              <w:t>が記載されていない</w:t>
            </w:r>
            <w:r w:rsidRPr="000C72CA">
              <w:rPr>
                <w:rFonts w:asciiTheme="minorEastAsia" w:hAnsiTheme="minorEastAsia" w:hint="eastAsia"/>
                <w:szCs w:val="21"/>
              </w:rPr>
              <w:t>。</w:t>
            </w:r>
            <w:r>
              <w:rPr>
                <w:rFonts w:asciiTheme="minorEastAsia" w:hAnsiTheme="minorEastAsia"/>
                <w:szCs w:val="21"/>
              </w:rPr>
              <w:br w:type="page"/>
            </w:r>
          </w:p>
          <w:p w:rsidR="000A184E" w:rsidRPr="00CB1B84" w:rsidRDefault="000A184E" w:rsidP="000A184E">
            <w:pPr>
              <w:ind w:leftChars="135" w:left="283" w:firstLine="1"/>
              <w:rPr>
                <w:rFonts w:asciiTheme="minorEastAsia" w:hAnsiTheme="minorEastAsia"/>
                <w:szCs w:val="21"/>
              </w:rPr>
            </w:pPr>
          </w:p>
          <w:p w:rsidR="000A184E" w:rsidRPr="006373E0" w:rsidRDefault="000A184E" w:rsidP="000A184E">
            <w:pPr>
              <w:ind w:firstLine="1"/>
              <w:rPr>
                <w:rFonts w:asciiTheme="minorEastAsia" w:hAnsiTheme="minorEastAsia"/>
                <w:b/>
                <w:sz w:val="24"/>
                <w:szCs w:val="24"/>
              </w:rPr>
            </w:pPr>
            <w:r w:rsidRPr="006373E0">
              <w:rPr>
                <w:rFonts w:asciiTheme="minorEastAsia" w:hAnsiTheme="minorEastAsia" w:hint="eastAsia"/>
                <w:b/>
                <w:sz w:val="24"/>
                <w:szCs w:val="24"/>
              </w:rPr>
              <w:t xml:space="preserve">（３）対応の方向性　</w:t>
            </w:r>
          </w:p>
          <w:p w:rsidR="000A184E" w:rsidRDefault="000A184E" w:rsidP="000A184E">
            <w:pPr>
              <w:ind w:leftChars="135" w:left="283" w:firstLineChars="100" w:firstLine="210"/>
              <w:rPr>
                <w:rFonts w:asciiTheme="minorEastAsia" w:hAnsiTheme="minorEastAsia"/>
                <w:szCs w:val="21"/>
              </w:rPr>
            </w:pPr>
            <w:r w:rsidRPr="000C72CA">
              <w:rPr>
                <w:rFonts w:asciiTheme="minorEastAsia" w:hAnsiTheme="minorEastAsia"/>
                <w:szCs w:val="21"/>
              </w:rPr>
              <w:t>BEE</w:t>
            </w:r>
            <w:r w:rsidRPr="000C72CA">
              <w:rPr>
                <w:rFonts w:asciiTheme="minorEastAsia" w:hAnsiTheme="minorEastAsia" w:hint="eastAsia"/>
                <w:szCs w:val="21"/>
              </w:rPr>
              <w:t>値の向上については、ラベリング制度</w:t>
            </w:r>
            <w:r>
              <w:rPr>
                <w:rFonts w:asciiTheme="minorEastAsia" w:hAnsiTheme="minorEastAsia" w:hint="eastAsia"/>
                <w:szCs w:val="21"/>
              </w:rPr>
              <w:t>のより一層の普及によって対応することが方向性の一つと考えられ、以下の対応が適当と考えられる。</w:t>
            </w:r>
          </w:p>
          <w:p w:rsidR="000A184E" w:rsidRPr="000C72CA" w:rsidRDefault="000A184E" w:rsidP="000A184E">
            <w:pPr>
              <w:ind w:leftChars="135" w:left="283" w:firstLineChars="100" w:firstLine="210"/>
              <w:rPr>
                <w:rFonts w:asciiTheme="minorEastAsia" w:hAnsiTheme="minorEastAsia"/>
                <w:szCs w:val="21"/>
              </w:rPr>
            </w:pPr>
          </w:p>
          <w:p w:rsidR="000A184E" w:rsidRPr="00ED632C" w:rsidRDefault="000A184E" w:rsidP="000A184E">
            <w:pPr>
              <w:ind w:leftChars="135" w:left="283" w:firstLineChars="64" w:firstLine="135"/>
              <w:rPr>
                <w:rFonts w:asciiTheme="minorEastAsia" w:hAnsiTheme="minorEastAsia"/>
                <w:b/>
                <w:szCs w:val="21"/>
              </w:rPr>
            </w:pPr>
            <w:r w:rsidRPr="00ED632C">
              <w:rPr>
                <w:rFonts w:asciiTheme="minorEastAsia" w:hAnsiTheme="minorEastAsia"/>
                <w:b/>
                <w:szCs w:val="21"/>
              </w:rPr>
              <w:t>&lt;</w:t>
            </w:r>
            <w:r w:rsidRPr="00ED632C">
              <w:rPr>
                <w:rFonts w:asciiTheme="minorEastAsia" w:hAnsiTheme="minorEastAsia" w:hint="eastAsia"/>
                <w:b/>
                <w:szCs w:val="21"/>
              </w:rPr>
              <w:t>ラベリング制度の改善</w:t>
            </w:r>
            <w:r w:rsidRPr="00ED632C">
              <w:rPr>
                <w:rFonts w:asciiTheme="minorEastAsia" w:hAnsiTheme="minorEastAsia"/>
                <w:b/>
                <w:szCs w:val="21"/>
              </w:rPr>
              <w:t>&gt;</w:t>
            </w:r>
          </w:p>
          <w:p w:rsidR="000A184E" w:rsidRPr="00537F39" w:rsidRDefault="000A184E" w:rsidP="000A184E">
            <w:pPr>
              <w:pStyle w:val="a7"/>
              <w:numPr>
                <w:ilvl w:val="0"/>
                <w:numId w:val="1"/>
              </w:numPr>
              <w:ind w:leftChars="0"/>
              <w:rPr>
                <w:rFonts w:asciiTheme="minorEastAsia" w:hAnsiTheme="minorEastAsia"/>
                <w:b/>
                <w:szCs w:val="21"/>
                <w:u w:val="single"/>
              </w:rPr>
            </w:pPr>
            <w:r w:rsidRPr="00537F39">
              <w:rPr>
                <w:rFonts w:asciiTheme="minorEastAsia" w:hAnsiTheme="minorEastAsia" w:hint="eastAsia"/>
                <w:b/>
                <w:szCs w:val="21"/>
                <w:u w:val="single"/>
              </w:rPr>
              <w:t>工事現場にラベル掲示を義務化する。</w:t>
            </w:r>
          </w:p>
          <w:p w:rsidR="000A184E" w:rsidRPr="000C72CA" w:rsidRDefault="000A184E" w:rsidP="000A184E">
            <w:pPr>
              <w:pStyle w:val="a7"/>
              <w:ind w:leftChars="0" w:left="777" w:firstLineChars="100" w:firstLine="210"/>
              <w:rPr>
                <w:rFonts w:asciiTheme="minorEastAsia" w:hAnsiTheme="minorEastAsia"/>
                <w:szCs w:val="21"/>
              </w:rPr>
            </w:pPr>
            <w:r w:rsidRPr="000C72CA">
              <w:rPr>
                <w:rFonts w:asciiTheme="minorEastAsia" w:hAnsiTheme="minorEastAsia" w:hint="eastAsia"/>
                <w:szCs w:val="21"/>
              </w:rPr>
              <w:t>すべての建築物について、建設工事現場に建築物の環境性能表示のラベル表示することを義務付ける。</w:t>
            </w:r>
          </w:p>
          <w:p w:rsidR="000A184E" w:rsidRDefault="000A184E" w:rsidP="000A184E">
            <w:pPr>
              <w:pStyle w:val="a7"/>
              <w:ind w:leftChars="0" w:left="777" w:firstLineChars="100" w:firstLine="210"/>
              <w:rPr>
                <w:rFonts w:asciiTheme="minorEastAsia" w:hAnsiTheme="minorEastAsia"/>
                <w:szCs w:val="21"/>
              </w:rPr>
            </w:pPr>
            <w:r w:rsidRPr="000C72CA">
              <w:rPr>
                <w:rFonts w:asciiTheme="minorEastAsia" w:hAnsiTheme="minorEastAsia" w:hint="eastAsia"/>
                <w:szCs w:val="21"/>
              </w:rPr>
              <w:t>これにより、年間で概ね</w:t>
            </w:r>
            <w:r w:rsidRPr="000C72CA">
              <w:rPr>
                <w:rFonts w:asciiTheme="minorEastAsia" w:hAnsiTheme="minorEastAsia"/>
                <w:szCs w:val="21"/>
              </w:rPr>
              <w:t>40</w:t>
            </w:r>
            <w:r w:rsidRPr="000C72CA">
              <w:rPr>
                <w:rFonts w:asciiTheme="minorEastAsia" w:hAnsiTheme="minorEastAsia" w:hint="eastAsia"/>
                <w:szCs w:val="21"/>
              </w:rPr>
              <w:t>件程度であった表示件数は、年間で概ね</w:t>
            </w:r>
            <w:r w:rsidRPr="000C72CA">
              <w:rPr>
                <w:rFonts w:asciiTheme="minorEastAsia" w:hAnsiTheme="minorEastAsia"/>
                <w:szCs w:val="21"/>
              </w:rPr>
              <w:t>400</w:t>
            </w:r>
            <w:r w:rsidRPr="000C72CA">
              <w:rPr>
                <w:rFonts w:asciiTheme="minorEastAsia" w:hAnsiTheme="minorEastAsia" w:hint="eastAsia"/>
                <w:szCs w:val="21"/>
              </w:rPr>
              <w:t>件程度となり、付近を通行する住民や当該建設工事の関係者などに当該建築物の環境性能の内容を示すことができ、建築物の環境性能向上の意識が醸成されやすくなると思われる。</w:t>
            </w:r>
          </w:p>
          <w:p w:rsidR="000A184E" w:rsidRPr="000C72CA" w:rsidRDefault="000A184E" w:rsidP="000A184E">
            <w:pPr>
              <w:pStyle w:val="a7"/>
              <w:ind w:leftChars="0" w:left="777" w:firstLineChars="100" w:firstLine="210"/>
              <w:rPr>
                <w:rFonts w:asciiTheme="minorEastAsia" w:hAnsiTheme="minorEastAsia"/>
                <w:szCs w:val="21"/>
              </w:rPr>
            </w:pPr>
          </w:p>
          <w:p w:rsidR="000A184E" w:rsidRPr="00537F39" w:rsidRDefault="000A184E" w:rsidP="000A184E">
            <w:pPr>
              <w:pStyle w:val="a7"/>
              <w:numPr>
                <w:ilvl w:val="0"/>
                <w:numId w:val="1"/>
              </w:numPr>
              <w:ind w:leftChars="0"/>
              <w:rPr>
                <w:rFonts w:asciiTheme="minorEastAsia" w:hAnsiTheme="minorEastAsia"/>
                <w:b/>
                <w:szCs w:val="21"/>
                <w:u w:val="single"/>
              </w:rPr>
            </w:pPr>
            <w:r w:rsidRPr="00537F39">
              <w:rPr>
                <w:rFonts w:asciiTheme="minorEastAsia" w:hAnsiTheme="minorEastAsia" w:hint="eastAsia"/>
                <w:b/>
                <w:szCs w:val="21"/>
                <w:u w:val="single"/>
              </w:rPr>
              <w:t>表示内容を消費者の目線を意識したものとする。</w:t>
            </w:r>
          </w:p>
          <w:p w:rsidR="000A184E" w:rsidRPr="000C72CA" w:rsidRDefault="000A184E" w:rsidP="000A184E">
            <w:pPr>
              <w:ind w:left="417" w:firstLineChars="100" w:firstLine="210"/>
              <w:rPr>
                <w:rFonts w:asciiTheme="minorEastAsia" w:hAnsiTheme="minorEastAsia"/>
                <w:szCs w:val="21"/>
              </w:rPr>
            </w:pPr>
            <w:r w:rsidRPr="000C72CA">
              <w:rPr>
                <w:rFonts w:asciiTheme="minorEastAsia" w:hAnsiTheme="minorEastAsia" w:hint="eastAsia"/>
                <w:szCs w:val="21"/>
              </w:rPr>
              <w:t>・</w:t>
            </w:r>
            <w:r w:rsidRPr="00537F39">
              <w:rPr>
                <w:rFonts w:asciiTheme="minorEastAsia" w:hAnsiTheme="minorEastAsia" w:hint="eastAsia"/>
                <w:b/>
                <w:szCs w:val="21"/>
                <w:u w:val="single"/>
              </w:rPr>
              <w:t>エネルギー削減率</w:t>
            </w:r>
            <w:r w:rsidRPr="0022161E">
              <w:rPr>
                <w:rFonts w:asciiTheme="minorEastAsia" w:hAnsiTheme="minorEastAsia" w:hint="eastAsia"/>
                <w:b/>
                <w:szCs w:val="21"/>
                <w:u w:val="single"/>
              </w:rPr>
              <w:t>（建物の燃費）</w:t>
            </w:r>
            <w:r w:rsidRPr="00537F39">
              <w:rPr>
                <w:rFonts w:asciiTheme="minorEastAsia" w:hAnsiTheme="minorEastAsia" w:hint="eastAsia"/>
                <w:b/>
                <w:szCs w:val="21"/>
                <w:u w:val="single"/>
              </w:rPr>
              <w:t>をラベル表示に追加する。</w:t>
            </w:r>
          </w:p>
          <w:p w:rsidR="000A184E" w:rsidRPr="000C72CA" w:rsidRDefault="000A184E" w:rsidP="000A184E">
            <w:pPr>
              <w:ind w:leftChars="405" w:left="850"/>
              <w:rPr>
                <w:rFonts w:asciiTheme="minorEastAsia" w:hAnsiTheme="minorEastAsia"/>
                <w:szCs w:val="21"/>
              </w:rPr>
            </w:pPr>
            <w:r w:rsidRPr="000C72CA">
              <w:rPr>
                <w:rFonts w:asciiTheme="minorEastAsia" w:hAnsiTheme="minorEastAsia" w:hint="eastAsia"/>
                <w:szCs w:val="21"/>
              </w:rPr>
              <w:t>エネルギー削減率</w:t>
            </w:r>
            <w:r w:rsidRPr="0022161E">
              <w:rPr>
                <w:rFonts w:asciiTheme="minorEastAsia" w:hAnsiTheme="minorEastAsia" w:hint="eastAsia"/>
                <w:b/>
                <w:szCs w:val="21"/>
                <w:u w:val="single"/>
              </w:rPr>
              <w:t>（建物の燃費）</w:t>
            </w:r>
            <w:r w:rsidRPr="000C72CA">
              <w:rPr>
                <w:rFonts w:asciiTheme="minorEastAsia" w:hAnsiTheme="minorEastAsia" w:hint="eastAsia"/>
                <w:szCs w:val="21"/>
              </w:rPr>
              <w:t>を表示することで、建築主が省エネルギーに積極的に取り組んでいることをアピールできるとともに、建築物の購入者も省エネのメリットがある建築物を選択でき、光熱費の削減など環境配慮した建築物を推進することができる。</w:t>
            </w:r>
          </w:p>
          <w:p w:rsidR="000A184E" w:rsidRDefault="000A184E" w:rsidP="000A184E">
            <w:pPr>
              <w:ind w:leftChars="199" w:left="851" w:hangingChars="206" w:hanging="433"/>
              <w:rPr>
                <w:rFonts w:asciiTheme="minorEastAsia" w:hAnsiTheme="minorEastAsia"/>
                <w:szCs w:val="21"/>
              </w:rPr>
            </w:pPr>
            <w:r w:rsidRPr="000C72CA">
              <w:rPr>
                <w:rFonts w:asciiTheme="minorEastAsia" w:hAnsiTheme="minorEastAsia" w:hint="eastAsia"/>
                <w:szCs w:val="21"/>
              </w:rPr>
              <w:t xml:space="preserve">　</w:t>
            </w:r>
            <w:r w:rsidRPr="006373E0">
              <w:rPr>
                <w:rFonts w:asciiTheme="minorEastAsia" w:hAnsiTheme="minorEastAsia" w:hint="eastAsia"/>
                <w:szCs w:val="21"/>
              </w:rPr>
              <w:t>・大阪府重点評価の内容は、事業者が高評価を受けたくなるよう、また、</w:t>
            </w:r>
            <w:r w:rsidRPr="00E52CD4">
              <w:rPr>
                <w:rFonts w:asciiTheme="minorEastAsia" w:hAnsiTheme="minorEastAsia" w:hint="eastAsia"/>
                <w:b/>
                <w:szCs w:val="21"/>
                <w:u w:val="single"/>
              </w:rPr>
              <w:t>断熱性能や遮熱性能</w:t>
            </w:r>
            <w:r w:rsidRPr="006373E0">
              <w:rPr>
                <w:rFonts w:asciiTheme="minorEastAsia" w:hAnsiTheme="minorEastAsia" w:hint="eastAsia"/>
                <w:szCs w:val="21"/>
              </w:rPr>
              <w:t>は健康にも寄与するものと考えられるので、課題も含め引き続き検討を行う</w:t>
            </w:r>
            <w:r>
              <w:rPr>
                <w:rFonts w:asciiTheme="minorEastAsia" w:hAnsiTheme="minorEastAsia" w:hint="eastAsia"/>
                <w:szCs w:val="21"/>
              </w:rPr>
              <w:t>必要がある</w:t>
            </w:r>
            <w:r w:rsidRPr="006373E0">
              <w:rPr>
                <w:rFonts w:asciiTheme="minorEastAsia" w:hAnsiTheme="minorEastAsia" w:hint="eastAsia"/>
                <w:szCs w:val="21"/>
              </w:rPr>
              <w:t>。</w:t>
            </w:r>
          </w:p>
          <w:p w:rsidR="000A184E" w:rsidRPr="00A81E9C" w:rsidRDefault="000A184E" w:rsidP="000A184E">
            <w:pPr>
              <w:ind w:leftChars="299" w:left="851" w:hangingChars="106" w:hanging="223"/>
              <w:rPr>
                <w:rFonts w:asciiTheme="minorEastAsia" w:hAnsiTheme="minorEastAsia"/>
                <w:szCs w:val="21"/>
              </w:rPr>
            </w:pPr>
            <w:r>
              <w:rPr>
                <w:rFonts w:asciiTheme="minorEastAsia" w:hAnsiTheme="minorEastAsia" w:hint="eastAsia"/>
                <w:szCs w:val="21"/>
              </w:rPr>
              <w:t>・</w:t>
            </w:r>
            <w:r w:rsidRPr="006373E0">
              <w:rPr>
                <w:rFonts w:asciiTheme="minorEastAsia" w:hAnsiTheme="minorEastAsia" w:hint="eastAsia"/>
                <w:szCs w:val="21"/>
              </w:rPr>
              <w:t>大阪府重点評価の内容は、</w:t>
            </w:r>
            <w:r>
              <w:rPr>
                <w:rFonts w:asciiTheme="minorEastAsia" w:hAnsiTheme="minorEastAsia" w:hint="eastAsia"/>
                <w:szCs w:val="21"/>
              </w:rPr>
              <w:t>建築物環境配慮指針で定めているが、検討した結果に基づき、同指針を</w:t>
            </w:r>
            <w:r w:rsidRPr="000C72CA">
              <w:rPr>
                <w:rFonts w:asciiTheme="minorEastAsia" w:hAnsiTheme="minorEastAsia" w:hint="eastAsia"/>
                <w:szCs w:val="21"/>
              </w:rPr>
              <w:t>見直す</w:t>
            </w:r>
            <w:r>
              <w:rPr>
                <w:rFonts w:asciiTheme="minorEastAsia" w:hAnsiTheme="minorEastAsia" w:hint="eastAsia"/>
                <w:szCs w:val="21"/>
              </w:rPr>
              <w:t>ことが望ましい。</w:t>
            </w:r>
          </w:p>
          <w:p w:rsidR="000A184E" w:rsidRPr="000D23B2" w:rsidRDefault="000A184E" w:rsidP="000A184E">
            <w:pPr>
              <w:pStyle w:val="a7"/>
              <w:ind w:leftChars="0" w:left="777" w:firstLineChars="100" w:firstLine="210"/>
              <w:rPr>
                <w:rFonts w:asciiTheme="minorEastAsia" w:hAnsiTheme="minorEastAsia"/>
                <w:szCs w:val="21"/>
              </w:rPr>
            </w:pPr>
          </w:p>
          <w:p w:rsidR="000A184E" w:rsidRPr="000C72CA" w:rsidRDefault="000A184E" w:rsidP="000A184E">
            <w:pPr>
              <w:rPr>
                <w:rFonts w:asciiTheme="minorEastAsia" w:hAnsiTheme="minorEastAsia"/>
                <w:szCs w:val="21"/>
              </w:rPr>
            </w:pPr>
            <w:r>
              <w:rPr>
                <w:rFonts w:asciiTheme="minorEastAsia" w:hAnsiTheme="minorEastAsia" w:hint="eastAsia"/>
                <w:b/>
                <w:sz w:val="24"/>
                <w:szCs w:val="24"/>
              </w:rPr>
              <w:t>４　再生可能エネルギー源利用設備の導入検討</w:t>
            </w:r>
            <w:r w:rsidRPr="00ED632C">
              <w:rPr>
                <w:rFonts w:asciiTheme="minorEastAsia" w:hAnsiTheme="minorEastAsia" w:hint="eastAsia"/>
                <w:b/>
                <w:sz w:val="24"/>
                <w:szCs w:val="24"/>
              </w:rPr>
              <w:t>制度の改善について</w:t>
            </w:r>
          </w:p>
          <w:p w:rsidR="000A184E" w:rsidRPr="00ED632C" w:rsidRDefault="000A184E" w:rsidP="000A184E">
            <w:pPr>
              <w:pStyle w:val="a7"/>
              <w:ind w:leftChars="0" w:left="0"/>
              <w:rPr>
                <w:rFonts w:asciiTheme="minorEastAsia" w:hAnsiTheme="minorEastAsia"/>
                <w:b/>
                <w:sz w:val="24"/>
                <w:szCs w:val="24"/>
              </w:rPr>
            </w:pPr>
            <w:r w:rsidRPr="00ED632C">
              <w:rPr>
                <w:rFonts w:asciiTheme="minorEastAsia" w:hAnsiTheme="minorEastAsia" w:hint="eastAsia"/>
                <w:b/>
                <w:sz w:val="24"/>
                <w:szCs w:val="24"/>
              </w:rPr>
              <w:t>（１）現状</w:t>
            </w:r>
          </w:p>
          <w:p w:rsidR="000A184E" w:rsidRPr="000C72CA" w:rsidRDefault="000A184E" w:rsidP="000A184E">
            <w:pPr>
              <w:pStyle w:val="a7"/>
              <w:ind w:leftChars="0" w:left="748"/>
              <w:rPr>
                <w:rFonts w:asciiTheme="minorEastAsia" w:hAnsiTheme="minorEastAsia"/>
                <w:szCs w:val="21"/>
              </w:rPr>
            </w:pPr>
            <w:r w:rsidRPr="000C72CA">
              <w:rPr>
                <w:rFonts w:asciiTheme="minorEastAsia" w:hAnsiTheme="minorEastAsia" w:hint="eastAsia"/>
                <w:szCs w:val="21"/>
              </w:rPr>
              <w:t>条例第</w:t>
            </w:r>
            <w:r w:rsidRPr="000C72CA">
              <w:rPr>
                <w:rFonts w:asciiTheme="minorEastAsia" w:hAnsiTheme="minorEastAsia"/>
                <w:szCs w:val="21"/>
              </w:rPr>
              <w:t>16</w:t>
            </w:r>
            <w:r w:rsidRPr="000C72CA">
              <w:rPr>
                <w:rFonts w:asciiTheme="minorEastAsia" w:hAnsiTheme="minorEastAsia" w:hint="eastAsia"/>
                <w:szCs w:val="21"/>
              </w:rPr>
              <w:t>条第２項の規定により、</w:t>
            </w:r>
            <w:r w:rsidRPr="000C72CA">
              <w:rPr>
                <w:rFonts w:asciiTheme="minorEastAsia" w:hAnsiTheme="minorEastAsia"/>
                <w:szCs w:val="21"/>
              </w:rPr>
              <w:t>2015</w:t>
            </w:r>
            <w:r w:rsidRPr="000C72CA">
              <w:rPr>
                <w:rFonts w:asciiTheme="minorEastAsia" w:hAnsiTheme="minorEastAsia" w:hint="eastAsia"/>
                <w:szCs w:val="21"/>
              </w:rPr>
              <w:t>年</w:t>
            </w:r>
            <w:r w:rsidRPr="000C72CA">
              <w:rPr>
                <w:rFonts w:asciiTheme="minorEastAsia" w:hAnsiTheme="minorEastAsia"/>
                <w:szCs w:val="21"/>
              </w:rPr>
              <w:t>4</w:t>
            </w:r>
            <w:r w:rsidRPr="000C72CA">
              <w:rPr>
                <w:rFonts w:asciiTheme="minorEastAsia" w:hAnsiTheme="minorEastAsia" w:hint="eastAsia"/>
                <w:szCs w:val="21"/>
              </w:rPr>
              <w:t>月から検討の義務付けを行っている再生可能エネルギー利用設備の導入件数は、</w:t>
            </w:r>
            <w:r w:rsidRPr="000C72CA">
              <w:rPr>
                <w:rFonts w:asciiTheme="minorEastAsia" w:hAnsiTheme="minorEastAsia"/>
                <w:szCs w:val="21"/>
              </w:rPr>
              <w:t>2015</w:t>
            </w:r>
            <w:r w:rsidRPr="000C72CA">
              <w:rPr>
                <w:rFonts w:asciiTheme="minorEastAsia" w:hAnsiTheme="minorEastAsia" w:hint="eastAsia"/>
                <w:szCs w:val="21"/>
              </w:rPr>
              <w:t>年度、太陽光発電</w:t>
            </w:r>
            <w:r w:rsidRPr="000C72CA">
              <w:rPr>
                <w:rFonts w:asciiTheme="minorEastAsia" w:hAnsiTheme="minorEastAsia"/>
                <w:szCs w:val="21"/>
              </w:rPr>
              <w:t>31</w:t>
            </w:r>
            <w:r w:rsidRPr="000C72CA">
              <w:rPr>
                <w:rFonts w:asciiTheme="minorEastAsia" w:hAnsiTheme="minorEastAsia" w:hint="eastAsia"/>
                <w:szCs w:val="21"/>
              </w:rPr>
              <w:t>件、太陽熱</w:t>
            </w:r>
            <w:r w:rsidRPr="000C72CA">
              <w:rPr>
                <w:rFonts w:asciiTheme="minorEastAsia" w:hAnsiTheme="minorEastAsia"/>
                <w:szCs w:val="21"/>
              </w:rPr>
              <w:t>1</w:t>
            </w:r>
            <w:r w:rsidRPr="000C72CA">
              <w:rPr>
                <w:rFonts w:asciiTheme="minorEastAsia" w:hAnsiTheme="minorEastAsia" w:hint="eastAsia"/>
                <w:szCs w:val="21"/>
              </w:rPr>
              <w:t>件、その他</w:t>
            </w:r>
            <w:r w:rsidRPr="000C72CA">
              <w:rPr>
                <w:rFonts w:asciiTheme="minorEastAsia" w:hAnsiTheme="minorEastAsia"/>
                <w:szCs w:val="21"/>
              </w:rPr>
              <w:t>3</w:t>
            </w:r>
            <w:r w:rsidRPr="000C72CA">
              <w:rPr>
                <w:rFonts w:asciiTheme="minorEastAsia" w:hAnsiTheme="minorEastAsia" w:hint="eastAsia"/>
                <w:szCs w:val="21"/>
              </w:rPr>
              <w:t>件となっている。</w:t>
            </w:r>
          </w:p>
          <w:p w:rsidR="000A184E" w:rsidRPr="000C72CA" w:rsidRDefault="000A184E" w:rsidP="000A184E">
            <w:pPr>
              <w:pStyle w:val="a7"/>
              <w:ind w:leftChars="0" w:left="748"/>
              <w:rPr>
                <w:rFonts w:asciiTheme="minorEastAsia" w:hAnsiTheme="minorEastAsia"/>
                <w:szCs w:val="21"/>
              </w:rPr>
            </w:pPr>
          </w:p>
          <w:p w:rsidR="000A184E" w:rsidRPr="00ED632C" w:rsidRDefault="000A184E" w:rsidP="000A184E">
            <w:pPr>
              <w:pStyle w:val="a7"/>
              <w:ind w:leftChars="0" w:left="0"/>
              <w:rPr>
                <w:rFonts w:asciiTheme="minorEastAsia" w:hAnsiTheme="minorEastAsia"/>
                <w:b/>
                <w:sz w:val="24"/>
                <w:szCs w:val="24"/>
              </w:rPr>
            </w:pPr>
            <w:r w:rsidRPr="00ED632C">
              <w:rPr>
                <w:rFonts w:asciiTheme="minorEastAsia" w:hAnsiTheme="minorEastAsia" w:hint="eastAsia"/>
                <w:b/>
                <w:sz w:val="24"/>
                <w:szCs w:val="24"/>
              </w:rPr>
              <w:t>（２）課題</w:t>
            </w:r>
          </w:p>
          <w:p w:rsidR="000A184E" w:rsidRPr="000C72CA" w:rsidRDefault="000A184E" w:rsidP="000A184E">
            <w:pPr>
              <w:pStyle w:val="a7"/>
              <w:ind w:leftChars="0" w:left="748"/>
              <w:rPr>
                <w:rFonts w:asciiTheme="minorEastAsia" w:hAnsiTheme="minorEastAsia"/>
                <w:szCs w:val="21"/>
              </w:rPr>
            </w:pPr>
            <w:r w:rsidRPr="000C72CA">
              <w:rPr>
                <w:rFonts w:asciiTheme="minorEastAsia" w:hAnsiTheme="minorEastAsia" w:hint="eastAsia"/>
                <w:szCs w:val="21"/>
              </w:rPr>
              <w:t>届出件数の</w:t>
            </w:r>
            <w:r w:rsidRPr="000C72CA">
              <w:rPr>
                <w:rFonts w:asciiTheme="minorEastAsia" w:hAnsiTheme="minorEastAsia"/>
                <w:szCs w:val="21"/>
              </w:rPr>
              <w:t>1</w:t>
            </w:r>
            <w:r w:rsidRPr="000C72CA">
              <w:rPr>
                <w:rFonts w:asciiTheme="minorEastAsia" w:hAnsiTheme="minorEastAsia" w:hint="eastAsia"/>
                <w:szCs w:val="21"/>
              </w:rPr>
              <w:t>割程度が導入しているが、導入しない理由のうち、最も多いのは、「費用負担大」である。</w:t>
            </w:r>
          </w:p>
          <w:p w:rsidR="000A184E" w:rsidRPr="000C72CA" w:rsidRDefault="000A184E" w:rsidP="000A184E">
            <w:pPr>
              <w:pStyle w:val="a7"/>
              <w:rPr>
                <w:rFonts w:asciiTheme="minorEastAsia" w:hAnsiTheme="minorEastAsia"/>
                <w:szCs w:val="21"/>
              </w:rPr>
            </w:pPr>
          </w:p>
          <w:p w:rsidR="000A184E" w:rsidRPr="00ED632C" w:rsidRDefault="000A184E" w:rsidP="000A184E">
            <w:pPr>
              <w:pStyle w:val="a7"/>
              <w:ind w:leftChars="0" w:left="0"/>
              <w:rPr>
                <w:rFonts w:asciiTheme="minorEastAsia" w:hAnsiTheme="minorEastAsia"/>
                <w:b/>
                <w:sz w:val="24"/>
                <w:szCs w:val="24"/>
              </w:rPr>
            </w:pPr>
            <w:r w:rsidRPr="00ED632C">
              <w:rPr>
                <w:rFonts w:asciiTheme="minorEastAsia" w:hAnsiTheme="minorEastAsia" w:hint="eastAsia"/>
                <w:b/>
                <w:sz w:val="24"/>
                <w:szCs w:val="24"/>
              </w:rPr>
              <w:t>（３）対応の方向性</w:t>
            </w:r>
          </w:p>
          <w:p w:rsidR="000A184E" w:rsidRPr="000C72CA" w:rsidRDefault="000A184E" w:rsidP="000A184E">
            <w:pPr>
              <w:pStyle w:val="a7"/>
              <w:ind w:leftChars="0" w:left="748" w:firstLineChars="100" w:firstLine="210"/>
              <w:rPr>
                <w:rFonts w:asciiTheme="minorEastAsia" w:hAnsiTheme="minorEastAsia"/>
                <w:szCs w:val="21"/>
              </w:rPr>
            </w:pPr>
            <w:r w:rsidRPr="000C72CA">
              <w:rPr>
                <w:rFonts w:asciiTheme="minorEastAsia" w:hAnsiTheme="minorEastAsia" w:hint="eastAsia"/>
                <w:szCs w:val="21"/>
              </w:rPr>
              <w:t>再生可能エネルギー源利用設備の設置を義務付けることは、建築物の設計の多様性が失われることや建築主の費用の負担が大きくなるため、現時点では困難と考えられる。</w:t>
            </w:r>
          </w:p>
          <w:p w:rsidR="000A184E" w:rsidRPr="000C72CA" w:rsidRDefault="000A184E" w:rsidP="000A184E">
            <w:pPr>
              <w:pStyle w:val="a7"/>
              <w:ind w:leftChars="0" w:left="748"/>
              <w:rPr>
                <w:rFonts w:asciiTheme="minorEastAsia" w:hAnsiTheme="minorEastAsia"/>
                <w:szCs w:val="21"/>
              </w:rPr>
            </w:pPr>
            <w:r w:rsidRPr="000C72CA">
              <w:rPr>
                <w:rFonts w:asciiTheme="minorEastAsia" w:hAnsiTheme="minorEastAsia" w:hint="eastAsia"/>
                <w:szCs w:val="21"/>
              </w:rPr>
              <w:t>今後も引き続き、制度の方向性について検討していく必要がある。</w:t>
            </w:r>
          </w:p>
          <w:p w:rsidR="000A184E" w:rsidRDefault="000A184E" w:rsidP="000A184E">
            <w:pPr>
              <w:widowControl/>
              <w:jc w:val="left"/>
              <w:rPr>
                <w:rFonts w:asciiTheme="minorEastAsia" w:hAnsiTheme="minorEastAsia"/>
                <w:color w:val="31849B" w:themeColor="accent5" w:themeShade="BF"/>
                <w:szCs w:val="21"/>
              </w:rPr>
            </w:pPr>
            <w:r>
              <w:rPr>
                <w:rFonts w:asciiTheme="minorEastAsia" w:hAnsiTheme="minorEastAsia"/>
                <w:color w:val="31849B" w:themeColor="accent5" w:themeShade="BF"/>
                <w:szCs w:val="21"/>
              </w:rPr>
              <w:br w:type="page"/>
            </w:r>
          </w:p>
          <w:p w:rsidR="00A60F01" w:rsidRDefault="00A60F01" w:rsidP="000A184E">
            <w:pPr>
              <w:widowControl/>
              <w:jc w:val="left"/>
              <w:rPr>
                <w:rFonts w:asciiTheme="minorEastAsia" w:hAnsiTheme="minorEastAsia"/>
                <w:color w:val="31849B" w:themeColor="accent5" w:themeShade="BF"/>
                <w:szCs w:val="21"/>
              </w:rPr>
            </w:pPr>
          </w:p>
          <w:p w:rsidR="00A60F01" w:rsidRDefault="00A60F01" w:rsidP="000A184E">
            <w:pPr>
              <w:widowControl/>
              <w:jc w:val="left"/>
              <w:rPr>
                <w:rFonts w:asciiTheme="minorEastAsia" w:hAnsiTheme="minorEastAsia"/>
                <w:color w:val="31849B" w:themeColor="accent5" w:themeShade="BF"/>
                <w:szCs w:val="21"/>
              </w:rPr>
            </w:pPr>
          </w:p>
          <w:p w:rsidR="000A184E" w:rsidRPr="00DB5CD5" w:rsidRDefault="000A184E" w:rsidP="000A184E">
            <w:pPr>
              <w:widowControl/>
              <w:ind w:leftChars="270" w:left="567" w:rightChars="256" w:right="538"/>
              <w:jc w:val="center"/>
              <w:rPr>
                <w:rFonts w:asciiTheme="minorEastAsia" w:hAnsiTheme="minorEastAsia"/>
                <w:b/>
                <w:sz w:val="28"/>
                <w:szCs w:val="28"/>
              </w:rPr>
            </w:pPr>
            <w:r>
              <w:rPr>
                <w:rFonts w:asciiTheme="minorEastAsia" w:hAnsiTheme="minorEastAsia" w:hint="eastAsia"/>
                <w:b/>
                <w:sz w:val="28"/>
                <w:szCs w:val="28"/>
              </w:rPr>
              <w:t>結　語</w:t>
            </w:r>
          </w:p>
          <w:p w:rsidR="000A184E" w:rsidRDefault="000A184E" w:rsidP="000A184E">
            <w:pPr>
              <w:spacing w:line="320" w:lineRule="exact"/>
              <w:ind w:leftChars="270" w:left="567" w:rightChars="256" w:right="538" w:firstLineChars="100" w:firstLine="210"/>
              <w:rPr>
                <w:rFonts w:asciiTheme="minorEastAsia" w:hAnsiTheme="minorEastAsia"/>
                <w:szCs w:val="21"/>
              </w:rPr>
            </w:pPr>
          </w:p>
          <w:p w:rsidR="000A184E" w:rsidRPr="00A94666" w:rsidRDefault="000A184E" w:rsidP="000A184E">
            <w:pPr>
              <w:spacing w:line="320" w:lineRule="exact"/>
              <w:ind w:leftChars="270" w:left="567" w:rightChars="256" w:right="538" w:firstLineChars="100" w:firstLine="220"/>
              <w:rPr>
                <w:rFonts w:asciiTheme="minorEastAsia" w:hAnsiTheme="minorEastAsia" w:cs="ＭＳゴシック"/>
                <w:kern w:val="0"/>
                <w:sz w:val="22"/>
              </w:rPr>
            </w:pPr>
            <w:r w:rsidRPr="00A94666">
              <w:rPr>
                <w:rFonts w:asciiTheme="minorEastAsia" w:hAnsiTheme="minorEastAsia" w:hint="eastAsia"/>
                <w:sz w:val="22"/>
              </w:rPr>
              <w:t>本</w:t>
            </w:r>
            <w:r>
              <w:rPr>
                <w:rFonts w:asciiTheme="minorEastAsia" w:hAnsiTheme="minorEastAsia" w:hint="eastAsia"/>
                <w:sz w:val="22"/>
              </w:rPr>
              <w:t>審議</w:t>
            </w:r>
            <w:r w:rsidRPr="00A94666">
              <w:rPr>
                <w:rFonts w:asciiTheme="minorEastAsia" w:hAnsiTheme="minorEastAsia" w:hint="eastAsia"/>
                <w:sz w:val="22"/>
              </w:rPr>
              <w:t>会においては、</w:t>
            </w:r>
            <w:r w:rsidRPr="00A94666">
              <w:rPr>
                <w:rFonts w:asciiTheme="minorEastAsia" w:hAnsiTheme="minorEastAsia" w:cs="ＭＳゴシック" w:hint="eastAsia"/>
                <w:kern w:val="0"/>
                <w:sz w:val="22"/>
              </w:rPr>
              <w:t>計3回の</w:t>
            </w:r>
            <w:r>
              <w:rPr>
                <w:rFonts w:asciiTheme="minorEastAsia" w:hAnsiTheme="minorEastAsia" w:cs="ＭＳゴシック" w:hint="eastAsia"/>
                <w:kern w:val="0"/>
                <w:sz w:val="22"/>
              </w:rPr>
              <w:t>部会での</w:t>
            </w:r>
            <w:r w:rsidRPr="00A94666">
              <w:rPr>
                <w:rFonts w:asciiTheme="minorEastAsia" w:hAnsiTheme="minorEastAsia" w:cs="ＭＳゴシック" w:hint="eastAsia"/>
                <w:kern w:val="0"/>
                <w:sz w:val="22"/>
              </w:rPr>
              <w:t>審議を経て、より一層の</w:t>
            </w:r>
            <w:r w:rsidRPr="00A94666">
              <w:rPr>
                <w:rFonts w:asciiTheme="minorEastAsia" w:hAnsiTheme="minorEastAsia" w:hint="eastAsia"/>
                <w:sz w:val="22"/>
              </w:rPr>
              <w:t>温室効果ガス</w:t>
            </w:r>
            <w:r w:rsidRPr="00A94666">
              <w:rPr>
                <w:rFonts w:asciiTheme="minorEastAsia" w:hAnsiTheme="minorEastAsia" w:cs="ＭＳゴシック" w:hint="eastAsia"/>
                <w:kern w:val="0"/>
                <w:sz w:val="22"/>
              </w:rPr>
              <w:t>排出量の削減を目指し、今後の建築物の環境配慮のあり方として、非住宅建築物における外皮性能基準への適合、住宅における省エネ基準への適合、表示制度の改善、再生可</w:t>
            </w:r>
            <w:r>
              <w:rPr>
                <w:rFonts w:asciiTheme="minorEastAsia" w:hAnsiTheme="minorEastAsia" w:cs="ＭＳゴシック" w:hint="eastAsia"/>
                <w:kern w:val="0"/>
                <w:sz w:val="22"/>
              </w:rPr>
              <w:t>能エネルギー源利用設備の導入検討制度の改善について検討し、本答申</w:t>
            </w:r>
            <w:r w:rsidRPr="00A94666">
              <w:rPr>
                <w:rFonts w:asciiTheme="minorEastAsia" w:hAnsiTheme="minorEastAsia" w:cs="ＭＳゴシック" w:hint="eastAsia"/>
                <w:kern w:val="0"/>
                <w:sz w:val="22"/>
              </w:rPr>
              <w:t>として取りまとめた。</w:t>
            </w:r>
          </w:p>
          <w:p w:rsidR="000A184E" w:rsidRPr="00A94666" w:rsidRDefault="000A184E" w:rsidP="000A184E">
            <w:pPr>
              <w:spacing w:beforeLines="50" w:before="178" w:line="320" w:lineRule="exact"/>
              <w:ind w:leftChars="270" w:left="567" w:rightChars="256" w:right="538" w:firstLineChars="100" w:firstLine="220"/>
              <w:rPr>
                <w:rFonts w:asciiTheme="minorEastAsia" w:hAnsiTheme="minorEastAsia"/>
                <w:sz w:val="22"/>
              </w:rPr>
            </w:pPr>
            <w:r w:rsidRPr="00A94666">
              <w:rPr>
                <w:rFonts w:asciiTheme="minorEastAsia" w:hAnsiTheme="minorEastAsia" w:cs="ＭＳゴシック" w:hint="eastAsia"/>
                <w:kern w:val="0"/>
                <w:sz w:val="22"/>
              </w:rPr>
              <w:t>非住宅建築物における外皮性能基準への適合については、</w:t>
            </w:r>
            <w:r w:rsidRPr="00A94666">
              <w:rPr>
                <w:rFonts w:asciiTheme="minorEastAsia" w:hAnsiTheme="minorEastAsia" w:hint="eastAsia"/>
                <w:sz w:val="22"/>
              </w:rPr>
              <w:t>これまで、大阪府では、2015年度から国に先駆けて非住宅10,000㎡以上の新築・増改築時について、一次エネルギー消費量の基準に加え、建築物の外壁、窓等の断熱化などの外皮基準の双方を満足することとしてきたところである。</w:t>
            </w:r>
          </w:p>
          <w:p w:rsidR="000A184E" w:rsidRPr="00F11B88" w:rsidRDefault="000A184E" w:rsidP="000A184E">
            <w:pPr>
              <w:spacing w:line="320" w:lineRule="exact"/>
              <w:ind w:leftChars="270" w:left="567" w:rightChars="256" w:right="538" w:firstLineChars="100" w:firstLine="220"/>
              <w:rPr>
                <w:rFonts w:asciiTheme="minorEastAsia" w:hAnsiTheme="minorEastAsia"/>
                <w:sz w:val="22"/>
              </w:rPr>
            </w:pPr>
            <w:r w:rsidRPr="00A94666">
              <w:rPr>
                <w:rFonts w:asciiTheme="minorEastAsia" w:hAnsiTheme="minorEastAsia" w:cs="ＭＳゴシック" w:hint="eastAsia"/>
                <w:kern w:val="0"/>
                <w:sz w:val="22"/>
              </w:rPr>
              <w:t>この度、国は、</w:t>
            </w:r>
            <w:r w:rsidRPr="00A94666">
              <w:rPr>
                <w:rFonts w:asciiTheme="minorEastAsia" w:hAnsiTheme="minorEastAsia" w:hint="eastAsia"/>
                <w:sz w:val="22"/>
              </w:rPr>
              <w:t>201</w:t>
            </w:r>
            <w:r>
              <w:rPr>
                <w:rFonts w:asciiTheme="minorEastAsia" w:hAnsiTheme="minorEastAsia" w:hint="eastAsia"/>
                <w:sz w:val="22"/>
              </w:rPr>
              <w:t>5</w:t>
            </w:r>
            <w:r w:rsidRPr="00A94666">
              <w:rPr>
                <w:rFonts w:asciiTheme="minorEastAsia" w:hAnsiTheme="minorEastAsia" w:hint="eastAsia"/>
                <w:sz w:val="22"/>
              </w:rPr>
              <w:t>年</w:t>
            </w:r>
            <w:r>
              <w:rPr>
                <w:rFonts w:asciiTheme="minorEastAsia" w:hAnsiTheme="minorEastAsia" w:hint="eastAsia"/>
                <w:sz w:val="22"/>
              </w:rPr>
              <w:t>7月に</w:t>
            </w:r>
            <w:r w:rsidRPr="00A94666">
              <w:rPr>
                <w:rFonts w:asciiTheme="minorEastAsia" w:hAnsiTheme="minorEastAsia" w:hint="eastAsia"/>
                <w:sz w:val="22"/>
              </w:rPr>
              <w:t>建築物省エネ法を公布し</w:t>
            </w:r>
            <w:r>
              <w:rPr>
                <w:rFonts w:asciiTheme="minorEastAsia" w:hAnsiTheme="minorEastAsia" w:hint="eastAsia"/>
                <w:sz w:val="22"/>
              </w:rPr>
              <w:t>、2017年度より2,000㎡以上の非住宅建築物の新築・増改築をしようとするときは、</w:t>
            </w:r>
            <w:r w:rsidRPr="00A94666">
              <w:rPr>
                <w:rFonts w:asciiTheme="minorEastAsia" w:hAnsiTheme="minorEastAsia" w:hint="eastAsia"/>
                <w:sz w:val="22"/>
              </w:rPr>
              <w:t>一次エネルギー消費量の基準</w:t>
            </w:r>
            <w:r>
              <w:rPr>
                <w:rFonts w:asciiTheme="minorEastAsia" w:hAnsiTheme="minorEastAsia" w:hint="eastAsia"/>
                <w:sz w:val="22"/>
              </w:rPr>
              <w:t>のみでの適合</w:t>
            </w:r>
            <w:r w:rsidRPr="00F11B88">
              <w:rPr>
                <w:rFonts w:asciiTheme="minorEastAsia" w:hAnsiTheme="minorEastAsia" w:hint="eastAsia"/>
                <w:sz w:val="22"/>
              </w:rPr>
              <w:t>を義務付けようとしている。</w:t>
            </w:r>
          </w:p>
          <w:p w:rsidR="000A184E" w:rsidRPr="00F11B88" w:rsidRDefault="000A184E" w:rsidP="000A184E">
            <w:pPr>
              <w:spacing w:line="320" w:lineRule="exact"/>
              <w:ind w:leftChars="270" w:left="567" w:rightChars="256" w:right="538" w:firstLineChars="100" w:firstLine="220"/>
              <w:rPr>
                <w:rFonts w:asciiTheme="minorEastAsia" w:hAnsiTheme="minorEastAsia"/>
                <w:sz w:val="22"/>
              </w:rPr>
            </w:pPr>
            <w:r w:rsidRPr="00F11B88">
              <w:rPr>
                <w:rFonts w:asciiTheme="minorEastAsia" w:hAnsiTheme="minorEastAsia" w:hint="eastAsia"/>
                <w:sz w:val="22"/>
              </w:rPr>
              <w:t>一方、建築物の外皮性能の向上は新築・増改築時には比較的対応が容易であるが、建築後は対応が困難であるため、外皮性能を新築・増改築時に向上させておくことは重要である。また、外皮性能の向上は、長期的なランニングコストの削減や温室効果ガスの排出抑制に加え、執務環境の向上に寄与し、エネルギーが途絶するような災害時にも暖房時の室温低下の抑制など室内環境維持への効果を期待できる。</w:t>
            </w:r>
          </w:p>
          <w:p w:rsidR="000A184E" w:rsidRPr="00A94666" w:rsidRDefault="000A184E" w:rsidP="000A184E">
            <w:pPr>
              <w:spacing w:line="320" w:lineRule="exact"/>
              <w:ind w:leftChars="270" w:left="567" w:rightChars="256" w:right="538" w:firstLineChars="100" w:firstLine="220"/>
              <w:rPr>
                <w:rFonts w:asciiTheme="minorEastAsia" w:hAnsiTheme="minorEastAsia"/>
                <w:sz w:val="22"/>
              </w:rPr>
            </w:pPr>
            <w:r w:rsidRPr="00F11B88">
              <w:rPr>
                <w:rFonts w:asciiTheme="minorEastAsia" w:hAnsiTheme="minorEastAsia" w:hint="eastAsia"/>
                <w:sz w:val="22"/>
              </w:rPr>
              <w:t>これらのことから、全国に先駆け、</w:t>
            </w:r>
            <w:r w:rsidRPr="00A94666">
              <w:rPr>
                <w:rFonts w:asciiTheme="minorEastAsia" w:hAnsiTheme="minorEastAsia" w:hint="eastAsia"/>
                <w:sz w:val="22"/>
              </w:rPr>
              <w:t>建築物の性能を上げる努力として、2,000㎡以上の非住宅建築物の新築・増改築時について一次エネルギー消費量の基準に加え、外壁、窓等の断熱化などの外皮基準を満足することを提案した。</w:t>
            </w:r>
          </w:p>
          <w:p w:rsidR="000A184E" w:rsidRPr="00A94666" w:rsidRDefault="000A184E" w:rsidP="000A184E">
            <w:pPr>
              <w:spacing w:beforeLines="50" w:before="178" w:line="320" w:lineRule="exact"/>
              <w:ind w:leftChars="270" w:left="567" w:rightChars="256" w:right="538" w:firstLineChars="100" w:firstLine="220"/>
              <w:rPr>
                <w:rFonts w:asciiTheme="minorEastAsia" w:hAnsiTheme="minorEastAsia"/>
                <w:sz w:val="22"/>
              </w:rPr>
            </w:pPr>
            <w:r w:rsidRPr="00A94666">
              <w:rPr>
                <w:rFonts w:asciiTheme="minorEastAsia" w:hAnsiTheme="minorEastAsia" w:cs="ＭＳゴシック" w:hint="eastAsia"/>
                <w:kern w:val="0"/>
                <w:sz w:val="22"/>
              </w:rPr>
              <w:t>住宅における省エネ基準への適合については、</w:t>
            </w:r>
            <w:r w:rsidRPr="00A94666">
              <w:rPr>
                <w:rFonts w:asciiTheme="minorEastAsia" w:hAnsiTheme="minorEastAsia" w:hint="eastAsia"/>
                <w:sz w:val="22"/>
              </w:rPr>
              <w:t>断熱化による外皮性能の向上は、温室効果ガスの排出抑制に加え、長く快適に住むことができ、ヒートショックの予防</w:t>
            </w:r>
            <w:r>
              <w:rPr>
                <w:rFonts w:asciiTheme="minorEastAsia" w:hAnsiTheme="minorEastAsia" w:hint="eastAsia"/>
                <w:sz w:val="22"/>
              </w:rPr>
              <w:t>等の健康にも寄与すると考えられ</w:t>
            </w:r>
            <w:r w:rsidRPr="00A94666">
              <w:rPr>
                <w:rFonts w:asciiTheme="minorEastAsia" w:hAnsiTheme="minorEastAsia" w:hint="eastAsia"/>
                <w:sz w:val="22"/>
              </w:rPr>
              <w:t>るため、国に先駆け、環境負荷が大きい10,000㎡</w:t>
            </w:r>
            <w:r>
              <w:rPr>
                <w:rFonts w:asciiTheme="minorEastAsia" w:hAnsiTheme="minorEastAsia" w:hint="eastAsia"/>
                <w:sz w:val="22"/>
              </w:rPr>
              <w:t>以上</w:t>
            </w:r>
            <w:r w:rsidRPr="00A94666">
              <w:rPr>
                <w:rFonts w:asciiTheme="minorEastAsia" w:hAnsiTheme="minorEastAsia" w:hint="eastAsia"/>
                <w:sz w:val="22"/>
              </w:rPr>
              <w:t>かつ</w:t>
            </w:r>
            <w:r>
              <w:rPr>
                <w:rFonts w:asciiTheme="minorEastAsia" w:hAnsiTheme="minorEastAsia" w:hint="eastAsia"/>
                <w:sz w:val="22"/>
              </w:rPr>
              <w:t>60</w:t>
            </w:r>
            <w:r w:rsidRPr="00A94666">
              <w:rPr>
                <w:rFonts w:asciiTheme="minorEastAsia" w:hAnsiTheme="minorEastAsia" w:hint="eastAsia"/>
                <w:sz w:val="22"/>
              </w:rPr>
              <w:t>ｍ超の超高層住宅の新築・増改築時に省エネ基準への適合を義務化し、住宅の性能向上にもこれから取り組むべきである。</w:t>
            </w:r>
          </w:p>
          <w:p w:rsidR="000A184E" w:rsidRPr="00A94666" w:rsidRDefault="000A184E" w:rsidP="000A184E">
            <w:pPr>
              <w:spacing w:beforeLines="50" w:before="178" w:line="320" w:lineRule="exact"/>
              <w:ind w:leftChars="270" w:left="567" w:rightChars="256" w:right="538" w:firstLineChars="100" w:firstLine="220"/>
              <w:rPr>
                <w:rFonts w:asciiTheme="minorEastAsia" w:hAnsiTheme="minorEastAsia"/>
                <w:sz w:val="22"/>
              </w:rPr>
            </w:pPr>
            <w:r w:rsidRPr="00A94666">
              <w:rPr>
                <w:rFonts w:asciiTheme="minorEastAsia" w:hAnsiTheme="minorEastAsia" w:cs="ＭＳゴシック" w:hint="eastAsia"/>
                <w:kern w:val="0"/>
                <w:sz w:val="22"/>
              </w:rPr>
              <w:t>表示制度の改善</w:t>
            </w:r>
            <w:r w:rsidRPr="00A94666">
              <w:rPr>
                <w:rFonts w:asciiTheme="minorEastAsia" w:hAnsiTheme="minorEastAsia" w:hint="eastAsia"/>
                <w:sz w:val="22"/>
              </w:rPr>
              <w:t>については、人目に触れる機会の増大を図り、府民の環境配慮意識を高めるため、工事現場への表示について進めることが、重要であると考える。また、事業者が高評価を受けたくなるものとすること、エネルギー削減率の表示（建物の燃費）、健康にも寄与するものと考えられる断熱性能・遮熱性能などの表示について、課題も含め継続的に検討をお願いしたい。</w:t>
            </w:r>
          </w:p>
          <w:p w:rsidR="000A184E" w:rsidRPr="00A94666" w:rsidRDefault="000A184E" w:rsidP="000A184E">
            <w:pPr>
              <w:spacing w:beforeLines="50" w:before="178" w:line="320" w:lineRule="exact"/>
              <w:ind w:leftChars="270" w:left="567" w:rightChars="256" w:right="538" w:firstLineChars="100" w:firstLine="220"/>
              <w:rPr>
                <w:rFonts w:asciiTheme="minorEastAsia" w:hAnsiTheme="minorEastAsia"/>
                <w:sz w:val="22"/>
              </w:rPr>
            </w:pPr>
            <w:r w:rsidRPr="00A94666">
              <w:rPr>
                <w:rFonts w:asciiTheme="minorEastAsia" w:hAnsiTheme="minorEastAsia" w:cs="ＭＳゴシック" w:hint="eastAsia"/>
                <w:kern w:val="0"/>
                <w:sz w:val="22"/>
              </w:rPr>
              <w:t>再生可能エネルギーの導入</w:t>
            </w:r>
            <w:r>
              <w:rPr>
                <w:rFonts w:asciiTheme="minorEastAsia" w:hAnsiTheme="minorEastAsia" w:cs="ＭＳゴシック" w:hint="eastAsia"/>
                <w:kern w:val="0"/>
                <w:sz w:val="22"/>
              </w:rPr>
              <w:t>件数の一層の増加</w:t>
            </w:r>
            <w:r w:rsidRPr="00A94666">
              <w:rPr>
                <w:rFonts w:asciiTheme="minorEastAsia" w:hAnsiTheme="minorEastAsia" w:hint="eastAsia"/>
                <w:sz w:val="22"/>
              </w:rPr>
              <w:t>については、</w:t>
            </w:r>
            <w:r>
              <w:rPr>
                <w:rFonts w:asciiTheme="minorEastAsia" w:hAnsiTheme="minorEastAsia" w:hint="eastAsia"/>
                <w:sz w:val="22"/>
              </w:rPr>
              <w:t>2015年度から条例により</w:t>
            </w:r>
            <w:r w:rsidRPr="00A94666">
              <w:rPr>
                <w:rFonts w:asciiTheme="minorEastAsia" w:hAnsiTheme="minorEastAsia" w:hint="eastAsia"/>
                <w:sz w:val="22"/>
              </w:rPr>
              <w:t>導入検討の義務付けを行っているが、最近では、ZEB（</w:t>
            </w:r>
            <w:r>
              <w:rPr>
                <w:rFonts w:asciiTheme="minorEastAsia" w:hAnsiTheme="minorEastAsia" w:hint="eastAsia"/>
                <w:sz w:val="22"/>
              </w:rPr>
              <w:t>ネット・</w:t>
            </w:r>
            <w:r w:rsidRPr="00A94666">
              <w:rPr>
                <w:rFonts w:asciiTheme="minorEastAsia" w:hAnsiTheme="minorEastAsia" w:hint="eastAsia"/>
                <w:sz w:val="22"/>
              </w:rPr>
              <w:t>ゼロ</w:t>
            </w:r>
            <w:r>
              <w:rPr>
                <w:rFonts w:asciiTheme="minorEastAsia" w:hAnsiTheme="minorEastAsia" w:hint="eastAsia"/>
                <w:sz w:val="22"/>
              </w:rPr>
              <w:t>・</w:t>
            </w:r>
            <w:r w:rsidRPr="00A94666">
              <w:rPr>
                <w:rFonts w:asciiTheme="minorEastAsia" w:hAnsiTheme="minorEastAsia" w:hint="eastAsia"/>
                <w:sz w:val="22"/>
              </w:rPr>
              <w:t>エネルギー</w:t>
            </w:r>
            <w:r>
              <w:rPr>
                <w:rFonts w:asciiTheme="minorEastAsia" w:hAnsiTheme="minorEastAsia" w:hint="eastAsia"/>
                <w:sz w:val="22"/>
              </w:rPr>
              <w:t>・</w:t>
            </w:r>
            <w:r w:rsidRPr="00A94666">
              <w:rPr>
                <w:rFonts w:asciiTheme="minorEastAsia" w:hAnsiTheme="minorEastAsia" w:hint="eastAsia"/>
                <w:sz w:val="22"/>
              </w:rPr>
              <w:t>ビル）が推奨されており、より一層の再生可能エネルギー</w:t>
            </w:r>
            <w:r>
              <w:rPr>
                <w:rFonts w:asciiTheme="minorEastAsia" w:hAnsiTheme="minorEastAsia" w:hint="eastAsia"/>
                <w:sz w:val="22"/>
              </w:rPr>
              <w:t>の</w:t>
            </w:r>
            <w:r w:rsidRPr="00A94666">
              <w:rPr>
                <w:rFonts w:asciiTheme="minorEastAsia" w:hAnsiTheme="minorEastAsia" w:hint="eastAsia"/>
                <w:sz w:val="22"/>
              </w:rPr>
              <w:t>導入</w:t>
            </w:r>
            <w:r>
              <w:rPr>
                <w:rFonts w:asciiTheme="minorEastAsia" w:hAnsiTheme="minorEastAsia" w:hint="eastAsia"/>
                <w:sz w:val="22"/>
              </w:rPr>
              <w:t>件数</w:t>
            </w:r>
            <w:r w:rsidRPr="00A94666">
              <w:rPr>
                <w:rFonts w:asciiTheme="minorEastAsia" w:hAnsiTheme="minorEastAsia" w:hint="eastAsia"/>
                <w:sz w:val="22"/>
              </w:rPr>
              <w:t>の</w:t>
            </w:r>
            <w:r>
              <w:rPr>
                <w:rFonts w:asciiTheme="minorEastAsia" w:hAnsiTheme="minorEastAsia" w:hint="eastAsia"/>
                <w:sz w:val="22"/>
              </w:rPr>
              <w:t>増加</w:t>
            </w:r>
            <w:r w:rsidRPr="00A94666">
              <w:rPr>
                <w:rFonts w:asciiTheme="minorEastAsia" w:hAnsiTheme="minorEastAsia" w:hint="eastAsia"/>
                <w:sz w:val="22"/>
              </w:rPr>
              <w:t>が予想される。今後、再生可能エネルギーだけでなく</w:t>
            </w:r>
            <w:r>
              <w:rPr>
                <w:rFonts w:asciiTheme="minorEastAsia" w:hAnsiTheme="minorEastAsia" w:hint="eastAsia"/>
                <w:sz w:val="22"/>
              </w:rPr>
              <w:t>自然換気や自然光利用などのパッシブな</w:t>
            </w:r>
            <w:r w:rsidRPr="00E52CD4">
              <w:rPr>
                <w:rFonts w:asciiTheme="minorEastAsia" w:hAnsiTheme="minorEastAsia" w:hint="eastAsia"/>
                <w:b/>
                <w:sz w:val="22"/>
                <w:u w:val="single"/>
              </w:rPr>
              <w:t>自然エネルギー利用</w:t>
            </w:r>
            <w:r w:rsidRPr="00A94666">
              <w:rPr>
                <w:rFonts w:asciiTheme="minorEastAsia" w:hAnsiTheme="minorEastAsia" w:hint="eastAsia"/>
                <w:sz w:val="22"/>
              </w:rPr>
              <w:t>の</w:t>
            </w:r>
            <w:r>
              <w:rPr>
                <w:rFonts w:asciiTheme="minorEastAsia" w:hAnsiTheme="minorEastAsia" w:hint="eastAsia"/>
                <w:sz w:val="22"/>
              </w:rPr>
              <w:t>導入</w:t>
            </w:r>
            <w:r w:rsidRPr="00A94666">
              <w:rPr>
                <w:rFonts w:asciiTheme="minorEastAsia" w:hAnsiTheme="minorEastAsia" w:hint="eastAsia"/>
                <w:sz w:val="22"/>
              </w:rPr>
              <w:t>促進について</w:t>
            </w:r>
            <w:r>
              <w:rPr>
                <w:rFonts w:asciiTheme="minorEastAsia" w:hAnsiTheme="minorEastAsia" w:hint="eastAsia"/>
                <w:sz w:val="22"/>
              </w:rPr>
              <w:t>も</w:t>
            </w:r>
            <w:r w:rsidRPr="00A94666">
              <w:rPr>
                <w:rFonts w:asciiTheme="minorEastAsia" w:hAnsiTheme="minorEastAsia" w:hint="eastAsia"/>
                <w:sz w:val="22"/>
              </w:rPr>
              <w:t>検討をお願いしたい。</w:t>
            </w:r>
          </w:p>
          <w:p w:rsidR="000A184E" w:rsidRPr="00A94666" w:rsidRDefault="000A184E" w:rsidP="000A184E">
            <w:pPr>
              <w:spacing w:beforeLines="50" w:before="178" w:line="320" w:lineRule="exact"/>
              <w:ind w:leftChars="270" w:left="567" w:rightChars="256" w:right="538" w:firstLineChars="100" w:firstLine="220"/>
              <w:rPr>
                <w:rFonts w:asciiTheme="minorEastAsia" w:hAnsiTheme="minorEastAsia"/>
                <w:color w:val="31849B" w:themeColor="accent5" w:themeShade="BF"/>
                <w:sz w:val="22"/>
              </w:rPr>
            </w:pPr>
            <w:r w:rsidRPr="00A94666">
              <w:rPr>
                <w:rFonts w:asciiTheme="minorEastAsia" w:hAnsiTheme="minorEastAsia" w:hint="eastAsia"/>
                <w:sz w:val="22"/>
              </w:rPr>
              <w:t>最後に、</w:t>
            </w:r>
            <w:r w:rsidRPr="00C03448">
              <w:rPr>
                <w:rFonts w:asciiTheme="minorEastAsia" w:hAnsiTheme="minorEastAsia" w:hint="eastAsia"/>
                <w:sz w:val="22"/>
              </w:rPr>
              <w:t>大阪府は国に先駆けて建築物の環境配慮への取り組</w:t>
            </w:r>
            <w:r>
              <w:rPr>
                <w:rFonts w:asciiTheme="minorEastAsia" w:hAnsiTheme="minorEastAsia" w:hint="eastAsia"/>
                <w:sz w:val="22"/>
              </w:rPr>
              <w:t>み</w:t>
            </w:r>
            <w:r w:rsidRPr="00C03448">
              <w:rPr>
                <w:rFonts w:asciiTheme="minorEastAsia" w:hAnsiTheme="minorEastAsia" w:hint="eastAsia"/>
                <w:sz w:val="22"/>
              </w:rPr>
              <w:t>を行ってきた。今後も、国に先駆け、中長期的視点に立った建築物の環境配慮への取り組</w:t>
            </w:r>
            <w:r>
              <w:rPr>
                <w:rFonts w:asciiTheme="minorEastAsia" w:hAnsiTheme="minorEastAsia" w:hint="eastAsia"/>
                <w:sz w:val="22"/>
              </w:rPr>
              <w:t>み</w:t>
            </w:r>
            <w:r w:rsidRPr="00C03448">
              <w:rPr>
                <w:rFonts w:asciiTheme="minorEastAsia" w:hAnsiTheme="minorEastAsia" w:hint="eastAsia"/>
                <w:sz w:val="22"/>
              </w:rPr>
              <w:t>を期待する。</w:t>
            </w:r>
          </w:p>
          <w:p w:rsidR="000A184E" w:rsidRPr="000A184E" w:rsidRDefault="000A184E" w:rsidP="000A184E">
            <w:pPr>
              <w:jc w:val="left"/>
              <w:rPr>
                <w:rFonts w:asciiTheme="minorEastAsia" w:hAnsiTheme="minorEastAsia"/>
                <w:b/>
                <w:sz w:val="28"/>
                <w:szCs w:val="28"/>
              </w:rPr>
            </w:pPr>
          </w:p>
        </w:tc>
        <w:tc>
          <w:tcPr>
            <w:tcW w:w="1701" w:type="dxa"/>
          </w:tcPr>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r>
              <w:rPr>
                <w:rFonts w:asciiTheme="minorEastAsia" w:hAnsiTheme="minorEastAsia" w:hint="eastAsia"/>
                <w:b/>
                <w:szCs w:val="21"/>
              </w:rPr>
              <w:t>2000㎡以上の非住宅建築物に</w:t>
            </w:r>
          </w:p>
          <w:p w:rsidR="000A184E" w:rsidRDefault="000A184E" w:rsidP="000A184E">
            <w:pPr>
              <w:jc w:val="left"/>
              <w:rPr>
                <w:rFonts w:asciiTheme="minorEastAsia" w:hAnsiTheme="minorEastAsia"/>
                <w:b/>
                <w:szCs w:val="21"/>
              </w:rPr>
            </w:pPr>
            <w:r>
              <w:rPr>
                <w:rFonts w:asciiTheme="minorEastAsia" w:hAnsiTheme="minorEastAsia" w:hint="eastAsia"/>
                <w:b/>
                <w:szCs w:val="21"/>
              </w:rPr>
              <w:t>適用面積を拡大として条例改正済み</w:t>
            </w: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r>
              <w:rPr>
                <w:rFonts w:asciiTheme="minorEastAsia" w:hAnsiTheme="minorEastAsia" w:hint="eastAsia"/>
                <w:b/>
                <w:szCs w:val="21"/>
              </w:rPr>
              <w:t>適用除外を追加し条例改正済み</w:t>
            </w: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p>
          <w:p w:rsidR="000A184E" w:rsidRDefault="000A184E" w:rsidP="000A184E">
            <w:pPr>
              <w:jc w:val="left"/>
              <w:rPr>
                <w:rFonts w:asciiTheme="minorEastAsia" w:hAnsiTheme="minorEastAsia"/>
                <w:b/>
                <w:szCs w:val="21"/>
              </w:rPr>
            </w:pPr>
            <w:r>
              <w:rPr>
                <w:rFonts w:asciiTheme="minorEastAsia" w:hAnsiTheme="minorEastAsia" w:hint="eastAsia"/>
                <w:b/>
                <w:szCs w:val="21"/>
              </w:rPr>
              <w:t>左の内容の住宅の省エネ基準への適合義務化について条例改正済み</w:t>
            </w:r>
          </w:p>
          <w:p w:rsidR="000A184E" w:rsidRDefault="000A184E"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r>
              <w:rPr>
                <w:rFonts w:asciiTheme="minorEastAsia" w:hAnsiTheme="minorEastAsia" w:hint="eastAsia"/>
                <w:b/>
                <w:szCs w:val="21"/>
              </w:rPr>
              <w:t>工事現場にラベル掲示を義務化することを条例改正済み</w:t>
            </w: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r>
              <w:rPr>
                <w:rFonts w:asciiTheme="minorEastAsia" w:hAnsiTheme="minorEastAsia" w:hint="eastAsia"/>
                <w:b/>
                <w:szCs w:val="21"/>
              </w:rPr>
              <w:t>対応案の検討中</w:t>
            </w: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0A184E">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A60F01" w:rsidRDefault="00A60F01"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r>
              <w:rPr>
                <w:rFonts w:asciiTheme="minorEastAsia" w:hAnsiTheme="minorEastAsia" w:hint="eastAsia"/>
                <w:b/>
                <w:szCs w:val="21"/>
              </w:rPr>
              <w:t>対応案の検討中</w:t>
            </w: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Default="00E52CD4" w:rsidP="00A60F01">
            <w:pPr>
              <w:jc w:val="left"/>
              <w:rPr>
                <w:rFonts w:asciiTheme="minorEastAsia" w:hAnsiTheme="minorEastAsia"/>
                <w:b/>
                <w:szCs w:val="21"/>
              </w:rPr>
            </w:pPr>
          </w:p>
          <w:p w:rsidR="00E52CD4" w:rsidRPr="000A184E" w:rsidRDefault="00E52CD4" w:rsidP="00A60F01">
            <w:pPr>
              <w:jc w:val="left"/>
              <w:rPr>
                <w:rFonts w:asciiTheme="minorEastAsia" w:hAnsiTheme="minorEastAsia"/>
                <w:b/>
                <w:szCs w:val="21"/>
              </w:rPr>
            </w:pPr>
          </w:p>
        </w:tc>
      </w:tr>
    </w:tbl>
    <w:p w:rsidR="00794B9E" w:rsidRPr="00ED632C" w:rsidRDefault="00794B9E" w:rsidP="00794B9E">
      <w:pPr>
        <w:widowControl/>
        <w:jc w:val="left"/>
        <w:rPr>
          <w:rFonts w:asciiTheme="minorEastAsia" w:hAnsiTheme="minorEastAsia"/>
          <w:b/>
          <w:sz w:val="24"/>
          <w:szCs w:val="24"/>
        </w:rPr>
      </w:pPr>
    </w:p>
    <w:sectPr w:rsidR="00794B9E" w:rsidRPr="00ED632C" w:rsidSect="003F514B">
      <w:footerReference w:type="default" r:id="rId9"/>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35" w:rsidRDefault="00991035">
      <w:r>
        <w:separator/>
      </w:r>
    </w:p>
  </w:endnote>
  <w:endnote w:type="continuationSeparator" w:id="0">
    <w:p w:rsidR="00991035" w:rsidRDefault="0099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1A" w:rsidRDefault="00794B9E" w:rsidP="00F85D84">
    <w:pPr>
      <w:pStyle w:val="a5"/>
      <w:jc w:val="center"/>
    </w:pPr>
    <w:r>
      <w:fldChar w:fldCharType="begin"/>
    </w:r>
    <w:r>
      <w:instrText>PAGE   \* MERGEFORMAT</w:instrText>
    </w:r>
    <w:r>
      <w:fldChar w:fldCharType="separate"/>
    </w:r>
    <w:r w:rsidR="005F7C39" w:rsidRPr="005F7C3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35" w:rsidRDefault="00991035">
      <w:r>
        <w:separator/>
      </w:r>
    </w:p>
  </w:footnote>
  <w:footnote w:type="continuationSeparator" w:id="0">
    <w:p w:rsidR="00991035" w:rsidRDefault="0099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013C"/>
    <w:multiLevelType w:val="hybridMultilevel"/>
    <w:tmpl w:val="984E5E68"/>
    <w:lvl w:ilvl="0" w:tplc="CF0EC40C">
      <w:start w:val="1"/>
      <w:numFmt w:val="decimalEnclosedCircle"/>
      <w:lvlText w:val="%1"/>
      <w:lvlJc w:val="left"/>
      <w:pPr>
        <w:ind w:left="777" w:hanging="360"/>
      </w:pPr>
    </w:lvl>
    <w:lvl w:ilvl="1" w:tplc="04090017">
      <w:start w:val="1"/>
      <w:numFmt w:val="aiueoFullWidth"/>
      <w:lvlText w:val="(%2)"/>
      <w:lvlJc w:val="left"/>
      <w:pPr>
        <w:ind w:left="1257" w:hanging="420"/>
      </w:pPr>
    </w:lvl>
    <w:lvl w:ilvl="2" w:tplc="04090011">
      <w:start w:val="1"/>
      <w:numFmt w:val="decimalEnclosedCircle"/>
      <w:lvlText w:val="%3"/>
      <w:lvlJc w:val="left"/>
      <w:pPr>
        <w:ind w:left="1677" w:hanging="420"/>
      </w:pPr>
    </w:lvl>
    <w:lvl w:ilvl="3" w:tplc="0409000F">
      <w:start w:val="1"/>
      <w:numFmt w:val="decimal"/>
      <w:lvlText w:val="%4."/>
      <w:lvlJc w:val="left"/>
      <w:pPr>
        <w:ind w:left="2097" w:hanging="420"/>
      </w:pPr>
    </w:lvl>
    <w:lvl w:ilvl="4" w:tplc="04090017">
      <w:start w:val="1"/>
      <w:numFmt w:val="aiueoFullWidth"/>
      <w:lvlText w:val="(%5)"/>
      <w:lvlJc w:val="left"/>
      <w:pPr>
        <w:ind w:left="2517" w:hanging="420"/>
      </w:pPr>
    </w:lvl>
    <w:lvl w:ilvl="5" w:tplc="04090011">
      <w:start w:val="1"/>
      <w:numFmt w:val="decimalEnclosedCircle"/>
      <w:lvlText w:val="%6"/>
      <w:lvlJc w:val="left"/>
      <w:pPr>
        <w:ind w:left="2937" w:hanging="420"/>
      </w:pPr>
    </w:lvl>
    <w:lvl w:ilvl="6" w:tplc="0409000F">
      <w:start w:val="1"/>
      <w:numFmt w:val="decimal"/>
      <w:lvlText w:val="%7."/>
      <w:lvlJc w:val="left"/>
      <w:pPr>
        <w:ind w:left="3357" w:hanging="420"/>
      </w:pPr>
    </w:lvl>
    <w:lvl w:ilvl="7" w:tplc="04090017">
      <w:start w:val="1"/>
      <w:numFmt w:val="aiueoFullWidth"/>
      <w:lvlText w:val="(%8)"/>
      <w:lvlJc w:val="left"/>
      <w:pPr>
        <w:ind w:left="3777" w:hanging="420"/>
      </w:pPr>
    </w:lvl>
    <w:lvl w:ilvl="8" w:tplc="04090011">
      <w:start w:val="1"/>
      <w:numFmt w:val="decimalEnclosedCircle"/>
      <w:lvlText w:val="%9"/>
      <w:lvlJc w:val="left"/>
      <w:pPr>
        <w:ind w:left="419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E"/>
    <w:rsid w:val="000A184E"/>
    <w:rsid w:val="00160380"/>
    <w:rsid w:val="004F4247"/>
    <w:rsid w:val="0058571A"/>
    <w:rsid w:val="005F7C39"/>
    <w:rsid w:val="006654C2"/>
    <w:rsid w:val="006B300C"/>
    <w:rsid w:val="00794B9E"/>
    <w:rsid w:val="00991035"/>
    <w:rsid w:val="00A60F01"/>
    <w:rsid w:val="00D31767"/>
    <w:rsid w:val="00E52CD4"/>
    <w:rsid w:val="00FD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9E"/>
    <w:pPr>
      <w:tabs>
        <w:tab w:val="center" w:pos="4252"/>
        <w:tab w:val="right" w:pos="8504"/>
      </w:tabs>
      <w:snapToGrid w:val="0"/>
    </w:pPr>
  </w:style>
  <w:style w:type="character" w:customStyle="1" w:styleId="a4">
    <w:name w:val="ヘッダー (文字)"/>
    <w:basedOn w:val="a0"/>
    <w:link w:val="a3"/>
    <w:uiPriority w:val="99"/>
    <w:rsid w:val="00794B9E"/>
  </w:style>
  <w:style w:type="paragraph" w:styleId="a5">
    <w:name w:val="footer"/>
    <w:basedOn w:val="a"/>
    <w:link w:val="a6"/>
    <w:uiPriority w:val="99"/>
    <w:unhideWhenUsed/>
    <w:rsid w:val="00794B9E"/>
    <w:pPr>
      <w:tabs>
        <w:tab w:val="center" w:pos="4252"/>
        <w:tab w:val="right" w:pos="8504"/>
      </w:tabs>
      <w:snapToGrid w:val="0"/>
    </w:pPr>
  </w:style>
  <w:style w:type="character" w:customStyle="1" w:styleId="a6">
    <w:name w:val="フッター (文字)"/>
    <w:basedOn w:val="a0"/>
    <w:link w:val="a5"/>
    <w:uiPriority w:val="99"/>
    <w:rsid w:val="00794B9E"/>
  </w:style>
  <w:style w:type="paragraph" w:styleId="a7">
    <w:name w:val="List Paragraph"/>
    <w:basedOn w:val="a"/>
    <w:uiPriority w:val="34"/>
    <w:qFormat/>
    <w:rsid w:val="00794B9E"/>
    <w:pPr>
      <w:ind w:leftChars="400" w:left="840"/>
    </w:pPr>
  </w:style>
  <w:style w:type="paragraph" w:styleId="Web">
    <w:name w:val="Normal (Web)"/>
    <w:basedOn w:val="a"/>
    <w:uiPriority w:val="99"/>
    <w:unhideWhenUsed/>
    <w:rsid w:val="006B3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0A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F7C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7C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9E"/>
    <w:pPr>
      <w:tabs>
        <w:tab w:val="center" w:pos="4252"/>
        <w:tab w:val="right" w:pos="8504"/>
      </w:tabs>
      <w:snapToGrid w:val="0"/>
    </w:pPr>
  </w:style>
  <w:style w:type="character" w:customStyle="1" w:styleId="a4">
    <w:name w:val="ヘッダー (文字)"/>
    <w:basedOn w:val="a0"/>
    <w:link w:val="a3"/>
    <w:uiPriority w:val="99"/>
    <w:rsid w:val="00794B9E"/>
  </w:style>
  <w:style w:type="paragraph" w:styleId="a5">
    <w:name w:val="footer"/>
    <w:basedOn w:val="a"/>
    <w:link w:val="a6"/>
    <w:uiPriority w:val="99"/>
    <w:unhideWhenUsed/>
    <w:rsid w:val="00794B9E"/>
    <w:pPr>
      <w:tabs>
        <w:tab w:val="center" w:pos="4252"/>
        <w:tab w:val="right" w:pos="8504"/>
      </w:tabs>
      <w:snapToGrid w:val="0"/>
    </w:pPr>
  </w:style>
  <w:style w:type="character" w:customStyle="1" w:styleId="a6">
    <w:name w:val="フッター (文字)"/>
    <w:basedOn w:val="a0"/>
    <w:link w:val="a5"/>
    <w:uiPriority w:val="99"/>
    <w:rsid w:val="00794B9E"/>
  </w:style>
  <w:style w:type="paragraph" w:styleId="a7">
    <w:name w:val="List Paragraph"/>
    <w:basedOn w:val="a"/>
    <w:uiPriority w:val="34"/>
    <w:qFormat/>
    <w:rsid w:val="00794B9E"/>
    <w:pPr>
      <w:ind w:leftChars="400" w:left="840"/>
    </w:pPr>
  </w:style>
  <w:style w:type="paragraph" w:styleId="Web">
    <w:name w:val="Normal (Web)"/>
    <w:basedOn w:val="a"/>
    <w:uiPriority w:val="99"/>
    <w:unhideWhenUsed/>
    <w:rsid w:val="006B3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0A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F7C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7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97AE-05F9-4B52-A5E8-F7B022BA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南　祐子</cp:lastModifiedBy>
  <cp:revision>9</cp:revision>
  <cp:lastPrinted>2017-04-18T23:25:00Z</cp:lastPrinted>
  <dcterms:created xsi:type="dcterms:W3CDTF">2017-04-10T01:41:00Z</dcterms:created>
  <dcterms:modified xsi:type="dcterms:W3CDTF">2017-04-18T23:25:00Z</dcterms:modified>
</cp:coreProperties>
</file>